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363220</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13G</w:t>
      </w:r>
    </w:p>
    <w:p>
      <w:pPr>
        <w:spacing w:after="0" w:line="24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Under the Securities Exchange Act of 1934 (Amendment No. __N/A__)*</w:t>
      </w:r>
    </w:p>
    <w:p>
      <w:pPr>
        <w:spacing w:after="0" w:line="19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Exagen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4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Common Stock, par value $0.001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30068X103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January 16,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25" w:lineRule="exact"/>
        <w:rPr>
          <w:sz w:val="24"/>
          <w:szCs w:val="24"/>
          <w:color w:val="auto"/>
        </w:rPr>
      </w:pPr>
    </w:p>
    <w:p>
      <w:pPr>
        <w:ind w:left="980"/>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jc w:val="both"/>
        <w:ind w:left="1300" w:right="8780" w:firstLine="5"/>
        <w:spacing w:after="0" w:line="530" w:lineRule="auto"/>
        <w:tabs>
          <w:tab w:leader="none" w:pos="1450" w:val="left"/>
        </w:tabs>
        <w:numPr>
          <w:ilvl w:val="0"/>
          <w:numId w:val="1"/>
        </w:numPr>
        <w:rPr>
          <w:rFonts w:ascii="Arial" w:cs="Arial" w:eastAsia="Arial" w:hAnsi="Arial"/>
          <w:sz w:val="17"/>
          <w:szCs w:val="17"/>
          <w:color w:val="auto"/>
        </w:rPr>
      </w:pPr>
      <w:r>
        <w:rPr>
          <w:rFonts w:ascii="Arial" w:cs="Arial" w:eastAsia="Arial" w:hAnsi="Arial"/>
          <w:sz w:val="17"/>
          <w:szCs w:val="17"/>
          <w:color w:val="auto"/>
        </w:rPr>
        <w:t>] Rule 13d-1(b) [X] Rule 13d-1(c)</w:t>
      </w:r>
    </w:p>
    <w:p>
      <w:pPr>
        <w:ind w:left="1460" w:hanging="155"/>
        <w:spacing w:after="0"/>
        <w:tabs>
          <w:tab w:leader="none" w:pos="1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180975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246"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431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439420</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74" w:right="239" w:bottom="1440" w:gutter="0" w:footer="0" w:header="0"/>
        </w:sectPr>
      </w:pPr>
    </w:p>
    <w:bookmarkStart w:id="1" w:name="page2"/>
    <w:bookmarkEnd w:id="1"/>
    <w:p>
      <w:pPr>
        <w:spacing w:after="0"/>
        <w:tabs>
          <w:tab w:leader="none" w:pos="1140" w:val="left"/>
        </w:tabs>
        <w:rPr>
          <w:sz w:val="20"/>
          <w:szCs w:val="20"/>
          <w:color w:val="auto"/>
        </w:rPr>
      </w:pPr>
      <w:r>
        <w:rPr>
          <w:rFonts w:ascii="Arial" w:cs="Arial" w:eastAsia="Arial" w:hAnsi="Arial"/>
          <w:sz w:val="18"/>
          <w:szCs w:val="18"/>
          <w:color w:val="auto"/>
        </w:rPr>
        <w:t>CUSIP No.</w:t>
      </w:r>
      <w:r>
        <w:rPr>
          <w:sz w:val="20"/>
          <w:szCs w:val="20"/>
          <w:color w:val="auto"/>
        </w:rPr>
        <w:tab/>
      </w:r>
      <w:r>
        <w:rPr>
          <w:rFonts w:ascii="Arial" w:cs="Arial" w:eastAsia="Arial" w:hAnsi="Arial"/>
          <w:sz w:val="16"/>
          <w:szCs w:val="16"/>
          <w:color w:val="auto"/>
        </w:rPr>
        <w:t>30068X103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23495</wp:posOffset>
            </wp:positionV>
            <wp:extent cx="289877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246" w:lineRule="exact"/>
        <w:rPr>
          <w:sz w:val="20"/>
          <w:szCs w:val="20"/>
          <w:color w:val="auto"/>
        </w:rPr>
      </w:pPr>
    </w:p>
    <w:p>
      <w:pPr>
        <w:ind w:left="660" w:hanging="652"/>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23" w:lineRule="exact"/>
        <w:rPr>
          <w:rFonts w:ascii="Arial" w:cs="Arial" w:eastAsia="Arial" w:hAnsi="Arial"/>
          <w:sz w:val="18"/>
          <w:szCs w:val="18"/>
          <w:color w:val="auto"/>
        </w:rPr>
      </w:pPr>
    </w:p>
    <w:p>
      <w:pPr>
        <w:ind w:left="660" w:right="3979"/>
        <w:spacing w:after="0" w:line="492" w:lineRule="auto"/>
        <w:rPr>
          <w:rFonts w:ascii="Arial" w:cs="Arial" w:eastAsia="Arial" w:hAnsi="Arial"/>
          <w:sz w:val="18"/>
          <w:szCs w:val="18"/>
          <w:color w:val="auto"/>
        </w:rPr>
      </w:pPr>
      <w:r>
        <w:rPr>
          <w:rFonts w:ascii="Arial" w:cs="Arial" w:eastAsia="Arial" w:hAnsi="Arial"/>
          <w:sz w:val="18"/>
          <w:szCs w:val="18"/>
          <w:color w:val="auto"/>
        </w:rPr>
        <w:t>I.R.S. IDENTIFICATION NOS. OF ABOVE PERSONS (ENTITIES ONLY) RTW Investments, LP</w:t>
      </w:r>
    </w:p>
    <w:p>
      <w:pPr>
        <w:spacing w:after="0" w:line="1" w:lineRule="exact"/>
        <w:rPr>
          <w:rFonts w:ascii="Arial" w:cs="Arial" w:eastAsia="Arial" w:hAnsi="Arial"/>
          <w:sz w:val="18"/>
          <w:szCs w:val="18"/>
          <w:color w:val="auto"/>
        </w:rPr>
      </w:pPr>
    </w:p>
    <w:p>
      <w:pPr>
        <w:ind w:left="660" w:hanging="652"/>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25" w:lineRule="exact"/>
        <w:rPr>
          <w:sz w:val="20"/>
          <w:szCs w:val="20"/>
          <w:color w:val="auto"/>
        </w:rPr>
      </w:pPr>
    </w:p>
    <w:p>
      <w:pPr>
        <w:ind w:left="7780"/>
        <w:spacing w:after="0"/>
        <w:rPr>
          <w:sz w:val="20"/>
          <w:szCs w:val="20"/>
          <w:color w:val="auto"/>
        </w:rPr>
      </w:pPr>
      <w:r>
        <w:rPr>
          <w:rFonts w:ascii="Arial" w:cs="Arial" w:eastAsia="Arial" w:hAnsi="Arial"/>
          <w:sz w:val="18"/>
          <w:szCs w:val="18"/>
          <w:color w:val="auto"/>
        </w:rPr>
        <w:t>(a) [ ]</w:t>
      </w:r>
    </w:p>
    <w:p>
      <w:pPr>
        <w:spacing w:after="0" w:line="23" w:lineRule="exact"/>
        <w:rPr>
          <w:sz w:val="20"/>
          <w:szCs w:val="20"/>
          <w:color w:val="auto"/>
        </w:rPr>
      </w:pPr>
    </w:p>
    <w:p>
      <w:pPr>
        <w:ind w:left="7780"/>
        <w:spacing w:after="0"/>
        <w:rPr>
          <w:sz w:val="20"/>
          <w:szCs w:val="20"/>
          <w:color w:val="auto"/>
        </w:rPr>
      </w:pPr>
      <w:r>
        <w:rPr>
          <w:rFonts w:ascii="Arial" w:cs="Arial" w:eastAsia="Arial" w:hAnsi="Arial"/>
          <w:sz w:val="18"/>
          <w:szCs w:val="18"/>
          <w:color w:val="auto"/>
        </w:rPr>
        <w:t>(b) [X]</w:t>
      </w:r>
    </w:p>
    <w:p>
      <w:pPr>
        <w:spacing w:after="0" w:line="211" w:lineRule="exact"/>
        <w:rPr>
          <w:sz w:val="20"/>
          <w:szCs w:val="20"/>
          <w:color w:val="auto"/>
        </w:rPr>
      </w:pPr>
    </w:p>
    <w:p>
      <w:pPr>
        <w:ind w:left="660" w:hanging="652"/>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660" w:hanging="652"/>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660" w:right="7699" w:hanging="652"/>
        <w:spacing w:after="0" w:line="501"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SOLE VOTING POWER 0</w:t>
      </w:r>
    </w:p>
    <w:p>
      <w:pPr>
        <w:ind w:left="660" w:right="7439" w:hanging="652"/>
        <w:spacing w:after="0" w:line="501"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SHARED VOTING POWER 902,085*</w:t>
      </w:r>
    </w:p>
    <w:p>
      <w:pPr>
        <w:ind w:left="660" w:right="7299" w:hanging="652"/>
        <w:spacing w:after="0" w:line="501"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SOLE DISPOSITIVE POWER 0</w:t>
      </w:r>
    </w:p>
    <w:p>
      <w:pPr>
        <w:ind w:left="660" w:right="7039" w:hanging="652"/>
        <w:spacing w:after="0" w:line="501"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SHARED DISPOSITIVE POWER 902,085*</w:t>
      </w:r>
    </w:p>
    <w:p>
      <w:pPr>
        <w:ind w:left="660" w:right="2999" w:hanging="652"/>
        <w:spacing w:after="0" w:line="501"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902,085*</w:t>
      </w:r>
    </w:p>
    <w:p>
      <w:pPr>
        <w:ind w:left="7780" w:right="659" w:hanging="7772"/>
        <w:spacing w:after="0" w:line="501" w:lineRule="auto"/>
        <w:tabs>
          <w:tab w:leader="none" w:pos="649" w:val="left"/>
        </w:tabs>
        <w:numPr>
          <w:ilvl w:val="0"/>
          <w:numId w:val="4"/>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 (SEE INSTRUCTIONS) [ ]</w:t>
      </w:r>
    </w:p>
    <w:p>
      <w:pPr>
        <w:ind w:left="660" w:right="4499" w:hanging="652"/>
        <w:spacing w:after="0" w:line="501"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PERCENT OF CLASS REPRESENTED BY AMOUNT IN ROW (9) 7.18%*</w:t>
      </w:r>
    </w:p>
    <w:p>
      <w:pPr>
        <w:ind w:left="660" w:right="5219" w:hanging="652"/>
        <w:spacing w:after="0" w:line="528"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TYPE OF REPORTING PERSON (SEE INSTRUCTIONS) PN, OO,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665" w:right="1440" w:bottom="1440" w:gutter="0" w:footer="0" w:header="0"/>
        </w:sectPr>
      </w:pPr>
    </w:p>
    <w:bookmarkStart w:id="2" w:name="page3"/>
    <w:bookmarkEnd w:id="2"/>
    <w:p>
      <w:pPr>
        <w:spacing w:after="0"/>
        <w:tabs>
          <w:tab w:leader="none" w:pos="1140" w:val="left"/>
        </w:tabs>
        <w:rPr>
          <w:sz w:val="20"/>
          <w:szCs w:val="20"/>
          <w:color w:val="auto"/>
        </w:rPr>
      </w:pPr>
      <w:r>
        <w:rPr>
          <w:rFonts w:ascii="Arial" w:cs="Arial" w:eastAsia="Arial" w:hAnsi="Arial"/>
          <w:sz w:val="18"/>
          <w:szCs w:val="18"/>
          <w:color w:val="auto"/>
        </w:rPr>
        <w:t>CUSIP No.</w:t>
      </w:r>
      <w:r>
        <w:rPr>
          <w:sz w:val="20"/>
          <w:szCs w:val="20"/>
          <w:color w:val="auto"/>
        </w:rPr>
        <w:tab/>
      </w:r>
      <w:r>
        <w:rPr>
          <w:rFonts w:ascii="Arial" w:cs="Arial" w:eastAsia="Arial" w:hAnsi="Arial"/>
          <w:sz w:val="16"/>
          <w:szCs w:val="16"/>
          <w:color w:val="auto"/>
        </w:rPr>
        <w:t>30068X103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23495</wp:posOffset>
            </wp:positionV>
            <wp:extent cx="289877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246" w:lineRule="exact"/>
        <w:rPr>
          <w:sz w:val="20"/>
          <w:szCs w:val="20"/>
          <w:color w:val="auto"/>
        </w:rPr>
      </w:pPr>
    </w:p>
    <w:p>
      <w:pPr>
        <w:ind w:left="660" w:hanging="652"/>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23" w:lineRule="exact"/>
        <w:rPr>
          <w:rFonts w:ascii="Arial" w:cs="Arial" w:eastAsia="Arial" w:hAnsi="Arial"/>
          <w:sz w:val="18"/>
          <w:szCs w:val="18"/>
          <w:color w:val="auto"/>
        </w:rPr>
      </w:pPr>
    </w:p>
    <w:p>
      <w:pPr>
        <w:ind w:left="660" w:right="3979"/>
        <w:spacing w:after="0" w:line="492" w:lineRule="auto"/>
        <w:rPr>
          <w:rFonts w:ascii="Arial" w:cs="Arial" w:eastAsia="Arial" w:hAnsi="Arial"/>
          <w:sz w:val="18"/>
          <w:szCs w:val="18"/>
          <w:color w:val="auto"/>
        </w:rPr>
      </w:pPr>
      <w:r>
        <w:rPr>
          <w:rFonts w:ascii="Arial" w:cs="Arial" w:eastAsia="Arial" w:hAnsi="Arial"/>
          <w:sz w:val="18"/>
          <w:szCs w:val="18"/>
          <w:color w:val="auto"/>
        </w:rPr>
        <w:t>I.R.S. IDENTIFICATION NOS. OF ABOVE PERSONS (ENTITIES ONLY) RTW Master Fund, Ltd.</w:t>
      </w:r>
    </w:p>
    <w:p>
      <w:pPr>
        <w:spacing w:after="0" w:line="1" w:lineRule="exact"/>
        <w:rPr>
          <w:rFonts w:ascii="Arial" w:cs="Arial" w:eastAsia="Arial" w:hAnsi="Arial"/>
          <w:sz w:val="18"/>
          <w:szCs w:val="18"/>
          <w:color w:val="auto"/>
        </w:rPr>
      </w:pPr>
    </w:p>
    <w:p>
      <w:pPr>
        <w:ind w:left="660" w:hanging="652"/>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25" w:lineRule="exact"/>
        <w:rPr>
          <w:sz w:val="20"/>
          <w:szCs w:val="20"/>
          <w:color w:val="auto"/>
        </w:rPr>
      </w:pPr>
    </w:p>
    <w:p>
      <w:pPr>
        <w:ind w:left="7780"/>
        <w:spacing w:after="0"/>
        <w:rPr>
          <w:sz w:val="20"/>
          <w:szCs w:val="20"/>
          <w:color w:val="auto"/>
        </w:rPr>
      </w:pPr>
      <w:r>
        <w:rPr>
          <w:rFonts w:ascii="Arial" w:cs="Arial" w:eastAsia="Arial" w:hAnsi="Arial"/>
          <w:sz w:val="18"/>
          <w:szCs w:val="18"/>
          <w:color w:val="auto"/>
        </w:rPr>
        <w:t>(a) [ ]</w:t>
      </w:r>
    </w:p>
    <w:p>
      <w:pPr>
        <w:spacing w:after="0" w:line="23" w:lineRule="exact"/>
        <w:rPr>
          <w:sz w:val="20"/>
          <w:szCs w:val="20"/>
          <w:color w:val="auto"/>
        </w:rPr>
      </w:pPr>
    </w:p>
    <w:p>
      <w:pPr>
        <w:ind w:left="7780"/>
        <w:spacing w:after="0"/>
        <w:rPr>
          <w:sz w:val="20"/>
          <w:szCs w:val="20"/>
          <w:color w:val="auto"/>
        </w:rPr>
      </w:pPr>
      <w:r>
        <w:rPr>
          <w:rFonts w:ascii="Arial" w:cs="Arial" w:eastAsia="Arial" w:hAnsi="Arial"/>
          <w:sz w:val="18"/>
          <w:szCs w:val="18"/>
          <w:color w:val="auto"/>
        </w:rPr>
        <w:t>(b) [X]</w:t>
      </w:r>
    </w:p>
    <w:p>
      <w:pPr>
        <w:spacing w:after="0" w:line="211" w:lineRule="exact"/>
        <w:rPr>
          <w:sz w:val="20"/>
          <w:szCs w:val="20"/>
          <w:color w:val="auto"/>
        </w:rPr>
      </w:pPr>
    </w:p>
    <w:p>
      <w:pPr>
        <w:ind w:left="660" w:hanging="652"/>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660" w:right="5899" w:hanging="652"/>
        <w:spacing w:after="0" w:line="528"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CITIZENSHIP OR PLACE OF ORGANIZATION Cayman Islands</w:t>
      </w:r>
    </w:p>
    <w:p>
      <w:pPr>
        <w:spacing w:after="0" w:line="386" w:lineRule="exact"/>
        <w:rPr>
          <w:sz w:val="20"/>
          <w:szCs w:val="20"/>
          <w:color w:val="auto"/>
        </w:rPr>
      </w:pPr>
    </w:p>
    <w:p>
      <w:pPr>
        <w:ind w:left="660" w:right="7699" w:hanging="652"/>
        <w:spacing w:after="0" w:line="501"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SOLE VOTING POWER 0</w:t>
      </w:r>
    </w:p>
    <w:p>
      <w:pPr>
        <w:ind w:left="660" w:right="7439" w:hanging="652"/>
        <w:spacing w:after="0" w:line="501"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SHARED VOTING POWER 651,245*</w:t>
      </w:r>
    </w:p>
    <w:p>
      <w:pPr>
        <w:ind w:left="660" w:right="7299" w:hanging="652"/>
        <w:spacing w:after="0" w:line="501"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SOLE DISPOSITIVE POWER 0</w:t>
      </w:r>
    </w:p>
    <w:p>
      <w:pPr>
        <w:ind w:left="660" w:right="7039" w:hanging="652"/>
        <w:spacing w:after="0" w:line="501"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SHARED DISPOSITIVE POWER 651,245*</w:t>
      </w:r>
    </w:p>
    <w:p>
      <w:pPr>
        <w:ind w:left="660" w:right="2999" w:hanging="652"/>
        <w:spacing w:after="0" w:line="501"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651,245*</w:t>
      </w:r>
    </w:p>
    <w:p>
      <w:pPr>
        <w:ind w:left="7780" w:right="659" w:hanging="7772"/>
        <w:spacing w:after="0" w:line="501" w:lineRule="auto"/>
        <w:tabs>
          <w:tab w:leader="none" w:pos="649" w:val="left"/>
        </w:tabs>
        <w:numPr>
          <w:ilvl w:val="0"/>
          <w:numId w:val="7"/>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 (SEE INSTRUCTIONS) [ ]</w:t>
      </w:r>
    </w:p>
    <w:p>
      <w:pPr>
        <w:ind w:left="660" w:right="4499" w:hanging="652"/>
        <w:spacing w:after="0" w:line="501"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PERCENT OF CLASS REPRESENTED BY AMOUNT IN ROW (9) 5.18%*</w:t>
      </w:r>
    </w:p>
    <w:p>
      <w:pPr>
        <w:ind w:left="660" w:right="5219" w:hanging="652"/>
        <w:spacing w:after="0" w:line="528"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TYPE OF REPORTING PERSON (SEE INSTRUCTIONS)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665" w:right="1440" w:bottom="1440" w:gutter="0" w:footer="0" w:header="0"/>
        </w:sectPr>
      </w:pPr>
    </w:p>
    <w:bookmarkStart w:id="3" w:name="page4"/>
    <w:bookmarkEnd w:id="3"/>
    <w:p>
      <w:pPr>
        <w:spacing w:after="0"/>
        <w:tabs>
          <w:tab w:leader="none" w:pos="1140" w:val="left"/>
        </w:tabs>
        <w:rPr>
          <w:sz w:val="20"/>
          <w:szCs w:val="20"/>
          <w:color w:val="auto"/>
        </w:rPr>
      </w:pPr>
      <w:r>
        <w:rPr>
          <w:rFonts w:ascii="Arial" w:cs="Arial" w:eastAsia="Arial" w:hAnsi="Arial"/>
          <w:sz w:val="18"/>
          <w:szCs w:val="18"/>
          <w:color w:val="auto"/>
        </w:rPr>
        <w:t>CUSIP No.</w:t>
      </w:r>
      <w:r>
        <w:rPr>
          <w:sz w:val="20"/>
          <w:szCs w:val="20"/>
          <w:color w:val="auto"/>
        </w:rPr>
        <w:tab/>
      </w:r>
      <w:r>
        <w:rPr>
          <w:rFonts w:ascii="Arial" w:cs="Arial" w:eastAsia="Arial" w:hAnsi="Arial"/>
          <w:sz w:val="16"/>
          <w:szCs w:val="16"/>
          <w:color w:val="auto"/>
        </w:rPr>
        <w:t>30068X103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23495</wp:posOffset>
            </wp:positionV>
            <wp:extent cx="289877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246" w:lineRule="exact"/>
        <w:rPr>
          <w:sz w:val="20"/>
          <w:szCs w:val="20"/>
          <w:color w:val="auto"/>
        </w:rPr>
      </w:pPr>
    </w:p>
    <w:p>
      <w:pPr>
        <w:ind w:left="660" w:hanging="652"/>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23" w:lineRule="exact"/>
        <w:rPr>
          <w:rFonts w:ascii="Arial" w:cs="Arial" w:eastAsia="Arial" w:hAnsi="Arial"/>
          <w:sz w:val="18"/>
          <w:szCs w:val="18"/>
          <w:color w:val="auto"/>
        </w:rPr>
      </w:pPr>
    </w:p>
    <w:p>
      <w:pPr>
        <w:ind w:left="660" w:right="3979"/>
        <w:spacing w:after="0" w:line="492" w:lineRule="auto"/>
        <w:rPr>
          <w:rFonts w:ascii="Arial" w:cs="Arial" w:eastAsia="Arial" w:hAnsi="Arial"/>
          <w:sz w:val="18"/>
          <w:szCs w:val="18"/>
          <w:color w:val="auto"/>
        </w:rPr>
      </w:pPr>
      <w:r>
        <w:rPr>
          <w:rFonts w:ascii="Arial" w:cs="Arial" w:eastAsia="Arial" w:hAnsi="Arial"/>
          <w:sz w:val="18"/>
          <w:szCs w:val="18"/>
          <w:color w:val="auto"/>
        </w:rPr>
        <w:t>I.R.S. IDENTIFICATION NOS. OF ABOVE PERSONS (ENTITIES ONLY) Roderick Wong</w:t>
      </w:r>
    </w:p>
    <w:p>
      <w:pPr>
        <w:spacing w:after="0" w:line="1" w:lineRule="exact"/>
        <w:rPr>
          <w:rFonts w:ascii="Arial" w:cs="Arial" w:eastAsia="Arial" w:hAnsi="Arial"/>
          <w:sz w:val="18"/>
          <w:szCs w:val="18"/>
          <w:color w:val="auto"/>
        </w:rPr>
      </w:pPr>
    </w:p>
    <w:p>
      <w:pPr>
        <w:ind w:left="660" w:hanging="652"/>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25" w:lineRule="exact"/>
        <w:rPr>
          <w:sz w:val="20"/>
          <w:szCs w:val="20"/>
          <w:color w:val="auto"/>
        </w:rPr>
      </w:pPr>
    </w:p>
    <w:p>
      <w:pPr>
        <w:ind w:left="7780"/>
        <w:spacing w:after="0"/>
        <w:rPr>
          <w:sz w:val="20"/>
          <w:szCs w:val="20"/>
          <w:color w:val="auto"/>
        </w:rPr>
      </w:pPr>
      <w:r>
        <w:rPr>
          <w:rFonts w:ascii="Arial" w:cs="Arial" w:eastAsia="Arial" w:hAnsi="Arial"/>
          <w:sz w:val="18"/>
          <w:szCs w:val="18"/>
          <w:color w:val="auto"/>
        </w:rPr>
        <w:t>(a) [ ]</w:t>
      </w:r>
    </w:p>
    <w:p>
      <w:pPr>
        <w:spacing w:after="0" w:line="23" w:lineRule="exact"/>
        <w:rPr>
          <w:sz w:val="20"/>
          <w:szCs w:val="20"/>
          <w:color w:val="auto"/>
        </w:rPr>
      </w:pPr>
    </w:p>
    <w:p>
      <w:pPr>
        <w:ind w:left="7780"/>
        <w:spacing w:after="0"/>
        <w:rPr>
          <w:sz w:val="20"/>
          <w:szCs w:val="20"/>
          <w:color w:val="auto"/>
        </w:rPr>
      </w:pPr>
      <w:r>
        <w:rPr>
          <w:rFonts w:ascii="Arial" w:cs="Arial" w:eastAsia="Arial" w:hAnsi="Arial"/>
          <w:sz w:val="18"/>
          <w:szCs w:val="18"/>
          <w:color w:val="auto"/>
        </w:rPr>
        <w:t>(b) [X]</w:t>
      </w:r>
    </w:p>
    <w:p>
      <w:pPr>
        <w:spacing w:after="0" w:line="211" w:lineRule="exact"/>
        <w:rPr>
          <w:sz w:val="20"/>
          <w:szCs w:val="20"/>
          <w:color w:val="auto"/>
        </w:rPr>
      </w:pPr>
    </w:p>
    <w:p>
      <w:pPr>
        <w:ind w:left="660" w:hanging="652"/>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660" w:hanging="652"/>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660" w:right="7699" w:hanging="652"/>
        <w:spacing w:after="0" w:line="501"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SOLE VOTING POWER 0</w:t>
      </w:r>
    </w:p>
    <w:p>
      <w:pPr>
        <w:ind w:left="660" w:right="7439" w:hanging="652"/>
        <w:spacing w:after="0" w:line="501"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SHARED VOTING POWER 902,085*</w:t>
      </w:r>
    </w:p>
    <w:p>
      <w:pPr>
        <w:ind w:left="660" w:right="7299" w:hanging="652"/>
        <w:spacing w:after="0" w:line="501"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SOLE DISPOSITIVE POWER 0</w:t>
      </w:r>
    </w:p>
    <w:p>
      <w:pPr>
        <w:ind w:left="660" w:right="7039" w:hanging="652"/>
        <w:spacing w:after="0" w:line="501"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SHARED DISPOSITIVE POWER 902,085*</w:t>
      </w:r>
    </w:p>
    <w:p>
      <w:pPr>
        <w:ind w:left="660" w:right="2999" w:hanging="652"/>
        <w:spacing w:after="0" w:line="501"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902,085*</w:t>
      </w:r>
    </w:p>
    <w:p>
      <w:pPr>
        <w:ind w:left="7780" w:right="659" w:hanging="7772"/>
        <w:spacing w:after="0" w:line="501" w:lineRule="auto"/>
        <w:tabs>
          <w:tab w:leader="none" w:pos="649"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 (SEE INSTRUCTIONS) [ ]</w:t>
      </w:r>
    </w:p>
    <w:p>
      <w:pPr>
        <w:ind w:left="660" w:right="4499" w:hanging="652"/>
        <w:spacing w:after="0" w:line="501"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PERCENT OF CLASS REPRESENTED BY AMOUNT IN ROW (9) 7.18%*</w:t>
      </w:r>
    </w:p>
    <w:p>
      <w:pPr>
        <w:ind w:left="660" w:right="5219" w:hanging="652"/>
        <w:spacing w:after="0" w:line="528"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TYPE OF REPORTING PERSON (SEE INSTRUCTIONS) IN, HC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665" w:right="1440"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Item 1.</w:t>
            </w:r>
          </w:p>
        </w:tc>
        <w:tc>
          <w:tcPr>
            <w:tcW w:w="820" w:type="dxa"/>
            <w:vAlign w:val="bottom"/>
          </w:tcPr>
          <w:p>
            <w:pPr>
              <w:ind w:left="160"/>
              <w:spacing w:after="0"/>
              <w:rPr>
                <w:sz w:val="20"/>
                <w:szCs w:val="20"/>
                <w:color w:val="auto"/>
              </w:rPr>
            </w:pPr>
            <w:r>
              <w:rPr>
                <w:rFonts w:ascii="Arial" w:cs="Arial" w:eastAsia="Arial" w:hAnsi="Arial"/>
                <w:sz w:val="18"/>
                <w:szCs w:val="18"/>
                <w:color w:val="auto"/>
              </w:rPr>
              <w:t>(a).</w:t>
            </w:r>
          </w:p>
        </w:tc>
        <w:tc>
          <w:tcPr>
            <w:tcW w:w="9920" w:type="dxa"/>
            <w:vAlign w:val="bottom"/>
          </w:tcPr>
          <w:p>
            <w:pPr>
              <w:spacing w:after="0"/>
              <w:rPr>
                <w:sz w:val="20"/>
                <w:szCs w:val="20"/>
                <w:color w:val="auto"/>
              </w:rPr>
            </w:pPr>
            <w:r>
              <w:rPr>
                <w:rFonts w:ascii="Arial" w:cs="Arial" w:eastAsia="Arial" w:hAnsi="Arial"/>
                <w:sz w:val="18"/>
                <w:szCs w:val="18"/>
                <w:color w:val="auto"/>
              </w:rPr>
              <w:t>Name of Issuer:</w:t>
            </w:r>
          </w:p>
        </w:tc>
      </w:tr>
      <w:tr>
        <w:trPr>
          <w:trHeight w:val="439"/>
        </w:trPr>
        <w:tc>
          <w:tcPr>
            <w:tcW w:w="6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Exagen Inc.</w:t>
            </w:r>
          </w:p>
        </w:tc>
      </w:tr>
      <w:tr>
        <w:trPr>
          <w:trHeight w:val="432"/>
        </w:trPr>
        <w:tc>
          <w:tcPr>
            <w:tcW w:w="680" w:type="dxa"/>
            <w:vAlign w:val="bottom"/>
          </w:tcPr>
          <w:p>
            <w:pPr>
              <w:spacing w:after="0"/>
              <w:rPr>
                <w:sz w:val="24"/>
                <w:szCs w:val="24"/>
                <w:color w:val="auto"/>
              </w:rPr>
            </w:pPr>
          </w:p>
        </w:tc>
        <w:tc>
          <w:tcPr>
            <w:tcW w:w="820" w:type="dxa"/>
            <w:vAlign w:val="bottom"/>
          </w:tcPr>
          <w:p>
            <w:pPr>
              <w:ind w:left="160"/>
              <w:spacing w:after="0"/>
              <w:rPr>
                <w:sz w:val="20"/>
                <w:szCs w:val="20"/>
                <w:color w:val="auto"/>
              </w:rPr>
            </w:pPr>
            <w:r>
              <w:rPr>
                <w:rFonts w:ascii="Arial" w:cs="Arial" w:eastAsia="Arial" w:hAnsi="Arial"/>
                <w:sz w:val="18"/>
                <w:szCs w:val="18"/>
                <w:color w:val="auto"/>
              </w:rPr>
              <w:t>(b).</w:t>
            </w:r>
          </w:p>
        </w:tc>
        <w:tc>
          <w:tcPr>
            <w:tcW w:w="9920" w:type="dxa"/>
            <w:vAlign w:val="bottom"/>
          </w:tcPr>
          <w:p>
            <w:pPr>
              <w:spacing w:after="0"/>
              <w:rPr>
                <w:sz w:val="20"/>
                <w:szCs w:val="20"/>
                <w:color w:val="auto"/>
              </w:rPr>
            </w:pPr>
            <w:r>
              <w:rPr>
                <w:rFonts w:ascii="Arial" w:cs="Arial" w:eastAsia="Arial" w:hAnsi="Arial"/>
                <w:sz w:val="18"/>
                <w:szCs w:val="18"/>
                <w:color w:val="auto"/>
              </w:rPr>
              <w:t>Address of issuer’s principal executive offices:</w:t>
            </w:r>
          </w:p>
        </w:tc>
      </w:tr>
      <w:tr>
        <w:trPr>
          <w:trHeight w:val="418"/>
        </w:trPr>
        <w:tc>
          <w:tcPr>
            <w:tcW w:w="6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920" w:type="dxa"/>
            <w:vAlign w:val="bottom"/>
          </w:tcPr>
          <w:p>
            <w:pPr>
              <w:spacing w:after="0"/>
              <w:rPr>
                <w:sz w:val="20"/>
                <w:szCs w:val="20"/>
                <w:color w:val="auto"/>
              </w:rPr>
            </w:pPr>
            <w:r>
              <w:rPr>
                <w:rFonts w:ascii="Arial" w:cs="Arial" w:eastAsia="Arial" w:hAnsi="Arial"/>
                <w:sz w:val="18"/>
                <w:szCs w:val="18"/>
                <w:color w:val="auto"/>
              </w:rPr>
              <w:t>1261 Liberty Way, Suite C</w:t>
            </w:r>
          </w:p>
        </w:tc>
      </w:tr>
      <w:tr>
        <w:trPr>
          <w:trHeight w:val="251"/>
        </w:trPr>
        <w:tc>
          <w:tcPr>
            <w:tcW w:w="6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9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Vista, California 92081</w:t>
            </w:r>
          </w:p>
        </w:tc>
      </w:tr>
      <w:tr>
        <w:trPr>
          <w:trHeight w:val="432"/>
        </w:trPr>
        <w:tc>
          <w:tcPr>
            <w:tcW w:w="680" w:type="dxa"/>
            <w:vAlign w:val="bottom"/>
          </w:tcPr>
          <w:p>
            <w:pPr>
              <w:spacing w:after="0"/>
              <w:rPr>
                <w:sz w:val="20"/>
                <w:szCs w:val="20"/>
                <w:color w:val="auto"/>
              </w:rPr>
            </w:pPr>
            <w:r>
              <w:rPr>
                <w:rFonts w:ascii="Arial" w:cs="Arial" w:eastAsia="Arial" w:hAnsi="Arial"/>
                <w:sz w:val="18"/>
                <w:szCs w:val="18"/>
                <w:color w:val="auto"/>
              </w:rPr>
              <w:t>Item 2.</w:t>
            </w:r>
          </w:p>
        </w:tc>
        <w:tc>
          <w:tcPr>
            <w:tcW w:w="820" w:type="dxa"/>
            <w:vAlign w:val="bottom"/>
          </w:tcPr>
          <w:p>
            <w:pPr>
              <w:ind w:left="160"/>
              <w:spacing w:after="0"/>
              <w:rPr>
                <w:sz w:val="20"/>
                <w:szCs w:val="20"/>
                <w:color w:val="auto"/>
              </w:rPr>
            </w:pPr>
            <w:r>
              <w:rPr>
                <w:rFonts w:ascii="Arial" w:cs="Arial" w:eastAsia="Arial" w:hAnsi="Arial"/>
                <w:sz w:val="18"/>
                <w:szCs w:val="18"/>
                <w:color w:val="auto"/>
              </w:rPr>
              <w:t>(a).</w:t>
            </w:r>
          </w:p>
        </w:tc>
        <w:tc>
          <w:tcPr>
            <w:tcW w:w="9920" w:type="dxa"/>
            <w:vAlign w:val="bottom"/>
          </w:tcPr>
          <w:p>
            <w:pPr>
              <w:spacing w:after="0"/>
              <w:rPr>
                <w:sz w:val="20"/>
                <w:szCs w:val="20"/>
                <w:color w:val="auto"/>
              </w:rPr>
            </w:pPr>
            <w:r>
              <w:rPr>
                <w:rFonts w:ascii="Arial" w:cs="Arial" w:eastAsia="Arial" w:hAnsi="Arial"/>
                <w:sz w:val="18"/>
                <w:szCs w:val="18"/>
                <w:color w:val="auto"/>
              </w:rPr>
              <w:t>Name of person filing:</w:t>
            </w:r>
          </w:p>
        </w:tc>
      </w:tr>
      <w:tr>
        <w:trPr>
          <w:trHeight w:val="418"/>
        </w:trPr>
        <w:tc>
          <w:tcPr>
            <w:tcW w:w="6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920" w:type="dxa"/>
            <w:vAlign w:val="bottom"/>
          </w:tcPr>
          <w:p>
            <w:pPr>
              <w:spacing w:after="0"/>
              <w:rPr>
                <w:sz w:val="20"/>
                <w:szCs w:val="20"/>
                <w:color w:val="auto"/>
              </w:rPr>
            </w:pPr>
            <w:r>
              <w:rPr>
                <w:rFonts w:ascii="Arial" w:cs="Arial" w:eastAsia="Arial" w:hAnsi="Arial"/>
                <w:sz w:val="18"/>
                <w:szCs w:val="18"/>
                <w:color w:val="auto"/>
              </w:rPr>
              <w:t>RTW Investments, LP</w:t>
            </w:r>
          </w:p>
        </w:tc>
      </w:tr>
      <w:tr>
        <w:trPr>
          <w:trHeight w:val="216"/>
        </w:trPr>
        <w:tc>
          <w:tcPr>
            <w:tcW w:w="6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920" w:type="dxa"/>
            <w:vAlign w:val="bottom"/>
          </w:tcPr>
          <w:p>
            <w:pPr>
              <w:spacing w:after="0"/>
              <w:rPr>
                <w:sz w:val="20"/>
                <w:szCs w:val="20"/>
                <w:color w:val="auto"/>
              </w:rPr>
            </w:pPr>
            <w:r>
              <w:rPr>
                <w:rFonts w:ascii="Arial" w:cs="Arial" w:eastAsia="Arial" w:hAnsi="Arial"/>
                <w:sz w:val="18"/>
                <w:szCs w:val="18"/>
                <w:color w:val="auto"/>
              </w:rPr>
              <w:t>RTW Master Fund, Ltd.</w:t>
            </w:r>
          </w:p>
        </w:tc>
      </w:tr>
      <w:tr>
        <w:trPr>
          <w:trHeight w:val="237"/>
        </w:trPr>
        <w:tc>
          <w:tcPr>
            <w:tcW w:w="6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Roderick Wong</w:t>
            </w:r>
          </w:p>
        </w:tc>
      </w:tr>
      <w:tr>
        <w:trPr>
          <w:trHeight w:val="432"/>
        </w:trPr>
        <w:tc>
          <w:tcPr>
            <w:tcW w:w="680" w:type="dxa"/>
            <w:vAlign w:val="bottom"/>
          </w:tcPr>
          <w:p>
            <w:pPr>
              <w:spacing w:after="0"/>
              <w:rPr>
                <w:sz w:val="24"/>
                <w:szCs w:val="24"/>
                <w:color w:val="auto"/>
              </w:rPr>
            </w:pPr>
          </w:p>
        </w:tc>
        <w:tc>
          <w:tcPr>
            <w:tcW w:w="820" w:type="dxa"/>
            <w:vAlign w:val="bottom"/>
          </w:tcPr>
          <w:p>
            <w:pPr>
              <w:ind w:left="160"/>
              <w:spacing w:after="0"/>
              <w:rPr>
                <w:sz w:val="20"/>
                <w:szCs w:val="20"/>
                <w:color w:val="auto"/>
              </w:rPr>
            </w:pPr>
            <w:r>
              <w:rPr>
                <w:rFonts w:ascii="Arial" w:cs="Arial" w:eastAsia="Arial" w:hAnsi="Arial"/>
                <w:sz w:val="18"/>
                <w:szCs w:val="18"/>
                <w:color w:val="auto"/>
              </w:rPr>
              <w:t>(b).</w:t>
            </w:r>
          </w:p>
        </w:tc>
        <w:tc>
          <w:tcPr>
            <w:tcW w:w="9920" w:type="dxa"/>
            <w:vAlign w:val="bottom"/>
          </w:tcPr>
          <w:p>
            <w:pPr>
              <w:spacing w:after="0"/>
              <w:rPr>
                <w:sz w:val="20"/>
                <w:szCs w:val="20"/>
                <w:color w:val="auto"/>
              </w:rPr>
            </w:pPr>
            <w:r>
              <w:rPr>
                <w:rFonts w:ascii="Arial" w:cs="Arial" w:eastAsia="Arial" w:hAnsi="Arial"/>
                <w:sz w:val="18"/>
                <w:szCs w:val="18"/>
                <w:color w:val="auto"/>
              </w:rPr>
              <w:t>Address or principal business office or, if none, residence:</w:t>
            </w:r>
          </w:p>
        </w:tc>
      </w:tr>
      <w:tr>
        <w:trPr>
          <w:trHeight w:val="422"/>
        </w:trPr>
        <w:tc>
          <w:tcPr>
            <w:tcW w:w="6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920" w:type="dxa"/>
            <w:vAlign w:val="bottom"/>
          </w:tcPr>
          <w:p>
            <w:pPr>
              <w:spacing w:after="0"/>
              <w:rPr>
                <w:sz w:val="20"/>
                <w:szCs w:val="20"/>
                <w:color w:val="auto"/>
              </w:rPr>
            </w:pPr>
            <w:r>
              <w:rPr>
                <w:rFonts w:ascii="Arial" w:cs="Arial" w:eastAsia="Arial" w:hAnsi="Arial"/>
                <w:sz w:val="18"/>
                <w:szCs w:val="18"/>
                <w:color w:val="auto"/>
              </w:rPr>
              <w:t>RTW Investments, LP</w:t>
            </w:r>
          </w:p>
        </w:tc>
      </w:tr>
      <w:tr>
        <w:trPr>
          <w:trHeight w:val="253"/>
        </w:trPr>
        <w:tc>
          <w:tcPr>
            <w:tcW w:w="6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9920" w:type="dxa"/>
            <w:vAlign w:val="bottom"/>
          </w:tcPr>
          <w:p>
            <w:pPr>
              <w:spacing w:after="0" w:line="253" w:lineRule="exact"/>
              <w:rPr>
                <w:sz w:val="20"/>
                <w:szCs w:val="20"/>
                <w:color w:val="auto"/>
              </w:rPr>
            </w:pPr>
            <w:r>
              <w:rPr>
                <w:rFonts w:ascii="Arial" w:cs="Arial" w:eastAsia="Arial" w:hAnsi="Arial"/>
                <w:sz w:val="18"/>
                <w:szCs w:val="18"/>
                <w:color w:val="auto"/>
              </w:rPr>
              <w:t>412 West 15</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Street</w:t>
            </w:r>
          </w:p>
        </w:tc>
      </w:tr>
      <w:tr>
        <w:trPr>
          <w:trHeight w:val="216"/>
        </w:trPr>
        <w:tc>
          <w:tcPr>
            <w:tcW w:w="6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920" w:type="dxa"/>
            <w:vAlign w:val="bottom"/>
          </w:tcPr>
          <w:p>
            <w:pPr>
              <w:spacing w:after="0"/>
              <w:rPr>
                <w:sz w:val="20"/>
                <w:szCs w:val="20"/>
                <w:color w:val="auto"/>
              </w:rPr>
            </w:pPr>
            <w:r>
              <w:rPr>
                <w:rFonts w:ascii="Arial" w:cs="Arial" w:eastAsia="Arial" w:hAnsi="Arial"/>
                <w:sz w:val="18"/>
                <w:szCs w:val="18"/>
                <w:color w:val="auto"/>
              </w:rPr>
              <w:t>Floor 9</w:t>
            </w:r>
          </w:p>
        </w:tc>
      </w:tr>
      <w:tr>
        <w:trPr>
          <w:trHeight w:val="230"/>
        </w:trPr>
        <w:tc>
          <w:tcPr>
            <w:tcW w:w="6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920" w:type="dxa"/>
            <w:vAlign w:val="bottom"/>
          </w:tcPr>
          <w:p>
            <w:pPr>
              <w:spacing w:after="0"/>
              <w:rPr>
                <w:sz w:val="20"/>
                <w:szCs w:val="20"/>
                <w:color w:val="auto"/>
              </w:rPr>
            </w:pPr>
            <w:r>
              <w:rPr>
                <w:rFonts w:ascii="Arial" w:cs="Arial" w:eastAsia="Arial" w:hAnsi="Arial"/>
                <w:sz w:val="18"/>
                <w:szCs w:val="18"/>
                <w:color w:val="auto"/>
              </w:rPr>
              <w:t>New York, New York 10011</w:t>
            </w:r>
          </w:p>
        </w:tc>
      </w:tr>
      <w:tr>
        <w:trPr>
          <w:trHeight w:val="418"/>
        </w:trPr>
        <w:tc>
          <w:tcPr>
            <w:tcW w:w="6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920" w:type="dxa"/>
            <w:vAlign w:val="bottom"/>
          </w:tcPr>
          <w:p>
            <w:pPr>
              <w:spacing w:after="0"/>
              <w:rPr>
                <w:sz w:val="20"/>
                <w:szCs w:val="20"/>
                <w:color w:val="auto"/>
              </w:rPr>
            </w:pPr>
            <w:r>
              <w:rPr>
                <w:rFonts w:ascii="Arial" w:cs="Arial" w:eastAsia="Arial" w:hAnsi="Arial"/>
                <w:sz w:val="18"/>
                <w:szCs w:val="18"/>
                <w:color w:val="auto"/>
              </w:rPr>
              <w:t>RTW Master Fund, Ltd.</w:t>
            </w:r>
          </w:p>
        </w:tc>
      </w:tr>
      <w:tr>
        <w:trPr>
          <w:trHeight w:val="216"/>
        </w:trPr>
        <w:tc>
          <w:tcPr>
            <w:tcW w:w="6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920" w:type="dxa"/>
            <w:vAlign w:val="bottom"/>
          </w:tcPr>
          <w:p>
            <w:pPr>
              <w:spacing w:after="0"/>
              <w:rPr>
                <w:sz w:val="20"/>
                <w:szCs w:val="20"/>
                <w:color w:val="auto"/>
              </w:rPr>
            </w:pPr>
            <w:r>
              <w:rPr>
                <w:rFonts w:ascii="Arial" w:cs="Arial" w:eastAsia="Arial" w:hAnsi="Arial"/>
                <w:sz w:val="18"/>
                <w:szCs w:val="18"/>
                <w:color w:val="auto"/>
              </w:rPr>
              <w:t>c/o Intertrust Corporate Services (Cayman) Limited</w:t>
            </w:r>
          </w:p>
        </w:tc>
      </w:tr>
      <w:tr>
        <w:trPr>
          <w:trHeight w:val="216"/>
        </w:trPr>
        <w:tc>
          <w:tcPr>
            <w:tcW w:w="6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920" w:type="dxa"/>
            <w:vAlign w:val="bottom"/>
          </w:tcPr>
          <w:p>
            <w:pPr>
              <w:spacing w:after="0"/>
              <w:rPr>
                <w:sz w:val="20"/>
                <w:szCs w:val="20"/>
                <w:color w:val="auto"/>
              </w:rPr>
            </w:pPr>
            <w:r>
              <w:rPr>
                <w:rFonts w:ascii="Arial" w:cs="Arial" w:eastAsia="Arial" w:hAnsi="Arial"/>
                <w:sz w:val="18"/>
                <w:szCs w:val="18"/>
                <w:color w:val="auto"/>
              </w:rPr>
              <w:t>190 Elgin Avenue, George Town</w:t>
            </w:r>
          </w:p>
        </w:tc>
      </w:tr>
      <w:tr>
        <w:trPr>
          <w:trHeight w:val="230"/>
        </w:trPr>
        <w:tc>
          <w:tcPr>
            <w:tcW w:w="6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920" w:type="dxa"/>
            <w:vAlign w:val="bottom"/>
          </w:tcPr>
          <w:p>
            <w:pPr>
              <w:spacing w:after="0"/>
              <w:rPr>
                <w:sz w:val="20"/>
                <w:szCs w:val="20"/>
                <w:color w:val="auto"/>
              </w:rPr>
            </w:pPr>
            <w:r>
              <w:rPr>
                <w:rFonts w:ascii="Arial" w:cs="Arial" w:eastAsia="Arial" w:hAnsi="Arial"/>
                <w:sz w:val="18"/>
                <w:szCs w:val="18"/>
                <w:color w:val="auto"/>
              </w:rPr>
              <w:t>Grand Cayman KY1-9001, Cayman Islands</w:t>
            </w:r>
          </w:p>
        </w:tc>
      </w:tr>
      <w:tr>
        <w:trPr>
          <w:trHeight w:val="418"/>
        </w:trPr>
        <w:tc>
          <w:tcPr>
            <w:tcW w:w="6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920" w:type="dxa"/>
            <w:vAlign w:val="bottom"/>
          </w:tcPr>
          <w:p>
            <w:pPr>
              <w:spacing w:after="0"/>
              <w:rPr>
                <w:sz w:val="20"/>
                <w:szCs w:val="20"/>
                <w:color w:val="auto"/>
              </w:rPr>
            </w:pPr>
            <w:r>
              <w:rPr>
                <w:rFonts w:ascii="Arial" w:cs="Arial" w:eastAsia="Arial" w:hAnsi="Arial"/>
                <w:sz w:val="18"/>
                <w:szCs w:val="18"/>
                <w:color w:val="auto"/>
              </w:rPr>
              <w:t>Roderick Wong</w:t>
            </w:r>
          </w:p>
        </w:tc>
      </w:tr>
      <w:tr>
        <w:trPr>
          <w:trHeight w:val="220"/>
        </w:trPr>
        <w:tc>
          <w:tcPr>
            <w:tcW w:w="6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9920" w:type="dxa"/>
            <w:vAlign w:val="bottom"/>
          </w:tcPr>
          <w:p>
            <w:pPr>
              <w:spacing w:after="0"/>
              <w:rPr>
                <w:sz w:val="20"/>
                <w:szCs w:val="20"/>
                <w:color w:val="auto"/>
              </w:rPr>
            </w:pPr>
            <w:r>
              <w:rPr>
                <w:rFonts w:ascii="Arial" w:cs="Arial" w:eastAsia="Arial" w:hAnsi="Arial"/>
                <w:sz w:val="18"/>
                <w:szCs w:val="18"/>
                <w:color w:val="auto"/>
              </w:rPr>
              <w:t>c/o RTW Investments, LP</w:t>
            </w:r>
          </w:p>
        </w:tc>
      </w:tr>
      <w:tr>
        <w:trPr>
          <w:trHeight w:val="253"/>
        </w:trPr>
        <w:tc>
          <w:tcPr>
            <w:tcW w:w="6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9920" w:type="dxa"/>
            <w:vAlign w:val="bottom"/>
          </w:tcPr>
          <w:p>
            <w:pPr>
              <w:spacing w:after="0" w:line="253" w:lineRule="exact"/>
              <w:rPr>
                <w:sz w:val="20"/>
                <w:szCs w:val="20"/>
                <w:color w:val="auto"/>
              </w:rPr>
            </w:pPr>
            <w:r>
              <w:rPr>
                <w:rFonts w:ascii="Arial" w:cs="Arial" w:eastAsia="Arial" w:hAnsi="Arial"/>
                <w:sz w:val="18"/>
                <w:szCs w:val="18"/>
                <w:color w:val="auto"/>
              </w:rPr>
              <w:t>412 West 15</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Street</w:t>
            </w:r>
          </w:p>
        </w:tc>
      </w:tr>
      <w:tr>
        <w:trPr>
          <w:trHeight w:val="216"/>
        </w:trPr>
        <w:tc>
          <w:tcPr>
            <w:tcW w:w="6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920" w:type="dxa"/>
            <w:vAlign w:val="bottom"/>
          </w:tcPr>
          <w:p>
            <w:pPr>
              <w:spacing w:after="0"/>
              <w:rPr>
                <w:sz w:val="20"/>
                <w:szCs w:val="20"/>
                <w:color w:val="auto"/>
              </w:rPr>
            </w:pPr>
            <w:r>
              <w:rPr>
                <w:rFonts w:ascii="Arial" w:cs="Arial" w:eastAsia="Arial" w:hAnsi="Arial"/>
                <w:sz w:val="18"/>
                <w:szCs w:val="18"/>
                <w:color w:val="auto"/>
              </w:rPr>
              <w:t>Floor 9</w:t>
            </w:r>
          </w:p>
        </w:tc>
      </w:tr>
      <w:tr>
        <w:trPr>
          <w:trHeight w:val="237"/>
        </w:trPr>
        <w:tc>
          <w:tcPr>
            <w:tcW w:w="6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New York, New York 10011</w:t>
            </w:r>
          </w:p>
        </w:tc>
      </w:tr>
      <w:tr>
        <w:trPr>
          <w:trHeight w:val="432"/>
        </w:trPr>
        <w:tc>
          <w:tcPr>
            <w:tcW w:w="680" w:type="dxa"/>
            <w:vAlign w:val="bottom"/>
          </w:tcPr>
          <w:p>
            <w:pPr>
              <w:spacing w:after="0"/>
              <w:rPr>
                <w:sz w:val="24"/>
                <w:szCs w:val="24"/>
                <w:color w:val="auto"/>
              </w:rPr>
            </w:pPr>
          </w:p>
        </w:tc>
        <w:tc>
          <w:tcPr>
            <w:tcW w:w="820" w:type="dxa"/>
            <w:vAlign w:val="bottom"/>
          </w:tcPr>
          <w:p>
            <w:pPr>
              <w:ind w:left="160"/>
              <w:spacing w:after="0"/>
              <w:rPr>
                <w:sz w:val="20"/>
                <w:szCs w:val="20"/>
                <w:color w:val="auto"/>
              </w:rPr>
            </w:pPr>
            <w:r>
              <w:rPr>
                <w:rFonts w:ascii="Arial" w:cs="Arial" w:eastAsia="Arial" w:hAnsi="Arial"/>
                <w:sz w:val="18"/>
                <w:szCs w:val="18"/>
                <w:color w:val="auto"/>
              </w:rPr>
              <w:t>(c).</w:t>
            </w:r>
          </w:p>
        </w:tc>
        <w:tc>
          <w:tcPr>
            <w:tcW w:w="9920" w:type="dxa"/>
            <w:vAlign w:val="bottom"/>
          </w:tcPr>
          <w:p>
            <w:pPr>
              <w:spacing w:after="0"/>
              <w:rPr>
                <w:sz w:val="20"/>
                <w:szCs w:val="20"/>
                <w:color w:val="auto"/>
              </w:rPr>
            </w:pPr>
            <w:r>
              <w:rPr>
                <w:rFonts w:ascii="Arial" w:cs="Arial" w:eastAsia="Arial" w:hAnsi="Arial"/>
                <w:sz w:val="18"/>
                <w:szCs w:val="18"/>
                <w:color w:val="auto"/>
              </w:rPr>
              <w:t>Citizenship:</w:t>
            </w:r>
          </w:p>
        </w:tc>
      </w:tr>
      <w:tr>
        <w:trPr>
          <w:trHeight w:val="418"/>
        </w:trPr>
        <w:tc>
          <w:tcPr>
            <w:tcW w:w="6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920" w:type="dxa"/>
            <w:vAlign w:val="bottom"/>
          </w:tcPr>
          <w:p>
            <w:pPr>
              <w:spacing w:after="0"/>
              <w:rPr>
                <w:sz w:val="20"/>
                <w:szCs w:val="20"/>
                <w:color w:val="auto"/>
              </w:rPr>
            </w:pPr>
            <w:r>
              <w:rPr>
                <w:rFonts w:ascii="Arial" w:cs="Arial" w:eastAsia="Arial" w:hAnsi="Arial"/>
                <w:sz w:val="18"/>
                <w:szCs w:val="18"/>
                <w:color w:val="auto"/>
              </w:rPr>
              <w:t>RTW Investments, LP – Delaware</w:t>
            </w:r>
          </w:p>
        </w:tc>
      </w:tr>
      <w:tr>
        <w:trPr>
          <w:trHeight w:val="216"/>
        </w:trPr>
        <w:tc>
          <w:tcPr>
            <w:tcW w:w="6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920" w:type="dxa"/>
            <w:vAlign w:val="bottom"/>
          </w:tcPr>
          <w:p>
            <w:pPr>
              <w:spacing w:after="0"/>
              <w:rPr>
                <w:sz w:val="20"/>
                <w:szCs w:val="20"/>
                <w:color w:val="auto"/>
              </w:rPr>
            </w:pPr>
            <w:r>
              <w:rPr>
                <w:rFonts w:ascii="Arial" w:cs="Arial" w:eastAsia="Arial" w:hAnsi="Arial"/>
                <w:sz w:val="18"/>
                <w:szCs w:val="18"/>
                <w:color w:val="auto"/>
              </w:rPr>
              <w:t>RTW Master Fund, Ltd. – Cayman Islands</w:t>
            </w:r>
          </w:p>
        </w:tc>
      </w:tr>
      <w:tr>
        <w:trPr>
          <w:trHeight w:val="237"/>
        </w:trPr>
        <w:tc>
          <w:tcPr>
            <w:tcW w:w="6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Roderick Wong – United States of America</w:t>
            </w:r>
          </w:p>
        </w:tc>
      </w:tr>
      <w:tr>
        <w:trPr>
          <w:trHeight w:val="432"/>
        </w:trPr>
        <w:tc>
          <w:tcPr>
            <w:tcW w:w="680" w:type="dxa"/>
            <w:vAlign w:val="bottom"/>
          </w:tcPr>
          <w:p>
            <w:pPr>
              <w:spacing w:after="0"/>
              <w:rPr>
                <w:sz w:val="24"/>
                <w:szCs w:val="24"/>
                <w:color w:val="auto"/>
              </w:rPr>
            </w:pPr>
          </w:p>
        </w:tc>
        <w:tc>
          <w:tcPr>
            <w:tcW w:w="820" w:type="dxa"/>
            <w:vAlign w:val="bottom"/>
          </w:tcPr>
          <w:p>
            <w:pPr>
              <w:ind w:left="160"/>
              <w:spacing w:after="0"/>
              <w:rPr>
                <w:sz w:val="20"/>
                <w:szCs w:val="20"/>
                <w:color w:val="auto"/>
              </w:rPr>
            </w:pPr>
            <w:r>
              <w:rPr>
                <w:rFonts w:ascii="Arial" w:cs="Arial" w:eastAsia="Arial" w:hAnsi="Arial"/>
                <w:sz w:val="18"/>
                <w:szCs w:val="18"/>
                <w:color w:val="auto"/>
              </w:rPr>
              <w:t>(d).</w:t>
            </w:r>
          </w:p>
        </w:tc>
        <w:tc>
          <w:tcPr>
            <w:tcW w:w="9920" w:type="dxa"/>
            <w:vAlign w:val="bottom"/>
          </w:tcPr>
          <w:p>
            <w:pPr>
              <w:spacing w:after="0"/>
              <w:rPr>
                <w:sz w:val="20"/>
                <w:szCs w:val="20"/>
                <w:color w:val="auto"/>
              </w:rPr>
            </w:pPr>
            <w:r>
              <w:rPr>
                <w:rFonts w:ascii="Arial" w:cs="Arial" w:eastAsia="Arial" w:hAnsi="Arial"/>
                <w:sz w:val="18"/>
                <w:szCs w:val="18"/>
                <w:color w:val="auto"/>
              </w:rPr>
              <w:t>Title of class of securities:</w:t>
            </w:r>
          </w:p>
        </w:tc>
      </w:tr>
      <w:tr>
        <w:trPr>
          <w:trHeight w:val="453"/>
        </w:trPr>
        <w:tc>
          <w:tcPr>
            <w:tcW w:w="6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Common Stock, par value $0.001 per share</w:t>
            </w:r>
          </w:p>
        </w:tc>
      </w:tr>
      <w:tr>
        <w:trPr>
          <w:trHeight w:val="432"/>
        </w:trPr>
        <w:tc>
          <w:tcPr>
            <w:tcW w:w="680" w:type="dxa"/>
            <w:vAlign w:val="bottom"/>
          </w:tcPr>
          <w:p>
            <w:pPr>
              <w:spacing w:after="0"/>
              <w:rPr>
                <w:sz w:val="24"/>
                <w:szCs w:val="24"/>
                <w:color w:val="auto"/>
              </w:rPr>
            </w:pPr>
          </w:p>
        </w:tc>
        <w:tc>
          <w:tcPr>
            <w:tcW w:w="820" w:type="dxa"/>
            <w:vAlign w:val="bottom"/>
          </w:tcPr>
          <w:p>
            <w:pPr>
              <w:ind w:left="160"/>
              <w:spacing w:after="0"/>
              <w:rPr>
                <w:sz w:val="20"/>
                <w:szCs w:val="20"/>
                <w:color w:val="auto"/>
              </w:rPr>
            </w:pPr>
            <w:r>
              <w:rPr>
                <w:rFonts w:ascii="Arial" w:cs="Arial" w:eastAsia="Arial" w:hAnsi="Arial"/>
                <w:sz w:val="18"/>
                <w:szCs w:val="18"/>
                <w:color w:val="auto"/>
              </w:rPr>
              <w:t>(e).</w:t>
            </w:r>
          </w:p>
        </w:tc>
        <w:tc>
          <w:tcPr>
            <w:tcW w:w="9920" w:type="dxa"/>
            <w:vAlign w:val="bottom"/>
          </w:tcPr>
          <w:p>
            <w:pPr>
              <w:spacing w:after="0"/>
              <w:rPr>
                <w:sz w:val="20"/>
                <w:szCs w:val="20"/>
                <w:color w:val="auto"/>
              </w:rPr>
            </w:pPr>
            <w:r>
              <w:rPr>
                <w:rFonts w:ascii="Arial" w:cs="Arial" w:eastAsia="Arial" w:hAnsi="Arial"/>
                <w:sz w:val="18"/>
                <w:szCs w:val="18"/>
                <w:color w:val="auto"/>
              </w:rPr>
              <w:t>CUSIP No.:</w:t>
            </w:r>
          </w:p>
        </w:tc>
      </w:tr>
      <w:tr>
        <w:trPr>
          <w:trHeight w:val="439"/>
        </w:trPr>
        <w:tc>
          <w:tcPr>
            <w:tcW w:w="6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30068X103</w:t>
            </w:r>
          </w:p>
        </w:tc>
      </w:tr>
      <w:tr>
        <w:trPr>
          <w:trHeight w:val="439"/>
        </w:trPr>
        <w:tc>
          <w:tcPr>
            <w:tcW w:w="6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99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65" w:right="239" w:bottom="1440" w:gutter="0" w:footer="0" w:header="0"/>
        </w:sectPr>
      </w:pPr>
    </w:p>
    <w:bookmarkStart w:id="5" w:name="page6"/>
    <w:bookmarkEnd w:id="5"/>
    <w:p>
      <w:pPr>
        <w:spacing w:after="0"/>
        <w:tabs>
          <w:tab w:leader="none" w:pos="82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6"/>
          <w:szCs w:val="16"/>
          <w:color w:val="auto"/>
        </w:rPr>
        <w:t>If This Statement is filed pursuant to §§.240.13d-1(b) or 240.13d-2(b), or (c), check whether the person filing is a</w:t>
      </w:r>
    </w:p>
    <w:p>
      <w:pPr>
        <w:spacing w:after="0" w:line="225" w:lineRule="exact"/>
        <w:rPr>
          <w:sz w:val="20"/>
          <w:szCs w:val="20"/>
          <w:color w:val="auto"/>
        </w:rPr>
      </w:pPr>
    </w:p>
    <w:p>
      <w:pPr>
        <w:ind w:left="840"/>
        <w:spacing w:after="0"/>
        <w:rPr>
          <w:sz w:val="20"/>
          <w:szCs w:val="20"/>
          <w:color w:val="auto"/>
        </w:rPr>
      </w:pPr>
      <w:r>
        <w:rPr>
          <w:rFonts w:ascii="Arial" w:cs="Arial" w:eastAsia="Arial" w:hAnsi="Arial"/>
          <w:sz w:val="18"/>
          <w:szCs w:val="18"/>
          <w:color w:val="auto"/>
        </w:rPr>
        <w:t>N/A</w:t>
      </w:r>
    </w:p>
    <w:p>
      <w:pPr>
        <w:spacing w:after="0" w:line="225"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color w:val="auto"/>
        </w:rPr>
        <w:t>Item 4.</w:t>
      </w:r>
      <w:r>
        <w:rPr>
          <w:sz w:val="20"/>
          <w:szCs w:val="20"/>
          <w:color w:val="auto"/>
        </w:rPr>
        <w:tab/>
      </w:r>
      <w:r>
        <w:rPr>
          <w:rFonts w:ascii="Arial" w:cs="Arial" w:eastAsia="Arial" w:hAnsi="Arial"/>
          <w:sz w:val="16"/>
          <w:szCs w:val="16"/>
          <w:color w:val="auto"/>
        </w:rPr>
        <w:t>Ownership.</w:t>
      </w:r>
    </w:p>
    <w:p>
      <w:pPr>
        <w:spacing w:after="0" w:line="225" w:lineRule="exact"/>
        <w:rPr>
          <w:sz w:val="20"/>
          <w:szCs w:val="20"/>
          <w:color w:val="auto"/>
        </w:rPr>
      </w:pPr>
    </w:p>
    <w:p>
      <w:pPr>
        <w:ind w:left="840"/>
        <w:spacing w:after="0"/>
        <w:rPr>
          <w:sz w:val="20"/>
          <w:szCs w:val="20"/>
          <w:color w:val="auto"/>
        </w:rPr>
      </w:pPr>
      <w:r>
        <w:rPr>
          <w:rFonts w:ascii="Arial" w:cs="Arial" w:eastAsia="Arial" w:hAnsi="Arial"/>
          <w:sz w:val="17"/>
          <w:szCs w:val="17"/>
          <w:color w:val="auto"/>
        </w:rPr>
        <w:t>Provide the following information regarding the aggregate number and percentage of the class of securities of the issuer identified in Item 1.</w:t>
      </w:r>
    </w:p>
    <w:p>
      <w:pPr>
        <w:spacing w:after="0" w:line="237" w:lineRule="exact"/>
        <w:rPr>
          <w:sz w:val="20"/>
          <w:szCs w:val="20"/>
          <w:color w:val="auto"/>
        </w:rPr>
      </w:pPr>
    </w:p>
    <w:p>
      <w:pPr>
        <w:ind w:left="840"/>
        <w:spacing w:after="0"/>
        <w:rPr>
          <w:sz w:val="20"/>
          <w:szCs w:val="20"/>
          <w:color w:val="auto"/>
        </w:rPr>
      </w:pPr>
      <w:r>
        <w:rPr>
          <w:rFonts w:ascii="Arial" w:cs="Arial" w:eastAsia="Arial" w:hAnsi="Arial"/>
          <w:sz w:val="18"/>
          <w:szCs w:val="18"/>
          <w:color w:val="auto"/>
        </w:rPr>
        <w:t>(a)  Amount beneficially owned:</w:t>
      </w:r>
    </w:p>
    <w:p>
      <w:pPr>
        <w:spacing w:after="0" w:line="225"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RTW Investments, LP – 902,085*</w:t>
      </w:r>
    </w:p>
    <w:p>
      <w:pPr>
        <w:spacing w:after="0" w:line="23"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RTW Master Fund, Ltd. – 651,245*</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Roderick Wong – 902,085*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948690</wp:posOffset>
            </wp:positionH>
            <wp:positionV relativeFrom="paragraph">
              <wp:posOffset>5715</wp:posOffset>
            </wp:positionV>
            <wp:extent cx="630301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303010" cy="17145"/>
                    </a:xfrm>
                    <a:prstGeom prst="rect">
                      <a:avLst/>
                    </a:prstGeom>
                    <a:noFill/>
                  </pic:spPr>
                </pic:pic>
              </a:graphicData>
            </a:graphic>
          </wp:anchor>
        </w:drawing>
      </w:r>
    </w:p>
    <w:p>
      <w:pPr>
        <w:spacing w:after="0" w:line="218" w:lineRule="exact"/>
        <w:rPr>
          <w:sz w:val="20"/>
          <w:szCs w:val="20"/>
          <w:color w:val="auto"/>
        </w:rPr>
      </w:pPr>
    </w:p>
    <w:p>
      <w:pPr>
        <w:ind w:left="840"/>
        <w:spacing w:after="0"/>
        <w:rPr>
          <w:sz w:val="20"/>
          <w:szCs w:val="20"/>
          <w:color w:val="auto"/>
        </w:rPr>
      </w:pPr>
      <w:r>
        <w:rPr>
          <w:rFonts w:ascii="Arial" w:cs="Arial" w:eastAsia="Arial" w:hAnsi="Arial"/>
          <w:sz w:val="18"/>
          <w:szCs w:val="18"/>
          <w:color w:val="auto"/>
        </w:rPr>
        <w:t>(b)  Percent of class:</w:t>
      </w:r>
    </w:p>
    <w:p>
      <w:pPr>
        <w:spacing w:after="0" w:line="225"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RTW Investments, LP – 7.18%*</w:t>
      </w:r>
    </w:p>
    <w:p>
      <w:pPr>
        <w:spacing w:after="0" w:line="23"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RTW Master Fund, Ltd. – 5.18%*</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Roderick Wong – 7.18%*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948690</wp:posOffset>
            </wp:positionH>
            <wp:positionV relativeFrom="paragraph">
              <wp:posOffset>5715</wp:posOffset>
            </wp:positionV>
            <wp:extent cx="630301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303010" cy="17145"/>
                    </a:xfrm>
                    <a:prstGeom prst="rect">
                      <a:avLst/>
                    </a:prstGeom>
                    <a:noFill/>
                  </pic:spPr>
                </pic:pic>
              </a:graphicData>
            </a:graphic>
          </wp:anchor>
        </w:drawing>
      </w:r>
    </w:p>
    <w:p>
      <w:pPr>
        <w:spacing w:after="0" w:line="218" w:lineRule="exact"/>
        <w:rPr>
          <w:sz w:val="20"/>
          <w:szCs w:val="20"/>
          <w:color w:val="auto"/>
        </w:rPr>
      </w:pPr>
    </w:p>
    <w:p>
      <w:pPr>
        <w:ind w:left="1500" w:hanging="655"/>
        <w:spacing w:after="0"/>
        <w:tabs>
          <w:tab w:leader="none" w:pos="15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225" w:lineRule="exact"/>
        <w:rPr>
          <w:rFonts w:ascii="Arial" w:cs="Arial" w:eastAsia="Arial" w:hAnsi="Arial"/>
          <w:sz w:val="18"/>
          <w:szCs w:val="18"/>
          <w:color w:val="auto"/>
        </w:rPr>
      </w:pPr>
    </w:p>
    <w:p>
      <w:pPr>
        <w:ind w:left="1880" w:hanging="386"/>
        <w:spacing w:after="0"/>
        <w:tabs>
          <w:tab w:leader="none" w:pos="1880" w:val="left"/>
        </w:tabs>
        <w:numPr>
          <w:ilvl w:val="2"/>
          <w:numId w:val="11"/>
        </w:numPr>
        <w:rPr>
          <w:rFonts w:ascii="Arial" w:cs="Arial" w:eastAsia="Arial" w:hAnsi="Arial"/>
          <w:sz w:val="18"/>
          <w:szCs w:val="18"/>
          <w:color w:val="auto"/>
        </w:rPr>
      </w:pPr>
      <w:r>
        <w:rPr>
          <w:rFonts w:ascii="Arial" w:cs="Arial" w:eastAsia="Arial" w:hAnsi="Arial"/>
          <w:sz w:val="18"/>
          <w:szCs w:val="18"/>
          <w:color w:val="auto"/>
        </w:rPr>
        <w:t>Sole power to vote or to direct the vote</w:t>
      </w:r>
    </w:p>
    <w:p>
      <w:pPr>
        <w:spacing w:after="0" w:line="225" w:lineRule="exact"/>
        <w:rPr>
          <w:rFonts w:ascii="Arial" w:cs="Arial" w:eastAsia="Arial" w:hAnsi="Arial"/>
          <w:sz w:val="18"/>
          <w:szCs w:val="18"/>
          <w:color w:val="auto"/>
        </w:rPr>
      </w:pPr>
    </w:p>
    <w:p>
      <w:pPr>
        <w:ind w:left="1880" w:right="7540"/>
        <w:spacing w:after="0" w:line="286" w:lineRule="auto"/>
        <w:rPr>
          <w:rFonts w:ascii="Arial" w:cs="Arial" w:eastAsia="Arial" w:hAnsi="Arial"/>
          <w:sz w:val="18"/>
          <w:szCs w:val="18"/>
          <w:color w:val="auto"/>
        </w:rPr>
      </w:pPr>
      <w:r>
        <w:rPr>
          <w:rFonts w:ascii="Arial" w:cs="Arial" w:eastAsia="Arial" w:hAnsi="Arial"/>
          <w:sz w:val="17"/>
          <w:szCs w:val="17"/>
          <w:color w:val="auto"/>
        </w:rPr>
        <w:t>RTW Investments, LP – 0 RTW Master Fund, Ltd. – 0 Roderick Wong – 0</w:t>
      </w:r>
    </w:p>
    <w:p>
      <w:pPr>
        <w:spacing w:after="0" w:line="165" w:lineRule="exact"/>
        <w:rPr>
          <w:rFonts w:ascii="Arial" w:cs="Arial" w:eastAsia="Arial" w:hAnsi="Arial"/>
          <w:sz w:val="18"/>
          <w:szCs w:val="18"/>
          <w:color w:val="auto"/>
        </w:rPr>
      </w:pPr>
    </w:p>
    <w:p>
      <w:pPr>
        <w:ind w:left="1880" w:hanging="386"/>
        <w:spacing w:after="0"/>
        <w:tabs>
          <w:tab w:leader="none" w:pos="1880" w:val="left"/>
        </w:tabs>
        <w:numPr>
          <w:ilvl w:val="2"/>
          <w:numId w:val="11"/>
        </w:numPr>
        <w:rPr>
          <w:rFonts w:ascii="Arial" w:cs="Arial" w:eastAsia="Arial" w:hAnsi="Arial"/>
          <w:sz w:val="18"/>
          <w:szCs w:val="18"/>
          <w:color w:val="auto"/>
        </w:rPr>
      </w:pPr>
      <w:r>
        <w:rPr>
          <w:rFonts w:ascii="Arial" w:cs="Arial" w:eastAsia="Arial" w:hAnsi="Arial"/>
          <w:sz w:val="18"/>
          <w:szCs w:val="18"/>
          <w:color w:val="auto"/>
        </w:rPr>
        <w:t>Shared power to vote or to direct the vote</w:t>
      </w:r>
    </w:p>
    <w:p>
      <w:pPr>
        <w:spacing w:after="0" w:line="225" w:lineRule="exact"/>
        <w:rPr>
          <w:rFonts w:ascii="Arial" w:cs="Arial" w:eastAsia="Arial" w:hAnsi="Arial"/>
          <w:sz w:val="18"/>
          <w:szCs w:val="18"/>
          <w:color w:val="auto"/>
        </w:rPr>
      </w:pPr>
    </w:p>
    <w:p>
      <w:pPr>
        <w:jc w:val="both"/>
        <w:ind w:left="1880" w:right="7100"/>
        <w:spacing w:after="0" w:line="312" w:lineRule="auto"/>
        <w:rPr>
          <w:rFonts w:ascii="Arial" w:cs="Arial" w:eastAsia="Arial" w:hAnsi="Arial"/>
          <w:sz w:val="18"/>
          <w:szCs w:val="18"/>
          <w:color w:val="auto"/>
        </w:rPr>
      </w:pPr>
      <w:r>
        <w:rPr>
          <w:rFonts w:ascii="Arial" w:cs="Arial" w:eastAsia="Arial" w:hAnsi="Arial"/>
          <w:sz w:val="16"/>
          <w:szCs w:val="16"/>
          <w:color w:val="auto"/>
        </w:rPr>
        <w:t>RTW Investments, LP – 902,085* RTW Master Fund, Ltd. 651,245* Roderick Wong – 902,085*</w:t>
      </w:r>
    </w:p>
    <w:p>
      <w:pPr>
        <w:spacing w:after="0" w:line="146" w:lineRule="exact"/>
        <w:rPr>
          <w:rFonts w:ascii="Arial" w:cs="Arial" w:eastAsia="Arial" w:hAnsi="Arial"/>
          <w:sz w:val="18"/>
          <w:szCs w:val="18"/>
          <w:color w:val="auto"/>
        </w:rPr>
      </w:pPr>
    </w:p>
    <w:p>
      <w:pPr>
        <w:ind w:left="1880" w:hanging="386"/>
        <w:spacing w:after="0"/>
        <w:tabs>
          <w:tab w:leader="none" w:pos="1880" w:val="left"/>
        </w:tabs>
        <w:numPr>
          <w:ilvl w:val="2"/>
          <w:numId w:val="11"/>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w:t>
      </w:r>
    </w:p>
    <w:p>
      <w:pPr>
        <w:spacing w:after="0" w:line="225" w:lineRule="exact"/>
        <w:rPr>
          <w:rFonts w:ascii="Arial" w:cs="Arial" w:eastAsia="Arial" w:hAnsi="Arial"/>
          <w:sz w:val="18"/>
          <w:szCs w:val="18"/>
          <w:color w:val="auto"/>
        </w:rPr>
      </w:pPr>
    </w:p>
    <w:p>
      <w:pPr>
        <w:ind w:left="1880" w:right="7540"/>
        <w:spacing w:after="0" w:line="286" w:lineRule="auto"/>
        <w:rPr>
          <w:rFonts w:ascii="Arial" w:cs="Arial" w:eastAsia="Arial" w:hAnsi="Arial"/>
          <w:sz w:val="18"/>
          <w:szCs w:val="18"/>
          <w:color w:val="auto"/>
        </w:rPr>
      </w:pPr>
      <w:r>
        <w:rPr>
          <w:rFonts w:ascii="Arial" w:cs="Arial" w:eastAsia="Arial" w:hAnsi="Arial"/>
          <w:sz w:val="17"/>
          <w:szCs w:val="17"/>
          <w:color w:val="auto"/>
        </w:rPr>
        <w:t>RTW Investments, LP – 0 RTW Master Fund, Ltd. – 0 Roderick Wong – 0</w:t>
      </w:r>
    </w:p>
    <w:p>
      <w:pPr>
        <w:spacing w:after="0" w:line="165" w:lineRule="exact"/>
        <w:rPr>
          <w:rFonts w:ascii="Arial" w:cs="Arial" w:eastAsia="Arial" w:hAnsi="Arial"/>
          <w:sz w:val="18"/>
          <w:szCs w:val="18"/>
          <w:color w:val="auto"/>
        </w:rPr>
      </w:pPr>
    </w:p>
    <w:p>
      <w:pPr>
        <w:ind w:left="1880" w:hanging="386"/>
        <w:spacing w:after="0"/>
        <w:tabs>
          <w:tab w:leader="none" w:pos="1880" w:val="left"/>
        </w:tabs>
        <w:numPr>
          <w:ilvl w:val="2"/>
          <w:numId w:val="11"/>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w:t>
      </w:r>
    </w:p>
    <w:p>
      <w:pPr>
        <w:spacing w:after="0" w:line="225" w:lineRule="exact"/>
        <w:rPr>
          <w:rFonts w:ascii="Arial" w:cs="Arial" w:eastAsia="Arial" w:hAnsi="Arial"/>
          <w:sz w:val="18"/>
          <w:szCs w:val="18"/>
          <w:color w:val="auto"/>
        </w:rPr>
      </w:pPr>
    </w:p>
    <w:p>
      <w:pPr>
        <w:ind w:left="1880" w:right="6960"/>
        <w:spacing w:after="0" w:line="312" w:lineRule="auto"/>
        <w:rPr>
          <w:rFonts w:ascii="Arial" w:cs="Arial" w:eastAsia="Arial" w:hAnsi="Arial"/>
          <w:sz w:val="18"/>
          <w:szCs w:val="18"/>
          <w:color w:val="auto"/>
        </w:rPr>
      </w:pPr>
      <w:r>
        <w:rPr>
          <w:rFonts w:ascii="Arial" w:cs="Arial" w:eastAsia="Arial" w:hAnsi="Arial"/>
          <w:sz w:val="16"/>
          <w:szCs w:val="16"/>
          <w:color w:val="auto"/>
        </w:rPr>
        <w:t>RTW Investments, LP – 902,085* RTW Master Fund, Ltd. – 651,245* Roderick Wong – 902,085*</w:t>
      </w:r>
    </w:p>
    <w:p>
      <w:pPr>
        <w:spacing w:after="0" w:line="295" w:lineRule="exact"/>
        <w:rPr>
          <w:rFonts w:ascii="Arial" w:cs="Arial" w:eastAsia="Arial" w:hAnsi="Arial"/>
          <w:sz w:val="18"/>
          <w:szCs w:val="18"/>
          <w:color w:val="auto"/>
        </w:rPr>
      </w:pPr>
    </w:p>
    <w:p>
      <w:pPr>
        <w:jc w:val="both"/>
        <w:spacing w:after="0" w:line="270" w:lineRule="auto"/>
        <w:rPr>
          <w:rFonts w:ascii="Arial" w:cs="Arial" w:eastAsia="Arial" w:hAnsi="Arial"/>
          <w:sz w:val="18"/>
          <w:szCs w:val="18"/>
          <w:color w:val="auto"/>
        </w:rPr>
      </w:pPr>
      <w:r>
        <w:rPr>
          <w:rFonts w:ascii="Arial" w:cs="Arial" w:eastAsia="Arial" w:hAnsi="Arial"/>
          <w:sz w:val="17"/>
          <w:szCs w:val="17"/>
          <w:color w:val="auto"/>
        </w:rPr>
        <w:t>* The Common Stock, par value $0.001 per share (the “Shares”), of Exagen Inc. (the “Company”) reported herein are held by RTW Master Fund, Ltd. and one or more private funds (together the “Funds”) managed by RTW Investments, LP (the “Adviser”). The Adviser, in its capacity as the investment manager of the Funds, has the power to vote and the power to direct the disposition of all Shares held by the Funds. Accordingly, for the purposes of Reg. Section 240.13d-3, the Adviser may be deemed to beneficially own an aggregate of 902,085 Shares, or 7.18% of the Company’s 12,560,990 Shares deemed issued and outstanding as of November 8, 2019, as disclosed in the Company’s Form 10-Q Quarterly Report, as filed with the Securities and Exchange Commission on November 12, 2019. Roderick Wong is the Managing Partner of the Adviser. This report shall not be deemed an admission that the Adviser, the Funds or any other person is the beneficial owner of the securities reported herein for purposes of Section 13 of the Securities Exchange Act of 1934, as amended, or for any other purpose. Each of the reporting persons herein disclaims beneficial ownership of the Shares reported herein except to the extent of the reporting person’s pecuniary interest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-1306830</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261620</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6" w:name="page7"/>
    <w:bookmarkEnd w:id="6"/>
    <w:p>
      <w:pPr>
        <w:spacing w:after="0"/>
        <w:tabs>
          <w:tab w:leader="none" w:pos="82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6"/>
          <w:szCs w:val="16"/>
          <w:color w:val="auto"/>
        </w:rPr>
        <w:t>Ownership of Five Percent or Less of a Class.</w:t>
      </w:r>
    </w:p>
    <w:p>
      <w:pPr>
        <w:spacing w:after="0" w:line="225" w:lineRule="exact"/>
        <w:rPr>
          <w:sz w:val="20"/>
          <w:szCs w:val="20"/>
          <w:color w:val="auto"/>
        </w:rPr>
      </w:pPr>
    </w:p>
    <w:p>
      <w:pPr>
        <w:jc w:val="both"/>
        <w:ind w:left="840" w:right="20"/>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 ].</w:t>
      </w:r>
    </w:p>
    <w:p>
      <w:pPr>
        <w:spacing w:after="0" w:line="170" w:lineRule="exact"/>
        <w:rPr>
          <w:sz w:val="20"/>
          <w:szCs w:val="20"/>
          <w:color w:val="auto"/>
        </w:rPr>
      </w:pPr>
    </w:p>
    <w:p>
      <w:pPr>
        <w:ind w:left="840"/>
        <w:spacing w:after="0"/>
        <w:rPr>
          <w:sz w:val="20"/>
          <w:szCs w:val="20"/>
          <w:color w:val="auto"/>
        </w:rPr>
      </w:pPr>
      <w:r>
        <w:rPr>
          <w:rFonts w:ascii="Arial" w:cs="Arial" w:eastAsia="Arial" w:hAnsi="Arial"/>
          <w:sz w:val="18"/>
          <w:szCs w:val="18"/>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14605</wp:posOffset>
            </wp:positionV>
            <wp:extent cx="671512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715125" cy="17145"/>
                    </a:xfrm>
                    <a:prstGeom prst="rect">
                      <a:avLst/>
                    </a:prstGeom>
                    <a:noFill/>
                  </pic:spPr>
                </pic:pic>
              </a:graphicData>
            </a:graphic>
          </wp:anchor>
        </w:drawing>
      </w:r>
    </w:p>
    <w:p>
      <w:pPr>
        <w:spacing w:after="0" w:line="232"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color w:val="auto"/>
        </w:rPr>
        <w:t>Item 6.</w:t>
      </w:r>
      <w:r>
        <w:rPr>
          <w:sz w:val="20"/>
          <w:szCs w:val="20"/>
          <w:color w:val="auto"/>
        </w:rPr>
        <w:tab/>
      </w:r>
      <w:r>
        <w:rPr>
          <w:rFonts w:ascii="Arial" w:cs="Arial" w:eastAsia="Arial" w:hAnsi="Arial"/>
          <w:sz w:val="16"/>
          <w:szCs w:val="16"/>
          <w:color w:val="auto"/>
        </w:rPr>
        <w:t>Ownership of More Than Five Percent on Behalf of Another Person.</w:t>
      </w:r>
    </w:p>
    <w:p>
      <w:pPr>
        <w:spacing w:after="0" w:line="225" w:lineRule="exact"/>
        <w:rPr>
          <w:sz w:val="20"/>
          <w:szCs w:val="20"/>
          <w:color w:val="auto"/>
        </w:rPr>
      </w:pPr>
    </w:p>
    <w:p>
      <w:pPr>
        <w:jc w:val="both"/>
        <w:ind w:left="840"/>
        <w:spacing w:after="0" w:line="279" w:lineRule="auto"/>
        <w:rPr>
          <w:sz w:val="20"/>
          <w:szCs w:val="20"/>
          <w:color w:val="auto"/>
        </w:rPr>
      </w:pPr>
      <w:r>
        <w:rPr>
          <w:rFonts w:ascii="Arial" w:cs="Arial" w:eastAsia="Arial" w:hAnsi="Arial"/>
          <w:sz w:val="17"/>
          <w:szCs w:val="17"/>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171" w:lineRule="exact"/>
        <w:rPr>
          <w:sz w:val="20"/>
          <w:szCs w:val="20"/>
          <w:color w:val="auto"/>
        </w:rPr>
      </w:pPr>
    </w:p>
    <w:p>
      <w:pPr>
        <w:ind w:left="840"/>
        <w:spacing w:after="0"/>
        <w:rPr>
          <w:sz w:val="20"/>
          <w:szCs w:val="20"/>
          <w:color w:val="auto"/>
        </w:rPr>
      </w:pPr>
      <w:r>
        <w:rPr>
          <w:rFonts w:ascii="Arial" w:cs="Arial" w:eastAsia="Arial" w:hAnsi="Arial"/>
          <w:sz w:val="18"/>
          <w:szCs w:val="18"/>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14605</wp:posOffset>
            </wp:positionV>
            <wp:extent cx="671512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715125" cy="17145"/>
                    </a:xfrm>
                    <a:prstGeom prst="rect">
                      <a:avLst/>
                    </a:prstGeom>
                    <a:noFill/>
                  </pic:spPr>
                </pic:pic>
              </a:graphicData>
            </a:graphic>
          </wp:anchor>
        </w:drawing>
      </w:r>
    </w:p>
    <w:p>
      <w:pPr>
        <w:spacing w:after="0" w:line="232" w:lineRule="exact"/>
        <w:rPr>
          <w:sz w:val="20"/>
          <w:szCs w:val="20"/>
          <w:color w:val="auto"/>
        </w:rPr>
      </w:pPr>
    </w:p>
    <w:p>
      <w:pPr>
        <w:ind w:left="840" w:hanging="836"/>
        <w:spacing w:after="0" w:line="277" w:lineRule="auto"/>
        <w:tabs>
          <w:tab w:leader="none" w:pos="820" w:val="left"/>
        </w:tabs>
        <w:rPr>
          <w:sz w:val="20"/>
          <w:szCs w:val="20"/>
          <w:color w:val="auto"/>
        </w:rPr>
      </w:pPr>
      <w:r>
        <w:rPr>
          <w:rFonts w:ascii="Arial" w:cs="Arial" w:eastAsia="Arial" w:hAnsi="Arial"/>
          <w:sz w:val="18"/>
          <w:szCs w:val="18"/>
          <w:color w:val="auto"/>
        </w:rPr>
        <w:t>Item 7.</w:t>
      </w:r>
      <w:r>
        <w:rPr>
          <w:sz w:val="20"/>
          <w:szCs w:val="20"/>
          <w:color w:val="auto"/>
        </w:rPr>
        <w:tab/>
      </w:r>
      <w:r>
        <w:rPr>
          <w:rFonts w:ascii="Arial" w:cs="Arial" w:eastAsia="Arial" w:hAnsi="Arial"/>
          <w:sz w:val="18"/>
          <w:szCs w:val="18"/>
          <w:color w:val="auto"/>
        </w:rPr>
        <w:t>Identification and Classification of the Subsidiary Which Acquired the Security Being Reported on by the Parent Holding Company or Control Person.</w:t>
      </w:r>
    </w:p>
    <w:p>
      <w:pPr>
        <w:spacing w:after="0" w:line="170" w:lineRule="exact"/>
        <w:rPr>
          <w:sz w:val="20"/>
          <w:szCs w:val="20"/>
          <w:color w:val="auto"/>
        </w:rPr>
      </w:pPr>
    </w:p>
    <w:p>
      <w:pPr>
        <w:jc w:val="both"/>
        <w:ind w:left="840"/>
        <w:spacing w:after="0" w:line="286" w:lineRule="auto"/>
        <w:rPr>
          <w:sz w:val="20"/>
          <w:szCs w:val="20"/>
          <w:color w:val="auto"/>
        </w:rPr>
      </w:pPr>
      <w:r>
        <w:rPr>
          <w:rFonts w:ascii="Arial" w:cs="Arial" w:eastAsia="Arial" w:hAnsi="Arial"/>
          <w:sz w:val="17"/>
          <w:szCs w:val="17"/>
          <w:color w:val="auto"/>
        </w:rPr>
        <w:t>If a parent holding company or control person has filed this schedule, pursuant to Rule 13d-1(b)(1)(ii)(G), so indicate under Item 3(g) and attach an exhibit stating the identity and the Item 3 classification of the relevant subsidiary. If a parent holding company or control person has filed this schedule pursuant to Rule 13d-1(c) or Rule 13d-1(d), attach an exhibit stating the identification of the relevant subsidiary.</w:t>
      </w:r>
    </w:p>
    <w:p>
      <w:pPr>
        <w:spacing w:after="0" w:line="166" w:lineRule="exact"/>
        <w:rPr>
          <w:sz w:val="20"/>
          <w:szCs w:val="20"/>
          <w:color w:val="auto"/>
        </w:rPr>
      </w:pPr>
    </w:p>
    <w:p>
      <w:pPr>
        <w:ind w:left="840"/>
        <w:spacing w:after="0"/>
        <w:rPr>
          <w:sz w:val="20"/>
          <w:szCs w:val="20"/>
          <w:color w:val="auto"/>
        </w:rPr>
      </w:pPr>
      <w:r>
        <w:rPr>
          <w:rFonts w:ascii="Arial" w:cs="Arial" w:eastAsia="Arial" w:hAnsi="Arial"/>
          <w:sz w:val="18"/>
          <w:szCs w:val="18"/>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14605</wp:posOffset>
            </wp:positionV>
            <wp:extent cx="671512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715125" cy="17145"/>
                    </a:xfrm>
                    <a:prstGeom prst="rect">
                      <a:avLst/>
                    </a:prstGeom>
                    <a:noFill/>
                  </pic:spPr>
                </pic:pic>
              </a:graphicData>
            </a:graphic>
          </wp:anchor>
        </w:drawing>
      </w:r>
    </w:p>
    <w:p>
      <w:pPr>
        <w:spacing w:after="0" w:line="232"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color w:val="auto"/>
        </w:rPr>
        <w:t>Item 8.</w:t>
      </w:r>
      <w:r>
        <w:rPr>
          <w:sz w:val="20"/>
          <w:szCs w:val="20"/>
          <w:color w:val="auto"/>
        </w:rPr>
        <w:tab/>
      </w:r>
      <w:r>
        <w:rPr>
          <w:rFonts w:ascii="Arial" w:cs="Arial" w:eastAsia="Arial" w:hAnsi="Arial"/>
          <w:sz w:val="16"/>
          <w:szCs w:val="16"/>
          <w:color w:val="auto"/>
        </w:rPr>
        <w:t>Identification and Classification of Members of the Group.</w:t>
      </w:r>
    </w:p>
    <w:p>
      <w:pPr>
        <w:spacing w:after="0" w:line="225" w:lineRule="exact"/>
        <w:rPr>
          <w:sz w:val="20"/>
          <w:szCs w:val="20"/>
          <w:color w:val="auto"/>
        </w:rPr>
      </w:pPr>
    </w:p>
    <w:p>
      <w:pPr>
        <w:jc w:val="both"/>
        <w:ind w:left="840"/>
        <w:spacing w:after="0" w:line="264" w:lineRule="auto"/>
        <w:rPr>
          <w:sz w:val="20"/>
          <w:szCs w:val="20"/>
          <w:color w:val="auto"/>
        </w:rPr>
      </w:pPr>
      <w:r>
        <w:rPr>
          <w:rFonts w:ascii="Arial" w:cs="Arial" w:eastAsia="Arial" w:hAnsi="Arial"/>
          <w:sz w:val="18"/>
          <w:szCs w:val="18"/>
          <w:color w:val="auto"/>
        </w:rPr>
        <w:t>If a group has filed this schedule pursuant to §240.13d-1(b)(1)(ii)(J), so indicate under Item 3(j) and attach an exhibit stating the identity and Item 3 classification of each member of the group. If a group has filed this schedule pursuant to Rule 13d-1(c) or Rule 13d-1(d), attach an exhibit stating the identity of each member of the group.</w:t>
      </w:r>
    </w:p>
    <w:p>
      <w:pPr>
        <w:spacing w:after="0" w:line="181" w:lineRule="exact"/>
        <w:rPr>
          <w:sz w:val="20"/>
          <w:szCs w:val="20"/>
          <w:color w:val="auto"/>
        </w:rPr>
      </w:pPr>
    </w:p>
    <w:p>
      <w:pPr>
        <w:ind w:left="840"/>
        <w:spacing w:after="0"/>
        <w:rPr>
          <w:sz w:val="20"/>
          <w:szCs w:val="20"/>
          <w:color w:val="auto"/>
        </w:rPr>
      </w:pPr>
      <w:r>
        <w:rPr>
          <w:rFonts w:ascii="Arial" w:cs="Arial" w:eastAsia="Arial" w:hAnsi="Arial"/>
          <w:sz w:val="18"/>
          <w:szCs w:val="18"/>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14605</wp:posOffset>
            </wp:positionV>
            <wp:extent cx="671512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715125" cy="17145"/>
                    </a:xfrm>
                    <a:prstGeom prst="rect">
                      <a:avLst/>
                    </a:prstGeom>
                    <a:noFill/>
                  </pic:spPr>
                </pic:pic>
              </a:graphicData>
            </a:graphic>
          </wp:anchor>
        </w:drawing>
      </w:r>
    </w:p>
    <w:p>
      <w:pPr>
        <w:spacing w:after="0" w:line="232"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color w:val="auto"/>
        </w:rPr>
        <w:t>Item 9.</w:t>
      </w:r>
      <w:r>
        <w:rPr>
          <w:sz w:val="20"/>
          <w:szCs w:val="20"/>
          <w:color w:val="auto"/>
        </w:rPr>
        <w:tab/>
      </w:r>
      <w:r>
        <w:rPr>
          <w:rFonts w:ascii="Arial" w:cs="Arial" w:eastAsia="Arial" w:hAnsi="Arial"/>
          <w:sz w:val="16"/>
          <w:szCs w:val="16"/>
          <w:color w:val="auto"/>
        </w:rPr>
        <w:t>Notice of Dissolution of Group.</w:t>
      </w:r>
    </w:p>
    <w:p>
      <w:pPr>
        <w:spacing w:after="0" w:line="225" w:lineRule="exact"/>
        <w:rPr>
          <w:sz w:val="20"/>
          <w:szCs w:val="20"/>
          <w:color w:val="auto"/>
        </w:rPr>
      </w:pPr>
    </w:p>
    <w:p>
      <w:pPr>
        <w:jc w:val="both"/>
        <w:ind w:left="840"/>
        <w:spacing w:after="0" w:line="308" w:lineRule="auto"/>
        <w:rPr>
          <w:sz w:val="20"/>
          <w:szCs w:val="20"/>
          <w:color w:val="auto"/>
        </w:rPr>
      </w:pPr>
      <w:r>
        <w:rPr>
          <w:rFonts w:ascii="Arial" w:cs="Arial" w:eastAsia="Arial" w:hAnsi="Arial"/>
          <w:sz w:val="17"/>
          <w:szCs w:val="17"/>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 See Item 5.</w:t>
      </w:r>
    </w:p>
    <w:p>
      <w:pPr>
        <w:spacing w:after="0" w:line="147" w:lineRule="exact"/>
        <w:rPr>
          <w:sz w:val="20"/>
          <w:szCs w:val="20"/>
          <w:color w:val="auto"/>
        </w:rPr>
      </w:pPr>
    </w:p>
    <w:p>
      <w:pPr>
        <w:ind w:left="840"/>
        <w:spacing w:after="0"/>
        <w:rPr>
          <w:sz w:val="20"/>
          <w:szCs w:val="20"/>
          <w:color w:val="auto"/>
        </w:rPr>
      </w:pPr>
      <w:r>
        <w:rPr>
          <w:rFonts w:ascii="Arial" w:cs="Arial" w:eastAsia="Arial" w:hAnsi="Arial"/>
          <w:sz w:val="18"/>
          <w:szCs w:val="18"/>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14605</wp:posOffset>
            </wp:positionV>
            <wp:extent cx="671512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715125" cy="17145"/>
                    </a:xfrm>
                    <a:prstGeom prst="rect">
                      <a:avLst/>
                    </a:prstGeom>
                    <a:noFill/>
                  </pic:spPr>
                </pic:pic>
              </a:graphicData>
            </a:graphic>
          </wp:anchor>
        </w:drawing>
      </w:r>
    </w:p>
    <w:p>
      <w:pPr>
        <w:spacing w:after="0" w:line="232"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color w:val="auto"/>
        </w:rPr>
        <w:t>Item 10.</w:t>
      </w:r>
      <w:r>
        <w:rPr>
          <w:sz w:val="20"/>
          <w:szCs w:val="20"/>
          <w:color w:val="auto"/>
        </w:rPr>
        <w:tab/>
      </w:r>
      <w:r>
        <w:rPr>
          <w:rFonts w:ascii="Arial" w:cs="Arial" w:eastAsia="Arial" w:hAnsi="Arial"/>
          <w:sz w:val="17"/>
          <w:szCs w:val="17"/>
          <w:color w:val="auto"/>
        </w:rPr>
        <w:t>Certification.</w:t>
      </w:r>
    </w:p>
    <w:p>
      <w:pPr>
        <w:spacing w:after="0" w:line="225" w:lineRule="exact"/>
        <w:rPr>
          <w:sz w:val="20"/>
          <w:szCs w:val="20"/>
          <w:color w:val="auto"/>
        </w:rPr>
      </w:pPr>
    </w:p>
    <w:p>
      <w:pPr>
        <w:jc w:val="both"/>
        <w:ind w:left="840"/>
        <w:spacing w:after="0" w:line="264"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261620</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7"/>
          <w:szCs w:val="17"/>
          <w:color w:val="auto"/>
        </w:rPr>
        <w:t>After reasonable inquiry and to the best of my knowledge and belief, I certify that the information set forth in this statement is true, complete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1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Dated: January 27, 2020</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RTW Investments, LP</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Roderick Wong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14605</wp:posOffset>
            </wp:positionV>
            <wp:extent cx="340487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04870" cy="1714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Roderick Wong, Managing Partner</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RTW Master Fund, Ltd.</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Roderick Wong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14605</wp:posOffset>
            </wp:positionV>
            <wp:extent cx="340487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04870" cy="1714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Roderick Wong, Director</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Roderick Wong</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Roderick Wong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14605</wp:posOffset>
            </wp:positionV>
            <wp:extent cx="340487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04870" cy="1714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Roderick Wong, Individually</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 signs the statement shall be typed or printed beneath his signature.</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Note. Schedules filed in paper format shall include a signed original and five copies of the schedule, including all exhibits. See s.240.13d-7 for other parties for whom copies are to be sent.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Attention. Intentional misstatements or omissions of fact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8" w:name="page9"/>
    <w:bookmarkEnd w:id="8"/>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9" w:name="page10"/>
    <w:bookmarkEnd w:id="9"/>
    <w:p>
      <w:pPr>
        <w:jc w:val="right"/>
        <w:spacing w:after="0"/>
        <w:rPr>
          <w:sz w:val="20"/>
          <w:szCs w:val="20"/>
          <w:color w:val="auto"/>
        </w:rPr>
      </w:pPr>
      <w:r>
        <w:rPr>
          <w:rFonts w:ascii="Arial" w:cs="Arial" w:eastAsia="Arial" w:hAnsi="Arial"/>
          <w:sz w:val="18"/>
          <w:szCs w:val="18"/>
          <w:color w:val="auto"/>
        </w:rPr>
        <w:t>Exhibit 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Joint Filing Statement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Rule 13d-1(k)(1)</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undersigned hereby consent and agree to the joint filing of Schedule 13G under the Securities Exchange Act of 1934, as amended, with respect to the Common Stock, par value $0.001 per share of Exagen Inc. beneficially owned by them, together with any or all amendments thereto, when and if appropriate. The parties hereto further consent and agree to file this Joint Filing Statement pursuant to Rule13d-1(k)(1)(iii) as an exhibit to Schedule 13G, thereby incorporating the same into such Schedule13G.</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This Joint Filing Statement may be terminated by any of the undersigned upon written notice or such lesser period of notice as the undersigned may mutually agree.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January 27, 2020</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RTW Investments, LP</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Roderick Wong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14605</wp:posOffset>
            </wp:positionV>
            <wp:extent cx="340487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04870" cy="1714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Roderick Wong, Managing Partner</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RTW Master Fund, Ltd.</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Roderick Wong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14605</wp:posOffset>
            </wp:positionV>
            <wp:extent cx="340487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04870" cy="1714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Roderick Wong, Director</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Roderick Wong</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Roderick Wong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14605</wp:posOffset>
            </wp:positionV>
            <wp:extent cx="340487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404870" cy="1714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Roderick Wong, Individually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0" w:name="page11"/>
    <w:bookmarkEnd w:id="1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1."/>
      <w:numFmt w:val="decimal"/>
      <w:start w:val="1"/>
    </w:lvl>
  </w:abstractNum>
  <w:abstractNum w:abstractNumId="2">
    <w:nsid w:val="41B71EFB"/>
    <w:multiLevelType w:val="hybridMultilevel"/>
    <w:lvl w:ilvl="0">
      <w:lvlJc w:val="left"/>
      <w:lvlText w:val="%1."/>
      <w:numFmt w:val="decimal"/>
      <w:start w:val="3"/>
    </w:lvl>
  </w:abstractNum>
  <w:abstractNum w:abstractNumId="3">
    <w:nsid w:val="79E2A9E3"/>
    <w:multiLevelType w:val="hybridMultilevel"/>
    <w:lvl w:ilvl="0">
      <w:lvlJc w:val="left"/>
      <w:lvlText w:val="%1."/>
      <w:numFmt w:val="decimal"/>
      <w:start w:val="5"/>
    </w:lvl>
  </w:abstractNum>
  <w:abstractNum w:abstractNumId="4">
    <w:nsid w:val="7545E146"/>
    <w:multiLevelType w:val="hybridMultilevel"/>
    <w:lvl w:ilvl="0">
      <w:lvlJc w:val="left"/>
      <w:lvlText w:val="%1."/>
      <w:numFmt w:val="decimal"/>
      <w:start w:val="1"/>
    </w:lvl>
  </w:abstractNum>
  <w:abstractNum w:abstractNumId="5">
    <w:nsid w:val="515F007C"/>
    <w:multiLevelType w:val="hybridMultilevel"/>
    <w:lvl w:ilvl="0">
      <w:lvlJc w:val="left"/>
      <w:lvlText w:val="%1."/>
      <w:numFmt w:val="decimal"/>
      <w:start w:val="3"/>
    </w:lvl>
  </w:abstractNum>
  <w:abstractNum w:abstractNumId="6">
    <w:nsid w:val="5BD062C2"/>
    <w:multiLevelType w:val="hybridMultilevel"/>
    <w:lvl w:ilvl="0">
      <w:lvlJc w:val="left"/>
      <w:lvlText w:val="%1."/>
      <w:numFmt w:val="decimal"/>
      <w:start w:val="5"/>
    </w:lvl>
  </w:abstractNum>
  <w:abstractNum w:abstractNumId="7">
    <w:nsid w:val="12200854"/>
    <w:multiLevelType w:val="hybridMultilevel"/>
    <w:lvl w:ilvl="0">
      <w:lvlJc w:val="left"/>
      <w:lvlText w:val="%1."/>
      <w:numFmt w:val="decimal"/>
      <w:start w:val="1"/>
    </w:lvl>
  </w:abstractNum>
  <w:abstractNum w:abstractNumId="8">
    <w:nsid w:val="4DB127F8"/>
    <w:multiLevelType w:val="hybridMultilevel"/>
    <w:lvl w:ilvl="0">
      <w:lvlJc w:val="left"/>
      <w:lvlText w:val="%1."/>
      <w:numFmt w:val="decimal"/>
      <w:start w:val="3"/>
    </w:lvl>
  </w:abstractNum>
  <w:abstractNum w:abstractNumId="9">
    <w:nsid w:val="216231B"/>
    <w:multiLevelType w:val="hybridMultilevel"/>
    <w:lvl w:ilvl="0">
      <w:lvlJc w:val="left"/>
      <w:lvlText w:val="%1."/>
      <w:numFmt w:val="decimal"/>
      <w:start w:val="5"/>
    </w:lvl>
  </w:abstractNum>
  <w:abstractNum w:abstractNumId="10">
    <w:nsid w:val="1F16E9E8"/>
    <w:multiLevelType w:val="hybridMultilevel"/>
    <w:lvl w:ilvl="0">
      <w:lvlJc w:val="left"/>
      <w:lvlText w:val="*"/>
      <w:numFmt w:val="bullet"/>
      <w:start w:val="1"/>
    </w:lvl>
    <w:lvl w:ilvl="1">
      <w:lvlJc w:val="left"/>
      <w:lvlText w:val="(%2)"/>
      <w:numFmt w:val="lowerLetter"/>
      <w:start w:val="3"/>
    </w:lvl>
    <w:lvl w:ilvl="2">
      <w:lvlJc w:val="left"/>
      <w:lvlText w:val="(%3)"/>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2020-01-27T09:17:38Z</dcterms:created>
  <dcterms:modified xsi:type="dcterms:W3CDTF">2020-01-27T09:17:38Z</dcterms:modified>
</cp:coreProperties>
</file>