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TULLIS JAMES L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EXAGEN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1770 US HIGHWAY ONE, SUITE 503</w:t>
            </w: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05/27/2020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Borders>
              <w:bottom w:val="single" w:sz="8" w:color="2C2C2C"/>
            </w:tcBorders>
            <w:gridSpan w:val="2"/>
          </w:tcPr>
          <w:p>
            <w:pPr>
              <w:spacing w:after="0"/>
              <w:rPr>
                <w:sz w:val="12"/>
                <w:szCs w:val="12"/>
                <w:color w:val="auto"/>
              </w:rPr>
            </w:pPr>
          </w:p>
        </w:tc>
        <w:tc>
          <w:tcPr>
            <w:tcW w:w="2140" w:type="dxa"/>
            <w:vAlign w:val="bottom"/>
            <w:tcBorders>
              <w:bottom w:val="single" w:sz="8" w:color="2C2C2C"/>
            </w:tcBorders>
            <w:gridSpan w:val="5"/>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gridSpan w:val="2"/>
          </w:tcPr>
          <w:p>
            <w:pPr>
              <w:spacing w:after="0"/>
              <w:rPr>
                <w:sz w:val="12"/>
                <w:szCs w:val="12"/>
                <w:color w:val="auto"/>
              </w:rPr>
            </w:pPr>
          </w:p>
        </w:tc>
        <w:tc>
          <w:tcPr>
            <w:tcW w:w="2940" w:type="dxa"/>
            <w:vAlign w:val="bottom"/>
            <w:tcBorders>
              <w:bottom w:val="single" w:sz="8" w:color="2C2C2C"/>
            </w:tcBorders>
            <w:gridSpan w:val="7"/>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4"/>
                <w:szCs w:val="4"/>
                <w:color w:val="auto"/>
              </w:rPr>
            </w:pPr>
          </w:p>
        </w:tc>
        <w:tc>
          <w:tcPr>
            <w:tcW w:w="3420" w:type="dxa"/>
            <w:vAlign w:val="bottom"/>
            <w:gridSpan w:val="1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60" w:type="dxa"/>
            <w:vAlign w:val="bottom"/>
            <w:gridSpan w:val="7"/>
            <w:vMerge w:val="continue"/>
          </w:tcPr>
          <w:p>
            <w:pPr>
              <w:spacing w:after="0"/>
              <w:rPr>
                <w:sz w:val="11"/>
                <w:szCs w:val="11"/>
                <w:color w:val="auto"/>
              </w:rPr>
            </w:pPr>
          </w:p>
        </w:tc>
        <w:tc>
          <w:tcPr>
            <w:tcW w:w="360" w:type="dxa"/>
            <w:vAlign w:val="bottom"/>
          </w:tcPr>
          <w:p>
            <w:pPr>
              <w:spacing w:after="0"/>
              <w:rPr>
                <w:sz w:val="11"/>
                <w:szCs w:val="11"/>
                <w:color w:val="auto"/>
              </w:rPr>
            </w:pPr>
          </w:p>
        </w:tc>
        <w:tc>
          <w:tcPr>
            <w:tcW w:w="342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PALM BEACH</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33408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11"/>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GARDENS</w:t>
            </w: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4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2"/>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180" w:type="dxa"/>
            <w:vAlign w:val="bottom"/>
            <w:gridSpan w:val="4"/>
            <w:vMerge w:val="restart"/>
          </w:tcPr>
          <w:p>
            <w:pPr>
              <w:jc w:val="right"/>
              <w:ind w:right="657"/>
              <w:spacing w:after="0"/>
              <w:rPr>
                <w:sz w:val="20"/>
                <w:szCs w:val="20"/>
                <w:color w:val="auto"/>
              </w:rPr>
            </w:pPr>
            <w:r>
              <w:rPr>
                <w:rFonts w:ascii="Arial" w:cs="Arial" w:eastAsia="Arial" w:hAnsi="Arial"/>
                <w:sz w:val="17"/>
                <w:szCs w:val="17"/>
                <w:color w:val="0000FF"/>
              </w:rPr>
              <w:t>05/27/2020</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3"/>
              </w:rPr>
              <w:t>1,595</w:t>
            </w:r>
          </w:p>
        </w:tc>
        <w:tc>
          <w:tcPr>
            <w:tcW w:w="500" w:type="dxa"/>
            <w:vAlign w:val="bottom"/>
            <w:vMerge w:val="restart"/>
          </w:tcPr>
          <w:p>
            <w:pPr>
              <w:jc w:val="center"/>
              <w:ind w:right="52"/>
              <w:spacing w:after="0"/>
              <w:rPr>
                <w:sz w:val="20"/>
                <w:szCs w:val="20"/>
                <w:color w:val="auto"/>
              </w:rPr>
            </w:pPr>
            <w:r>
              <w:rPr>
                <w:rFonts w:ascii="Arial" w:cs="Arial" w:eastAsia="Arial" w:hAnsi="Arial"/>
                <w:sz w:val="17"/>
                <w:szCs w:val="17"/>
                <w:color w:val="0000FF"/>
              </w:rPr>
              <w:t>D</w:t>
            </w:r>
          </w:p>
        </w:tc>
        <w:tc>
          <w:tcPr>
            <w:tcW w:w="720" w:type="dxa"/>
            <w:vAlign w:val="bottom"/>
            <w:gridSpan w:val="4"/>
            <w:vMerge w:val="restart"/>
          </w:tcPr>
          <w:p>
            <w:pP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12.5736</w:t>
            </w:r>
          </w:p>
        </w:tc>
        <w:tc>
          <w:tcPr>
            <w:tcW w:w="6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2"/>
              </w:rPr>
              <w:t>1,622,408</w:t>
            </w:r>
          </w:p>
        </w:tc>
        <w:tc>
          <w:tcPr>
            <w:tcW w:w="260" w:type="dxa"/>
            <w:vAlign w:val="bottom"/>
          </w:tcPr>
          <w:p>
            <w:pPr>
              <w:spacing w:after="0"/>
              <w:rPr>
                <w:sz w:val="22"/>
                <w:szCs w:val="22"/>
                <w:color w:val="auto"/>
              </w:rPr>
            </w:pPr>
          </w:p>
        </w:tc>
        <w:tc>
          <w:tcPr>
            <w:tcW w:w="580" w:type="dxa"/>
            <w:vAlign w:val="bottom"/>
            <w:vMerge w:val="restart"/>
          </w:tcPr>
          <w:p>
            <w:pPr>
              <w:jc w:val="center"/>
              <w:ind w:right="247"/>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1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2180" w:type="dxa"/>
            <w:vAlign w:val="bottom"/>
            <w:tcBorders>
              <w:top w:val="single" w:sz="8" w:color="2C2C2C"/>
            </w:tcBorders>
            <w:gridSpan w:val="4"/>
          </w:tcPr>
          <w:p>
            <w:pPr>
              <w:jc w:val="right"/>
              <w:ind w:right="657"/>
              <w:spacing w:after="0"/>
              <w:rPr>
                <w:sz w:val="20"/>
                <w:szCs w:val="20"/>
                <w:color w:val="auto"/>
              </w:rPr>
            </w:pPr>
            <w:r>
              <w:rPr>
                <w:rFonts w:ascii="Arial" w:cs="Arial" w:eastAsia="Arial" w:hAnsi="Arial"/>
                <w:sz w:val="17"/>
                <w:szCs w:val="17"/>
                <w:color w:val="0000FF"/>
              </w:rPr>
              <w:t>05/27/2020</w:t>
            </w: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0000FF"/>
              </w:rPr>
              <w:t>S</w:t>
            </w:r>
          </w:p>
        </w:tc>
        <w:tc>
          <w:tcPr>
            <w:tcW w:w="820" w:type="dxa"/>
            <w:vAlign w:val="bottom"/>
            <w:tcBorders>
              <w:top w:val="single" w:sz="8" w:color="2C2C2C"/>
            </w:tcBorders>
          </w:tcPr>
          <w:p>
            <w:pPr>
              <w:jc w:val="center"/>
              <w:ind w:right="7"/>
              <w:spacing w:after="0"/>
              <w:rPr>
                <w:sz w:val="20"/>
                <w:szCs w:val="20"/>
                <w:color w:val="auto"/>
              </w:rPr>
            </w:pPr>
            <w:r>
              <w:rPr>
                <w:rFonts w:ascii="Arial" w:cs="Arial" w:eastAsia="Arial" w:hAnsi="Arial"/>
                <w:sz w:val="17"/>
                <w:szCs w:val="17"/>
                <w:color w:val="0000FF"/>
                <w:w w:val="91"/>
              </w:rPr>
              <w:t>605</w:t>
            </w:r>
          </w:p>
        </w:tc>
        <w:tc>
          <w:tcPr>
            <w:tcW w:w="500" w:type="dxa"/>
            <w:vAlign w:val="bottom"/>
            <w:tcBorders>
              <w:top w:val="single" w:sz="8" w:color="2C2C2C"/>
            </w:tcBorders>
          </w:tcPr>
          <w:p>
            <w:pPr>
              <w:jc w:val="center"/>
              <w:ind w:right="52"/>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gridSpan w:val="4"/>
          </w:tcPr>
          <w:p>
            <w:pP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12.5736</w:t>
            </w:r>
          </w:p>
        </w:tc>
        <w:tc>
          <w:tcPr>
            <w:tcW w:w="6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2"/>
              </w:rPr>
              <w:t>41,569</w:t>
            </w:r>
          </w:p>
        </w:tc>
        <w:tc>
          <w:tcPr>
            <w:tcW w:w="26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227"/>
              <w:spacing w:after="0"/>
              <w:rPr>
                <w:sz w:val="20"/>
                <w:szCs w:val="20"/>
                <w:color w:val="auto"/>
              </w:rPr>
            </w:pPr>
            <w:r>
              <w:rPr>
                <w:rFonts w:ascii="Arial" w:cs="Arial" w:eastAsia="Arial" w:hAnsi="Arial"/>
                <w:sz w:val="17"/>
                <w:szCs w:val="17"/>
                <w:color w:val="0000FF"/>
                <w:w w:val="97"/>
              </w:rPr>
              <w:t>D</w:t>
            </w:r>
          </w:p>
        </w:tc>
        <w:tc>
          <w:tcPr>
            <w:tcW w:w="2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180" w:type="dxa"/>
            <w:vAlign w:val="bottom"/>
            <w:gridSpan w:val="4"/>
            <w:vMerge w:val="restart"/>
          </w:tcPr>
          <w:p>
            <w:pPr>
              <w:jc w:val="right"/>
              <w:ind w:right="657"/>
              <w:spacing w:after="0"/>
              <w:rPr>
                <w:sz w:val="20"/>
                <w:szCs w:val="20"/>
                <w:color w:val="auto"/>
              </w:rPr>
            </w:pPr>
            <w:r>
              <w:rPr>
                <w:rFonts w:ascii="Arial" w:cs="Arial" w:eastAsia="Arial" w:hAnsi="Arial"/>
                <w:sz w:val="17"/>
                <w:szCs w:val="17"/>
                <w:color w:val="0000FF"/>
              </w:rPr>
              <w:t>05/28/2020</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0000FF"/>
                <w:w w:val="93"/>
              </w:rPr>
              <w:t>2,240</w:t>
            </w:r>
          </w:p>
        </w:tc>
        <w:tc>
          <w:tcPr>
            <w:tcW w:w="500" w:type="dxa"/>
            <w:vAlign w:val="bottom"/>
            <w:vMerge w:val="restart"/>
          </w:tcPr>
          <w:p>
            <w:pPr>
              <w:jc w:val="center"/>
              <w:ind w:right="52"/>
              <w:spacing w:after="0"/>
              <w:rPr>
                <w:sz w:val="20"/>
                <w:szCs w:val="20"/>
                <w:color w:val="auto"/>
              </w:rPr>
            </w:pPr>
            <w:r>
              <w:rPr>
                <w:rFonts w:ascii="Arial" w:cs="Arial" w:eastAsia="Arial" w:hAnsi="Arial"/>
                <w:sz w:val="17"/>
                <w:szCs w:val="17"/>
                <w:color w:val="0000FF"/>
              </w:rPr>
              <w:t>D</w:t>
            </w:r>
          </w:p>
        </w:tc>
        <w:tc>
          <w:tcPr>
            <w:tcW w:w="720" w:type="dxa"/>
            <w:vAlign w:val="bottom"/>
            <w:gridSpan w:val="4"/>
            <w:vMerge w:val="restart"/>
          </w:tcPr>
          <w:p>
            <w:pP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11.9303</w:t>
            </w:r>
          </w:p>
        </w:tc>
        <w:tc>
          <w:tcPr>
            <w:tcW w:w="6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2"/>
              </w:rPr>
              <w:t>1,620,168</w:t>
            </w:r>
          </w:p>
        </w:tc>
        <w:tc>
          <w:tcPr>
            <w:tcW w:w="260" w:type="dxa"/>
            <w:vAlign w:val="bottom"/>
          </w:tcPr>
          <w:p>
            <w:pPr>
              <w:spacing w:after="0"/>
              <w:rPr>
                <w:sz w:val="22"/>
                <w:szCs w:val="22"/>
                <w:color w:val="auto"/>
              </w:rPr>
            </w:pPr>
          </w:p>
        </w:tc>
        <w:tc>
          <w:tcPr>
            <w:tcW w:w="580" w:type="dxa"/>
            <w:vAlign w:val="bottom"/>
            <w:vMerge w:val="restart"/>
          </w:tcPr>
          <w:p>
            <w:pPr>
              <w:jc w:val="center"/>
              <w:ind w:right="247"/>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1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2180" w:type="dxa"/>
            <w:vAlign w:val="bottom"/>
            <w:tcBorders>
              <w:top w:val="single" w:sz="8" w:color="2C2C2C"/>
            </w:tcBorders>
            <w:gridSpan w:val="4"/>
          </w:tcPr>
          <w:p>
            <w:pPr>
              <w:jc w:val="right"/>
              <w:ind w:right="657"/>
              <w:spacing w:after="0"/>
              <w:rPr>
                <w:sz w:val="20"/>
                <w:szCs w:val="20"/>
                <w:color w:val="auto"/>
              </w:rPr>
            </w:pPr>
            <w:r>
              <w:rPr>
                <w:rFonts w:ascii="Arial" w:cs="Arial" w:eastAsia="Arial" w:hAnsi="Arial"/>
                <w:sz w:val="17"/>
                <w:szCs w:val="17"/>
                <w:color w:val="0000FF"/>
              </w:rPr>
              <w:t>05/28/2020</w:t>
            </w: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0000FF"/>
              </w:rPr>
              <w:t>S</w:t>
            </w:r>
          </w:p>
        </w:tc>
        <w:tc>
          <w:tcPr>
            <w:tcW w:w="820" w:type="dxa"/>
            <w:vAlign w:val="bottom"/>
            <w:tcBorders>
              <w:top w:val="single" w:sz="8" w:color="2C2C2C"/>
            </w:tcBorders>
          </w:tcPr>
          <w:p>
            <w:pPr>
              <w:jc w:val="center"/>
              <w:ind w:right="7"/>
              <w:spacing w:after="0"/>
              <w:rPr>
                <w:sz w:val="20"/>
                <w:szCs w:val="20"/>
                <w:color w:val="auto"/>
              </w:rPr>
            </w:pPr>
            <w:r>
              <w:rPr>
                <w:rFonts w:ascii="Arial" w:cs="Arial" w:eastAsia="Arial" w:hAnsi="Arial"/>
                <w:sz w:val="17"/>
                <w:szCs w:val="17"/>
                <w:color w:val="0000FF"/>
                <w:w w:val="91"/>
              </w:rPr>
              <w:t>848</w:t>
            </w:r>
          </w:p>
        </w:tc>
        <w:tc>
          <w:tcPr>
            <w:tcW w:w="500" w:type="dxa"/>
            <w:vAlign w:val="bottom"/>
            <w:tcBorders>
              <w:top w:val="single" w:sz="8" w:color="2C2C2C"/>
            </w:tcBorders>
          </w:tcPr>
          <w:p>
            <w:pPr>
              <w:jc w:val="center"/>
              <w:ind w:right="52"/>
              <w:spacing w:after="0"/>
              <w:rPr>
                <w:sz w:val="20"/>
                <w:szCs w:val="20"/>
                <w:color w:val="auto"/>
              </w:rPr>
            </w:pPr>
            <w:r>
              <w:rPr>
                <w:rFonts w:ascii="Arial" w:cs="Arial" w:eastAsia="Arial" w:hAnsi="Arial"/>
                <w:sz w:val="17"/>
                <w:szCs w:val="17"/>
                <w:color w:val="0000FF"/>
              </w:rPr>
              <w:t>D</w:t>
            </w:r>
          </w:p>
        </w:tc>
        <w:tc>
          <w:tcPr>
            <w:tcW w:w="720" w:type="dxa"/>
            <w:vAlign w:val="bottom"/>
            <w:tcBorders>
              <w:top w:val="single" w:sz="8" w:color="2C2C2C"/>
            </w:tcBorders>
            <w:gridSpan w:val="4"/>
          </w:tcPr>
          <w:p>
            <w:pP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11.9303</w:t>
            </w:r>
          </w:p>
        </w:tc>
        <w:tc>
          <w:tcPr>
            <w:tcW w:w="6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92"/>
              </w:rPr>
              <w:t>40,721</w:t>
            </w:r>
          </w:p>
        </w:tc>
        <w:tc>
          <w:tcPr>
            <w:tcW w:w="26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227"/>
              <w:spacing w:after="0"/>
              <w:rPr>
                <w:sz w:val="20"/>
                <w:szCs w:val="20"/>
                <w:color w:val="auto"/>
              </w:rPr>
            </w:pPr>
            <w:r>
              <w:rPr>
                <w:rFonts w:ascii="Arial" w:cs="Arial" w:eastAsia="Arial" w:hAnsi="Arial"/>
                <w:sz w:val="17"/>
                <w:szCs w:val="17"/>
                <w:color w:val="0000FF"/>
                <w:w w:val="97"/>
              </w:rPr>
              <w:t>D</w:t>
            </w:r>
          </w:p>
        </w:tc>
        <w:tc>
          <w:tcPr>
            <w:tcW w:w="2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7"/>
                <w:szCs w:val="17"/>
                <w:color w:val="0000FF"/>
                <w:w w:val="89"/>
              </w:rPr>
              <w:t>1,431</w:t>
            </w:r>
          </w:p>
        </w:tc>
        <w:tc>
          <w:tcPr>
            <w:tcW w:w="260" w:type="dxa"/>
            <w:vAlign w:val="bottom"/>
          </w:tcPr>
          <w:p>
            <w:pPr>
              <w:spacing w:after="0"/>
              <w:rPr>
                <w:sz w:val="23"/>
                <w:szCs w:val="23"/>
                <w:color w:val="auto"/>
              </w:rPr>
            </w:pPr>
          </w:p>
        </w:tc>
        <w:tc>
          <w:tcPr>
            <w:tcW w:w="580" w:type="dxa"/>
            <w:vAlign w:val="bottom"/>
          </w:tcPr>
          <w:p>
            <w:pPr>
              <w:jc w:val="center"/>
              <w:ind w:right="247"/>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By Spouse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7"/>
                <w:szCs w:val="17"/>
                <w:color w:val="0000FF"/>
                <w:w w:val="89"/>
              </w:rPr>
              <w:t>4,537</w:t>
            </w:r>
          </w:p>
        </w:tc>
        <w:tc>
          <w:tcPr>
            <w:tcW w:w="260" w:type="dxa"/>
            <w:vAlign w:val="bottom"/>
          </w:tcPr>
          <w:p>
            <w:pPr>
              <w:spacing w:after="0"/>
              <w:rPr>
                <w:sz w:val="23"/>
                <w:szCs w:val="23"/>
                <w:color w:val="auto"/>
              </w:rPr>
            </w:pPr>
          </w:p>
        </w:tc>
        <w:tc>
          <w:tcPr>
            <w:tcW w:w="580" w:type="dxa"/>
            <w:vAlign w:val="bottom"/>
          </w:tcPr>
          <w:p>
            <w:pPr>
              <w:jc w:val="center"/>
              <w:ind w:right="247"/>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-4244340</wp:posOffset>
            </wp:positionV>
            <wp:extent cx="7031355" cy="429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29006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reported on this form are held of record by Tullis-Dickerson Capital Focus III, L.P. ("Tullis"), Tullis Growth Fund, L.P. ("Tullis Growth") and Tullis Growth Fund II, L.P. ("Tullis Growth II"). Tullis-Dickerson Partners III, LLC ("Tullis Partners") is the general partner of Tullis and may be deemed to beneficially own the securities held by Tullis. Tullis Growth Partners, LLC and Tullis Growth Partners II, LLC are the general partners of Tullis Growth and Tullis Growth II, respectively, and may be deemed to beneficially own the securities held by Tullis Growth and Tullis Growth II. James L.L. Tullis is a Principal of each of the foregoing entities and may be deemed to possess voting and investment control over, and may be deemed to have an indirect beneficial ownership with respect to, the shares held by Tullis, Tullis Growth and Tullis Growth II.</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James L.L. Tullis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05/29/2020</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0641"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2020-05-29T15:30:10Z</dcterms:created>
  <dcterms:modified xsi:type="dcterms:W3CDTF">2020-05-29T15:30:10Z</dcterms:modified>
</cp:coreProperties>
</file>