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88679d8k.htm"/>
      <w:bookmarkStart w:id="1" w:name="ksd78867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7,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EXAGEN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001-39049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20-0434866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1261 Liberty Way</w:t>
      </w:r>
    </w:p>
    <w:p>
      <w:pPr>
        <w:pStyle w:val="TextBody"/>
        <w:bidi w:val="0"/>
        <w:spacing w:before="0" w:after="0"/>
        <w:jc w:val="center"/>
        <w:rPr>
          <w:rFonts w:ascii="Times New Roman" w:hAnsi="Times New Roman"/>
          <w:b/>
          <w:sz w:val="20"/>
        </w:rPr>
      </w:pPr>
      <w:r>
        <w:rPr>
          <w:rFonts w:ascii="Times New Roman" w:hAnsi="Times New Roman"/>
          <w:b/>
          <w:sz w:val="20"/>
        </w:rPr>
        <w:t>Vista, CA 92081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(760) 560-1501</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35" w:type="dxa"/>
        <w:jc w:val="left"/>
        <w:tblInd w:w="0" w:type="dxa"/>
        <w:tblLayout w:type="fixed"/>
        <w:tblCellMar>
          <w:top w:w="0" w:type="dxa"/>
          <w:left w:w="0" w:type="dxa"/>
          <w:bottom w:w="0" w:type="dxa"/>
          <w:right w:w="0" w:type="dxa"/>
        </w:tblCellMar>
      </w:tblPr>
      <w:tblGrid>
        <w:gridCol w:w="4145"/>
        <w:gridCol w:w="60"/>
        <w:gridCol w:w="740"/>
        <w:gridCol w:w="60"/>
        <w:gridCol w:w="263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XGN</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May 8, 2025, Exagen Inc. (the “</w:t>
      </w:r>
      <w:r>
        <w:rPr>
          <w:rFonts w:ascii="Times New Roman" w:hAnsi="Times New Roman"/>
          <w:sz w:val="20"/>
          <w:u w:val="single"/>
        </w:rPr>
        <w:t>Company</w:t>
      </w:r>
      <w:r>
        <w:rPr>
          <w:rFonts w:ascii="Times New Roman" w:hAnsi="Times New Roman"/>
          <w:sz w:val="20"/>
        </w:rPr>
        <w:t>”) entered into an underwriting agreement (the “</w:t>
      </w:r>
      <w:r>
        <w:rPr>
          <w:rFonts w:ascii="Times New Roman" w:hAnsi="Times New Roman"/>
          <w:sz w:val="20"/>
          <w:u w:val="single"/>
        </w:rPr>
        <w:t>Underwriting Agreement</w:t>
      </w:r>
      <w:r>
        <w:rPr>
          <w:rFonts w:ascii="Times New Roman" w:hAnsi="Times New Roman"/>
          <w:sz w:val="20"/>
        </w:rPr>
        <w:t>”) by and between Canaccord Genuity LLC (the “</w:t>
      </w:r>
      <w:r>
        <w:rPr>
          <w:rFonts w:ascii="Times New Roman" w:hAnsi="Times New Roman"/>
          <w:sz w:val="20"/>
          <w:u w:val="single"/>
        </w:rPr>
        <w:t>Underwriter</w:t>
      </w:r>
      <w:r>
        <w:rPr>
          <w:rFonts w:ascii="Times New Roman" w:hAnsi="Times New Roman"/>
          <w:sz w:val="20"/>
        </w:rPr>
        <w:t>”) relating to the issuance and sale of an aggregate of 3,350,000 shares (the “</w:t>
      </w:r>
      <w:r>
        <w:rPr>
          <w:rFonts w:ascii="Times New Roman" w:hAnsi="Times New Roman"/>
          <w:sz w:val="20"/>
          <w:u w:val="single"/>
        </w:rPr>
        <w:t>Firm Shares</w:t>
      </w:r>
      <w:r>
        <w:rPr>
          <w:rFonts w:ascii="Times New Roman" w:hAnsi="Times New Roman"/>
          <w:sz w:val="20"/>
        </w:rPr>
        <w:t>”) of the Company’s common stock, par value $0.001 per share (the “</w:t>
      </w:r>
      <w:r>
        <w:rPr>
          <w:rFonts w:ascii="Times New Roman" w:hAnsi="Times New Roman"/>
          <w:sz w:val="20"/>
          <w:u w:val="single"/>
        </w:rPr>
        <w:t>Common Stock</w:t>
      </w:r>
      <w:r>
        <w:rPr>
          <w:rFonts w:ascii="Times New Roman" w:hAnsi="Times New Roman"/>
          <w:sz w:val="20"/>
        </w:rPr>
        <w:t>”), to the Underwriter at a price to the public of $5.25 per share (the “</w:t>
      </w:r>
      <w:r>
        <w:rPr>
          <w:rFonts w:ascii="Times New Roman" w:hAnsi="Times New Roman"/>
          <w:sz w:val="20"/>
          <w:u w:val="single"/>
        </w:rPr>
        <w:t>Offering</w:t>
      </w:r>
      <w:r>
        <w:rPr>
          <w:rFonts w:ascii="Times New Roman" w:hAnsi="Times New Roman"/>
          <w:sz w:val="20"/>
        </w:rPr>
        <w:t>”). Pursuant to the terms of the Underwriting Agreement, the Company granted to the Underwriter a 30-day option to purchase up to an additional 502,500 shares of Common Stock in the Offering (the “</w:t>
      </w:r>
      <w:r>
        <w:rPr>
          <w:rFonts w:ascii="Times New Roman" w:hAnsi="Times New Roman"/>
          <w:sz w:val="20"/>
          <w:u w:val="single"/>
        </w:rPr>
        <w:t>Option Shares</w:t>
      </w:r>
      <w:r>
        <w:rPr>
          <w:rFonts w:ascii="Times New Roman" w:hAnsi="Times New Roman"/>
          <w:sz w:val="20"/>
        </w:rPr>
        <w:t>” and together with the Firm Shares, the “</w:t>
      </w:r>
      <w:r>
        <w:rPr>
          <w:rFonts w:ascii="Times New Roman" w:hAnsi="Times New Roman"/>
          <w:sz w:val="20"/>
          <w:u w:val="single"/>
        </w:rPr>
        <w:t>Shares</w:t>
      </w:r>
      <w:r>
        <w:rPr>
          <w:rFonts w:ascii="Times New Roman" w:hAnsi="Times New Roman"/>
          <w:sz w:val="20"/>
        </w:rPr>
        <w:t xml:space="preserve">”). The Offering is expected to close on May 9, 2025, subject to the satisfaction of customary closing conditions. All of the Shares in the Offering are being sold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to the Company from the Offering are expected to be approximately $16.2 million after deducting the underwriting discounts and commissions and estimated offering expenses payable by the Company. The Company intends to use the net proceeds from the Offering for working capital and other general corporate purposes. The Company may also use a portion of the net proceeds from the Offering to acquire, in-license or invest in products, technologies or businesses that complement the Company’s business. However, the Company does not have binding agreements or commitments for any acquisitions or investments outside the ordinary course of business at this time. </w:t>
      </w:r>
    </w:p>
    <w:p>
      <w:pPr>
        <w:pStyle w:val="TextBody"/>
        <w:bidi w:val="0"/>
        <w:spacing w:before="240" w:after="0"/>
        <w:jc w:val="left"/>
        <w:rPr>
          <w:rFonts w:ascii="Times New Roman" w:hAnsi="Times New Roman"/>
          <w:sz w:val="20"/>
        </w:rPr>
      </w:pPr>
      <w:r>
        <w:rPr>
          <w:rFonts w:ascii="Times New Roman" w:hAnsi="Times New Roman"/>
          <w:sz w:val="20"/>
        </w:rPr>
        <w:t>The Shares are being offered and sold pursuant to a prospectus supplement, dated May 8, 2025 (the “</w:t>
      </w:r>
      <w:r>
        <w:rPr>
          <w:rFonts w:ascii="Times New Roman" w:hAnsi="Times New Roman"/>
          <w:sz w:val="20"/>
          <w:u w:val="single"/>
        </w:rPr>
        <w:t>Prospectus Supplement</w:t>
      </w:r>
      <w:r>
        <w:rPr>
          <w:rFonts w:ascii="Times New Roman" w:hAnsi="Times New Roman"/>
          <w:sz w:val="20"/>
        </w:rPr>
        <w:t>”), to be filed with the Securities and Exchange Commission (“</w:t>
      </w:r>
      <w:r>
        <w:rPr>
          <w:rFonts w:ascii="Times New Roman" w:hAnsi="Times New Roman"/>
          <w:sz w:val="20"/>
          <w:u w:val="single"/>
        </w:rPr>
        <w:t>SEC</w:t>
      </w:r>
      <w:r>
        <w:rPr>
          <w:rFonts w:ascii="Times New Roman" w:hAnsi="Times New Roman"/>
          <w:sz w:val="20"/>
        </w:rPr>
        <w:t xml:space="preserve">”) on May 8, 2025, and an accompanying base prospectus that forms a part of the Company’s Registration Statement on Form S-3 (File No. 333-275632), which was previously filed with the SEC on November 17, 2023 and declared effective on November 29, 2023.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covenants of the Company and also provides for customary indemnification obligations of the Company and the Underwriter, including for liabilities under the Securities Act of 1933, as amended. The representations, warranties and covenants contained in the Underwriting Agreement were made only for purposes of such agreement and as of specific dates and were solely for the benefit of the parties to such agreement. The foregoing summary of the Underwriting Agreement is qualified in its entirety by reference to the Underwriting Agreement that is filed as Exhibit 1.1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Mintz, Levin, Cohn, Ferris, Glovsky and Popeo, P.C., counsel to the Company, delivered an opinion as to legality of the issuance and sale of the Shares in the Offering, a copy of which is filed as Exhibit 5.1 to this Current Report on Form 8-K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that involve estimates, assumptions, risks and uncertainties. Forward-looking statements include, but are not limited to, statements related to the amount of proceeds expected from the Offering, and the timing and certainty of completion of the Offering. The risks and uncertainties relating to the Company and the Offering include general market conditions, the Company’s ability to complete the Offering on favorable terms, or at all, as well as other risks detailed from time to time in the Company’s filings with the SEC, including in its Annual Report on Form 10-K for the year ended December 31, 2024 and the Prospectus Supplement. These documents contain important factors that could cause actual results to differ from current expectations and from the forward-looking statements contained in this Current Report on Form 8-K. These forward-looking statements speak only as of the date of this Current Report on Form 8-K and the Company undertakes no obligation to publicly update any forward-looking statements to reflect new information, events or circumstances after the date of this Current Report on Form 8-K.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7, 2025, the Company issued a press release announcing the launch of the Offering, and on May 8, 2025, the Company issued a press release announcing the pricing of the Offering. Copies of the press releases are attached as Exhibits 99.1 and 99.2 hereto, respectively.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exhibits are being filed herewith: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3"/>
        <w:gridCol w:w="120"/>
        <w:gridCol w:w="9402"/>
      </w:tblGrid>
      <w:tr>
        <w:trPr/>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02" w:type="dxa"/>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pBdr>
                <w:bottom w:val="single" w:sz="8" w:space="1" w:color="000000"/>
              </w:pBdr>
              <w:bidi w:val="0"/>
              <w:spacing w:before="0" w:after="20"/>
              <w:jc w:val="center"/>
              <w:rPr/>
            </w:pPr>
            <w:r>
              <w:rPr/>
              <w:t> </w:t>
            </w:r>
            <w:r>
              <w:rPr>
                <w:rFonts w:ascii="Times New Roman" w:hAnsi="Times New Roman"/>
                <w:sz w:val="16"/>
              </w:rPr>
              <w:t>No. </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Document</w:t>
            </w:r>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w:anchor="d788679dex11.htm">
              <w:r>
                <w:rPr>
                  <w:rStyle w:val="InternetLink"/>
                </w:rPr>
                <w:t xml:space="preserve">Underwriting Agreement, dated May 8, 2025, by and between Exagen Inc. and Canaccord Genuity LLC. </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w:anchor="d788679dex51.htm">
              <w:r>
                <w:rPr>
                  <w:rStyle w:val="InternetLink"/>
                </w:rPr>
                <w:t xml:space="preserve">Opinion of Mintz, Levin, Cohn, Ferris, Glovsky and Popeo, P.C. </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w:anchor="d788679dex991.htm">
              <w:r>
                <w:rPr>
                  <w:rStyle w:val="InternetLink"/>
                </w:rPr>
                <w:t xml:space="preserve">Press Release dated May 7, 2025. </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w:anchor="d788679dex992.htm">
              <w:r>
                <w:rPr>
                  <w:rStyle w:val="InternetLink"/>
                </w:rPr>
                <w:t xml:space="preserve">Press Release dated May 8, 2025. </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hyperlink w:anchor="d788679dex51.htm">
              <w:r>
                <w:rPr>
                  <w:rStyle w:val="InternetLink"/>
                </w:rPr>
                <w:t xml:space="preserve">Consent of Mintz, Levin, Cohn, Ferris, Glovsky and Popeo, P.C. (included in Exhibit 5.1). </w:t>
              </w:r>
            </w:hyperlink>
          </w:p>
        </w:tc>
      </w:tr>
      <w:tr>
        <w:trPr/>
        <w:tc>
          <w:tcPr>
            <w:tcW w:w="683" w:type="dxa"/>
            <w:tcBorders/>
            <w:vAlign w:val="center"/>
          </w:tcPr>
          <w:p>
            <w:pPr>
              <w:pStyle w:val="TableContents"/>
              <w:bidi w:val="0"/>
              <w:spacing w:before="0" w:after="283"/>
              <w:jc w:val="left"/>
              <w:rPr>
                <w:sz w:val="4"/>
                <w:szCs w:val="4"/>
              </w:rPr>
            </w:pPr>
            <w:r>
              <w:rPr>
                <w:sz w:val="4"/>
                <w:szCs w:val="4"/>
              </w:rPr>
            </w:r>
          </w:p>
        </w:tc>
        <w:tc>
          <w:tcPr>
            <w:tcW w:w="9522"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02"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613" w:type="dxa"/>
        <w:jc w:val="left"/>
        <w:tblInd w:w="0" w:type="dxa"/>
        <w:tblLayout w:type="fixed"/>
        <w:tblCellMar>
          <w:top w:w="0" w:type="dxa"/>
          <w:left w:w="0" w:type="dxa"/>
          <w:bottom w:w="0" w:type="dxa"/>
          <w:right w:w="0" w:type="dxa"/>
        </w:tblCellMar>
      </w:tblPr>
      <w:tblGrid>
        <w:gridCol w:w="1820"/>
        <w:gridCol w:w="60"/>
        <w:gridCol w:w="23"/>
        <w:gridCol w:w="60"/>
        <w:gridCol w:w="365"/>
        <w:gridCol w:w="60"/>
        <w:gridCol w:w="2225"/>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pPr>
            <w:r>
              <w:rPr/>
              <w:t>EXAGEN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May 8,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G. Black</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Jeffrey G. Black</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788679dex11.htm"/>
      <w:bookmarkStart w:id="3" w:name="ksd788679dex11"/>
      <w:bookmarkEnd w:id="2"/>
      <w:bookmarkEnd w:id="3"/>
      <w:r>
        <w:rPr>
          <w:rFonts w:ascii="Times New Roman" w:hAnsi="Times New Roman"/>
          <w:b/>
          <w:sz w:val="20"/>
        </w:rPr>
        <w:t xml:space="preserve">Exhibit 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Exagen Inc. </w:t>
      </w:r>
    </w:p>
    <w:p>
      <w:pPr>
        <w:pStyle w:val="TextBody"/>
        <w:bidi w:val="0"/>
        <w:spacing w:before="240" w:after="0"/>
        <w:jc w:val="center"/>
        <w:rPr>
          <w:rFonts w:ascii="Times New Roman" w:hAnsi="Times New Roman"/>
          <w:sz w:val="20"/>
        </w:rPr>
      </w:pPr>
      <w:r>
        <w:rPr>
          <w:rFonts w:ascii="Times New Roman" w:hAnsi="Times New Roman"/>
          <w:sz w:val="20"/>
        </w:rPr>
        <w:t xml:space="preserve">3,350,000 Shares </w:t>
      </w:r>
    </w:p>
    <w:p>
      <w:pPr>
        <w:pStyle w:val="TextBody"/>
        <w:bidi w:val="0"/>
        <w:spacing w:before="0" w:after="0"/>
        <w:jc w:val="center"/>
        <w:rPr>
          <w:rFonts w:ascii="Times New Roman" w:hAnsi="Times New Roman"/>
          <w:sz w:val="20"/>
        </w:rPr>
      </w:pPr>
      <w:r>
        <w:rPr>
          <w:rFonts w:ascii="Times New Roman" w:hAnsi="Times New Roman"/>
          <w:sz w:val="20"/>
        </w:rPr>
        <w:t xml:space="preserve">Common Stock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May 8, 2025 </w:t>
      </w:r>
    </w:p>
    <w:p>
      <w:pPr>
        <w:pStyle w:val="TextBody"/>
        <w:bidi w:val="0"/>
        <w:spacing w:before="240" w:after="0"/>
        <w:jc w:val="left"/>
        <w:rPr>
          <w:rFonts w:ascii="Times New Roman" w:hAnsi="Times New Roman"/>
          <w:sz w:val="20"/>
        </w:rPr>
      </w:pPr>
      <w:r>
        <w:rPr>
          <w:rFonts w:ascii="Times New Roman" w:hAnsi="Times New Roman"/>
          <w:sz w:val="20"/>
        </w:rPr>
        <w:t xml:space="preserve">Canaccord Genuity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1 Post Office Square </w:t>
      </w:r>
    </w:p>
    <w:p>
      <w:pPr>
        <w:pStyle w:val="TextBody"/>
        <w:bidi w:val="0"/>
        <w:spacing w:before="0" w:after="0"/>
        <w:jc w:val="left"/>
        <w:rPr>
          <w:rFonts w:ascii="Times New Roman" w:hAnsi="Times New Roman"/>
          <w:sz w:val="20"/>
        </w:rPr>
      </w:pPr>
      <w:r>
        <w:rPr>
          <w:rFonts w:ascii="Times New Roman" w:hAnsi="Times New Roman"/>
          <w:sz w:val="20"/>
        </w:rPr>
        <w:t xml:space="preserve">Suite 3000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Exagen Inc., a Delaware corporation (the </w:t>
      </w:r>
      <w:r>
        <w:rPr>
          <w:rFonts w:ascii="Times New Roman" w:hAnsi="Times New Roman"/>
          <w:sz w:val="20"/>
          <w:u w:val="single"/>
        </w:rPr>
        <w:t>Company</w:t>
      </w:r>
      <w:r>
        <w:rPr>
          <w:rFonts w:ascii="Times New Roman" w:hAnsi="Times New Roman"/>
          <w:sz w:val="20"/>
        </w:rPr>
        <w:t>), confirms its agreement with Canaccord Genuity LLC (</w:t>
      </w:r>
      <w:r>
        <w:rPr>
          <w:rFonts w:ascii="Times New Roman" w:hAnsi="Times New Roman"/>
          <w:sz w:val="20"/>
          <w:u w:val="single"/>
        </w:rPr>
        <w:t>Canaccord</w:t>
      </w:r>
      <w:r>
        <w:rPr>
          <w:rFonts w:ascii="Times New Roman" w:hAnsi="Times New Roman"/>
          <w:sz w:val="20"/>
        </w:rPr>
        <w:t xml:space="preserve">) and each of the other Underwriters named in </w:t>
      </w:r>
      <w:r>
        <w:rPr>
          <w:rFonts w:ascii="Times New Roman" w:hAnsi="Times New Roman"/>
          <w:sz w:val="20"/>
          <w:u w:val="single"/>
        </w:rPr>
        <w:t>Schedule A</w:t>
      </w:r>
      <w:r>
        <w:rPr>
          <w:rFonts w:ascii="Times New Roman" w:hAnsi="Times New Roman"/>
          <w:sz w:val="20"/>
        </w:rPr>
        <w:t xml:space="preserve"> hereto (collectively, the </w:t>
      </w:r>
      <w:r>
        <w:rPr>
          <w:rFonts w:ascii="Times New Roman" w:hAnsi="Times New Roman"/>
          <w:sz w:val="20"/>
          <w:u w:val="single"/>
        </w:rPr>
        <w:t>Underwriters</w:t>
      </w:r>
      <w:r>
        <w:rPr>
          <w:rFonts w:ascii="Times New Roman" w:hAnsi="Times New Roman"/>
          <w:sz w:val="20"/>
        </w:rPr>
        <w:t>, which term shall also include any underwriter substituted as hereinafter provided in Section 10 hereof), for whom Canaccord is acting as representative (in such capacity, the </w:t>
      </w:r>
      <w:r>
        <w:rPr>
          <w:rFonts w:ascii="Times New Roman" w:hAnsi="Times New Roman"/>
          <w:sz w:val="20"/>
          <w:u w:val="single"/>
        </w:rPr>
        <w:t>Representative</w:t>
      </w:r>
      <w:r>
        <w:rPr>
          <w:rFonts w:ascii="Times New Roman" w:hAnsi="Times New Roman"/>
          <w:sz w:val="20"/>
        </w:rPr>
        <w:t>), with respect to (i) the sale by the Company and the purchase by the Underwriters, acting severally and not jointly, of the respective numbers of shares of common stock, par value $0.001 per share, of the Company (</w:t>
      </w:r>
      <w:r>
        <w:rPr>
          <w:rFonts w:ascii="Times New Roman" w:hAnsi="Times New Roman"/>
          <w:sz w:val="20"/>
          <w:u w:val="single"/>
        </w:rPr>
        <w:t>Common Stock</w:t>
      </w:r>
      <w:r>
        <w:rPr>
          <w:rFonts w:ascii="Times New Roman" w:hAnsi="Times New Roman"/>
          <w:sz w:val="20"/>
        </w:rPr>
        <w:t xml:space="preserve">) set forth in </w:t>
      </w:r>
      <w:r>
        <w:rPr>
          <w:rFonts w:ascii="Times New Roman" w:hAnsi="Times New Roman"/>
          <w:sz w:val="20"/>
          <w:u w:val="single"/>
        </w:rPr>
        <w:t>Schedule A</w:t>
      </w:r>
      <w:r>
        <w:rPr>
          <w:rFonts w:ascii="Times New Roman" w:hAnsi="Times New Roman"/>
          <w:sz w:val="20"/>
        </w:rPr>
        <w:t xml:space="preserve"> hereto for an aggregate of 3,350,000 shares of Common Stock and (ii) the grant by the Company to the Underwriters, acting severally and not jointly, of the option described in Section 2(b) hereof to purchase all or any part of 502,500 additional shares of Common Stock. The aforesaid 3,350,000 shares of Common Stock (the </w:t>
      </w:r>
      <w:r>
        <w:rPr>
          <w:rFonts w:ascii="Times New Roman" w:hAnsi="Times New Roman"/>
          <w:sz w:val="20"/>
          <w:u w:val="single"/>
        </w:rPr>
        <w:t>Initial Securities</w:t>
      </w:r>
      <w:r>
        <w:rPr>
          <w:rFonts w:ascii="Times New Roman" w:hAnsi="Times New Roman"/>
          <w:sz w:val="20"/>
        </w:rPr>
        <w:t>) to be purchased by the Underwriters and all or any part of the 502,500 shares of Common Stock subject to the option described in Section 2(b) hereof (the </w:t>
      </w:r>
      <w:r>
        <w:rPr>
          <w:rFonts w:ascii="Times New Roman" w:hAnsi="Times New Roman"/>
          <w:sz w:val="20"/>
          <w:u w:val="single"/>
        </w:rPr>
        <w:t>Option Securities</w:t>
      </w:r>
      <w:r>
        <w:rPr>
          <w:rFonts w:ascii="Times New Roman" w:hAnsi="Times New Roman"/>
          <w:sz w:val="20"/>
        </w:rPr>
        <w:t>) are herein called, collectively, the </w:t>
      </w:r>
      <w:r>
        <w:rPr>
          <w:rFonts w:ascii="Times New Roman" w:hAnsi="Times New Roman"/>
          <w:sz w:val="20"/>
          <w:u w:val="single"/>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there are no additional Underwriters listed on </w:t>
      </w:r>
      <w:r>
        <w:rPr>
          <w:rFonts w:ascii="Times New Roman" w:hAnsi="Times New Roman"/>
          <w:sz w:val="20"/>
          <w:u w:val="single"/>
        </w:rPr>
        <w:t>Schedule A</w:t>
      </w:r>
      <w:r>
        <w:rPr>
          <w:rFonts w:ascii="Times New Roman" w:hAnsi="Times New Roman"/>
          <w:sz w:val="20"/>
        </w:rPr>
        <w:t xml:space="preserve"> hereto, the term Representative as used herein shall mean Canaccord, as Underwriter, and the term Underwriters shall mean either the singular or the plural, as the context requires.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understands that the Underwriters propose to make a public offering of the Securities as soon as the Representative deems advisable after this Agreement has been executed and delivered. </w:t>
      </w:r>
    </w:p>
    <w:p>
      <w:pPr>
        <w:pStyle w:val="TextBody"/>
        <w:bidi w:val="0"/>
        <w:spacing w:before="24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sz w:val="20"/>
          <w:u w:val="single"/>
        </w:rPr>
        <w:t>Commission</w:t>
      </w:r>
      <w:r>
        <w:rPr>
          <w:rFonts w:ascii="Times New Roman" w:hAnsi="Times New Roman"/>
          <w:sz w:val="20"/>
        </w:rPr>
        <w:t>) a registration statement on Form S-3 (No. 333-275632) (including all amendments thereto, the </w:t>
      </w:r>
      <w:r>
        <w:rPr>
          <w:rFonts w:ascii="Times New Roman" w:hAnsi="Times New Roman"/>
          <w:sz w:val="20"/>
          <w:u w:val="single"/>
        </w:rPr>
        <w:t>Initial Registration Statement</w:t>
      </w:r>
      <w:r>
        <w:rPr>
          <w:rFonts w:ascii="Times New Roman" w:hAnsi="Times New Roman"/>
          <w:sz w:val="20"/>
        </w:rPr>
        <w:t>). The Company meets the requirements for use of Form S-3 under the Securities Act of 1933, as amended (the </w:t>
      </w:r>
      <w:r>
        <w:rPr>
          <w:rFonts w:ascii="Times New Roman" w:hAnsi="Times New Roman"/>
          <w:sz w:val="20"/>
          <w:u w:val="single"/>
        </w:rPr>
        <w:t>1933 Act</w:t>
      </w:r>
      <w:r>
        <w:rPr>
          <w:rFonts w:ascii="Times New Roman" w:hAnsi="Times New Roman"/>
          <w:sz w:val="20"/>
        </w:rPr>
        <w:t>), and the rules and regulations of the Securities and Exchange Commission (the </w:t>
      </w:r>
      <w:r>
        <w:rPr>
          <w:rFonts w:ascii="Times New Roman" w:hAnsi="Times New Roman"/>
          <w:sz w:val="20"/>
          <w:u w:val="single"/>
        </w:rPr>
        <w:t>Commission</w:t>
      </w:r>
      <w:r>
        <w:rPr>
          <w:rFonts w:ascii="Times New Roman" w:hAnsi="Times New Roman"/>
          <w:sz w:val="20"/>
        </w:rPr>
        <w:t>) thereunder (the </w:t>
      </w:r>
      <w:r>
        <w:rPr>
          <w:rFonts w:ascii="Times New Roman" w:hAnsi="Times New Roman"/>
          <w:sz w:val="20"/>
          <w:u w:val="single"/>
        </w:rPr>
        <w:t>Rules and Regulations</w:t>
      </w:r>
      <w:r>
        <w:rPr>
          <w:rFonts w:ascii="Times New Roman" w:hAnsi="Times New Roman"/>
          <w:sz w:val="20"/>
        </w:rPr>
        <w:t>). The Initial Registration Statement and any post-effective amendment thereto, each in the form heretofore delivered to you, and, excluding exhibits thereto, to you for each of the other Underwriters, have been declared effective by the Commission in such form and meet the requirements of the 1933 Act and the Rules and Regulations. The proposed offering of the Securities may be made pursuant to General Instruction I.B.1 of Form S-3. Other than (i) the Initial Registration Statement, (ii) a registration statement, if any, increasing the size of the offering filed pursuant to Rule 462(b) under the 1933 Act and the Rules and Regulations (a </w:t>
      </w:r>
      <w:r>
        <w:rPr>
          <w:rFonts w:ascii="Times New Roman" w:hAnsi="Times New Roman"/>
          <w:sz w:val="20"/>
          <w:u w:val="single"/>
        </w:rPr>
        <w:t>Rule 462(b) Registration Statement</w:t>
      </w:r>
      <w:r>
        <w:rPr>
          <w:rFonts w:ascii="Times New Roman" w:hAnsi="Times New Roman"/>
          <w:sz w:val="20"/>
        </w:rPr>
        <w:t xml:space="preserve">), (iii) any Preliminary Prospectus (as defined below), (iv) the Prospectus (as defined below) contemplated by this Agreement to be filed pursuant to Rule 424(b) of the Rules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Regulations in accordance with Section 3(a) hereof and (v) any Issuer Free Writing Prospectus (as defined below), no other document with respect to the offer or sale of the Securities has heretofore been filed with the Commission. No stop order suspending the effectiveness of the Initial Registration Statement, any post-effective amendment thereto or the Rule 462(b) Registration Statement, if any, has been issued and no proceeding for that purpose or pursuant to Section 8A of the 1933 Act has been initiated or threatened by the Commission (any preliminary prospectus included in the Initial Registration Statement or filed with the Commission pursuant to Rule 424 of the Rules and Regulations is hereinafter called a </w:t>
      </w:r>
      <w:r>
        <w:rPr>
          <w:rFonts w:ascii="Times New Roman" w:hAnsi="Times New Roman"/>
          <w:sz w:val="20"/>
          <w:u w:val="single"/>
        </w:rPr>
        <w:t>preliminary prospectu</w:t>
      </w:r>
      <w:r>
        <w:rPr>
          <w:rFonts w:ascii="Times New Roman" w:hAnsi="Times New Roman"/>
          <w:b/>
          <w:i/>
          <w:sz w:val="20"/>
        </w:rPr>
        <w:t>s</w:t>
      </w:r>
      <w:r>
        <w:rPr>
          <w:rFonts w:ascii="Times New Roman" w:hAnsi="Times New Roman"/>
          <w:sz w:val="20"/>
        </w:rPr>
        <w:t>). The Initial Registration Statement including all exhibits thereto and including the information contained in the Prospectus filed with the Commission pursuant to Rule 424(b) of the Rules and Regulations and deemed by virtue of Rule 430A, 430B or 430C under the 1933 Act to be part of the Initial Registration Statement at the time it became effective is hereinafter collectively called the </w:t>
      </w:r>
      <w:r>
        <w:rPr>
          <w:rFonts w:ascii="Times New Roman" w:hAnsi="Times New Roman"/>
          <w:sz w:val="20"/>
          <w:u w:val="single"/>
        </w:rPr>
        <w:t>Registration Statement</w:t>
      </w:r>
      <w:r>
        <w:rPr>
          <w:rFonts w:ascii="Times New Roman" w:hAnsi="Times New Roman"/>
          <w:sz w:val="20"/>
        </w:rPr>
        <w:t>. If the Company has filed a Rule 462(b) Registration Statement, then any reference herein to the term Registration Statement shall be deemed to include such Rule 462 Registration Statement. The final prospectus, in the form filed pursuant to and within the time limits described in Rule 424(b) under the Rules and Regulations, is hereinafter called the </w:t>
      </w:r>
      <w:r>
        <w:rPr>
          <w:rFonts w:ascii="Times New Roman" w:hAnsi="Times New Roman"/>
          <w:sz w:val="20"/>
          <w:u w:val="single"/>
        </w:rPr>
        <w: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Time</w:t>
      </w:r>
      <w:r>
        <w:rPr>
          <w:rFonts w:ascii="Times New Roman" w:hAnsi="Times New Roman"/>
          <w:sz w:val="20"/>
        </w:rPr>
        <w:t xml:space="preserve"> means 8:15 a.m., New York City time, on May 8, 2025 or such other time as agreed by the Company and the Representative.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General Disclosure Package</w:t>
      </w:r>
      <w:r>
        <w:rPr>
          <w:rFonts w:ascii="Times New Roman" w:hAnsi="Times New Roman"/>
          <w:sz w:val="20"/>
        </w:rPr>
        <w:t xml:space="preserv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w:t>
      </w:r>
      <w:r>
        <w:rPr>
          <w:rFonts w:ascii="Times New Roman" w:hAnsi="Times New Roman"/>
          <w:sz w:val="20"/>
          <w:u w:val="single"/>
        </w:rPr>
        <w:t>Schedule B-1</w:t>
      </w:r>
      <w:r>
        <w:rPr>
          <w:rFonts w:ascii="Times New Roman" w:hAnsi="Times New Roman"/>
          <w:sz w:val="20"/>
        </w:rPr>
        <w:t xml:space="preserve"> hereto, all considered together.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Issuer Free Writing Prospectus</w:t>
      </w:r>
      <w:r>
        <w:rPr>
          <w:rFonts w:ascii="Times New Roman" w:hAnsi="Times New Roman"/>
          <w:sz w:val="20"/>
        </w:rPr>
        <w:t> means any issuer free writing prospectus, as defined in Rule 433 of the 1933 Act Regulations (</w:t>
      </w:r>
      <w:r>
        <w:rPr>
          <w:rFonts w:ascii="Times New Roman" w:hAnsi="Times New Roman"/>
          <w:sz w:val="20"/>
          <w:u w:val="single"/>
        </w:rPr>
        <w:t>Rule 433</w:t>
      </w:r>
      <w:r>
        <w:rPr>
          <w:rFonts w:ascii="Times New Roman" w:hAnsi="Times New Roman"/>
          <w:sz w:val="20"/>
        </w:rPr>
        <w:t>), including without limitation any free writing prospectus (as defined in Rule 405 of the 1933 Act Regulations (</w:t>
      </w:r>
      <w:r>
        <w:rPr>
          <w:rFonts w:ascii="Times New Roman" w:hAnsi="Times New Roman"/>
          <w:sz w:val="20"/>
          <w:u w:val="single"/>
        </w:rPr>
        <w:t>Rule 405</w:t>
      </w:r>
      <w:r>
        <w:rPr>
          <w:rFonts w:ascii="Times New Roman" w:hAnsi="Times New Roman"/>
          <w:sz w:val="20"/>
        </w:rPr>
        <w:t xml:space="preserve">))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Issuer General Use Free Writing Prospectus</w:t>
      </w:r>
      <w:r>
        <w:rPr>
          <w:rFonts w:ascii="Times New Roman" w:hAnsi="Times New Roman"/>
          <w:sz w:val="20"/>
        </w:rPr>
        <w:t> means any Issuer Free Writing Prospectus that is intended for general distribution to prospective investors (other than a </w:t>
      </w:r>
      <w:r>
        <w:rPr>
          <w:rFonts w:ascii="Times New Roman" w:hAnsi="Times New Roman"/>
          <w:i/>
          <w:sz w:val="20"/>
        </w:rPr>
        <w:t>bona fide</w:t>
      </w:r>
      <w:r>
        <w:rPr>
          <w:rFonts w:ascii="Times New Roman" w:hAnsi="Times New Roman"/>
          <w:sz w:val="20"/>
        </w:rPr>
        <w:t xml:space="preserve"> electronic road show, as defined in Rule 433(h)(5) (the </w:t>
      </w:r>
      <w:r>
        <w:rPr>
          <w:rFonts w:ascii="Times New Roman" w:hAnsi="Times New Roman"/>
          <w:sz w:val="20"/>
          <w:u w:val="single"/>
        </w:rPr>
        <w:t>Bona Fide Electronic Road Show</w:t>
      </w:r>
      <w:r>
        <w:rPr>
          <w:rFonts w:ascii="Times New Roman" w:hAnsi="Times New Roman"/>
          <w:sz w:val="20"/>
        </w:rPr>
        <w:t xml:space="preserve">)), as evidenced by its being specified in </w:t>
      </w:r>
      <w:r>
        <w:rPr>
          <w:rFonts w:ascii="Times New Roman" w:hAnsi="Times New Roman"/>
          <w:sz w:val="20"/>
          <w:u w:val="single"/>
        </w:rPr>
        <w:t>Schedule B-2</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Issuer Limited Use Free Writing Prospectus</w:t>
      </w:r>
      <w:r>
        <w:rPr>
          <w:rFonts w:ascii="Times New Roman" w:hAnsi="Times New Roman"/>
          <w:sz w:val="20"/>
        </w:rPr>
        <w:t xml:space="preserve"> means any Issuer Free Writing Prospectus that is not an Issuer General Use Free Writing Prospectus.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Testing-the-Waters Communication</w:t>
      </w:r>
      <w:r>
        <w:rPr>
          <w:rFonts w:ascii="Times New Roman" w:hAnsi="Times New Roman"/>
          <w:sz w:val="20"/>
        </w:rPr>
        <w:t xml:space="preserve"> means any oral or written communication with potential investors undertaken in reliance on Section 5(d) of the 1933 Act.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Written Testing-the-Waters Communication</w:t>
      </w:r>
      <w:r>
        <w:rPr>
          <w:rFonts w:ascii="Times New Roman" w:hAnsi="Times New Roman"/>
          <w:sz w:val="20"/>
        </w:rPr>
        <w:t xml:space="preserve"> means any Testing-the-Waters Communication that is a written communication within the meaning of Rule 405 of the 1933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All references in this Agreement to financial statements and schedules and other information which is contained, included or stated in the Registration Statement, any preliminary prospectus or the Prospectus (or other references of like import) shall include all such financial statements and schedules and other information which is incorporated by reference in or otherwise deemed by 1933 Act Regulations (as defined below) to be a part of or included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include the filing of any document under the Securities Exchange Act of 1934, as amended (the </w:t>
      </w:r>
      <w:r>
        <w:rPr>
          <w:rFonts w:ascii="Times New Roman" w:hAnsi="Times New Roman"/>
          <w:sz w:val="20"/>
          <w:u w:val="single"/>
        </w:rPr>
        <w:t>1934 Act</w:t>
      </w:r>
      <w:r>
        <w:rPr>
          <w:rFonts w:ascii="Times New Roman" w:hAnsi="Times New Roman"/>
          <w:sz w:val="20"/>
        </w:rPr>
        <w:t xml:space="preserve">), which is incorporated by reference in or otherwise deemed by 1933 Act Regulations to be a part of or included in the Registration Statement, such preliminary prospectus or the Prospectus, as the case may be, at or after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 by the Company</w:t>
      </w:r>
      <w:r>
        <w:rPr>
          <w:rFonts w:ascii="Times New Roman" w:hAnsi="Times New Roman"/>
          <w:sz w:val="20"/>
        </w:rPr>
        <w:t xml:space="preserve">. The Company represents and warrants to each Underwriter as of the date hereof, the Applicable Time, the Closing Time (as defined below) and any Date of Delivery (as defined below), and agrees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Prospectuses</w:t>
      </w:r>
      <w:r>
        <w:rPr>
          <w:rFonts w:ascii="Times New Roman" w:hAnsi="Times New Roman"/>
          <w:sz w:val="20"/>
        </w:rPr>
        <w:t xml:space="preserve">. The Company meets the requirements for use of Form S-3 under the 1933 Act. Each of the Registration Statement and any amendment thereto has become effective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and no proceedings for any of those purposes have been instituted by the Commission or are pending or, to the Companys knowledge, contemplated by the Commission. The Company has complied with each request (if any) from the Commission for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it became effective,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rules and regulations of the Commission under the 1934 Act (the </w:t>
      </w:r>
      <w:r>
        <w:rPr>
          <w:rFonts w:ascii="Times New Roman" w:hAnsi="Times New Roman"/>
          <w:sz w:val="20"/>
          <w:u w:val="single"/>
        </w:rPr>
        <w:t>1934 Act Regulations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Accurate Disclosure</w:t>
      </w:r>
      <w:r>
        <w:rPr>
          <w:rFonts w:ascii="Times New Roman" w:hAnsi="Times New Roman"/>
          <w:sz w:val="20"/>
        </w:rPr>
        <w:t xml:space="preserve">. 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none of (A) the General Disclosure Package, (B) any individual Issuer Limited Use Free Writing Prospectus, when considered together with the General Disclosure Package, nor (C) any individual Written Testing-the-Waters Communication, when considered together with the General Disclosure Package, included, includes or will include an untrue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The representations and warranties in this subsection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 expressly for use therein. For purposes of this Agreement, the only information so furnished shall be the information appearing in the first paragraph under the heading Commission and Expenses and the information in the paragraphs under the heading Stabilization in each case contained in the Prospectus (collectively, the </w:t>
      </w:r>
      <w:r>
        <w:rPr>
          <w:rFonts w:ascii="Times New Roman" w:hAnsi="Times New Roman"/>
          <w:sz w:val="20"/>
          <w:u w:val="single"/>
        </w:rPr>
        <w:t>Underwriter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Issuer Free Writing Prospectuses</w:t>
      </w:r>
      <w:r>
        <w:rPr>
          <w:rFonts w:ascii="Times New Roman" w:hAnsi="Times New Roman"/>
          <w:sz w:val="20"/>
        </w:rPr>
        <w:t xml:space="preserve">. No Issuer Free Writing Prospectus conflicts or will conflict with the information contained in the Registration Statement or the Prospectus and any preliminary or other prospectus deemed to be a part thereof that has not been superseded or modified. No filing of any road show (as defined in Rule 433(h)) is required in connection with the offering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Testing-the-Waters Materials</w:t>
      </w:r>
      <w:r>
        <w:rPr>
          <w:rFonts w:ascii="Times New Roman" w:hAnsi="Times New Roman"/>
          <w:sz w:val="20"/>
        </w:rPr>
        <w:t xml:space="preserve">. The Company (A) has not engaged in any Testing-the-Waters Communication other than Testing-the-Waters Communications with the consent of the Representative with entities that the Representative has confirmed are qualified institutional buyers within the meaning of Rule 144A under the 1933 Act or institutions that are accredited investors within the meaning of Rule 501 under the 1933 Act and (B) has not authorized anyone other than the Representative to engage in Testing-the-Waters Communications. The Company reconfirms that the Representative has been authorized to act on its behalf in undertaking Testing-the-Waters Communications. The Company has not distributed any Written Testing-the-Waters Communications other than those listed on </w:t>
      </w:r>
      <w:r>
        <w:rPr>
          <w:rFonts w:ascii="Times New Roman" w:hAnsi="Times New Roman"/>
          <w:sz w:val="20"/>
          <w:u w:val="single"/>
        </w:rPr>
        <w:t>Schedule B-3</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Company Not Ineligible Issuer</w:t>
      </w:r>
      <w:r>
        <w:rPr>
          <w:rFonts w:ascii="Times New Roman" w:hAnsi="Times New Roman"/>
          <w:sz w:val="20"/>
        </w:rPr>
        <w:t>. At the time of filing the Registration Statement and any post-effective amendment thereto, at the earliest time thereafter that the Company or another offering participant made a </w:t>
      </w:r>
      <w:r>
        <w:rPr>
          <w:rFonts w:ascii="Times New Roman" w:hAnsi="Times New Roman"/>
          <w:i/>
          <w:sz w:val="20"/>
        </w:rPr>
        <w:t>bona fide</w:t>
      </w:r>
      <w:r>
        <w:rPr>
          <w:rFonts w:ascii="Times New Roman" w:hAnsi="Times New Roman"/>
          <w:sz w:val="20"/>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Independent Accountants</w:t>
      </w:r>
      <w:r>
        <w:rPr>
          <w:rFonts w:ascii="Times New Roman" w:hAnsi="Times New Roman"/>
          <w:sz w:val="20"/>
        </w:rPr>
        <w:t xml:space="preserve">. The accountants who certified the financial statements and supporting schedules included or incorporated by reference in the Registration Statement, the General Disclosure Package and the Prospectus are an independent registered public accounting firm as required by the 1933 Act, the 1933 Act Regulations and the Public Company Accounting Oversight Board.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Financial Statements</w:t>
      </w:r>
      <w:r>
        <w:rPr>
          <w:rFonts w:ascii="Times New Roman" w:hAnsi="Times New Roman"/>
          <w:sz w:val="20"/>
        </w:rPr>
        <w:t>. The financial statements included or incorporated by reference in the Registration Statement, the General Disclosure Package and the Prospectus, together with the related schedules and notes, present fairly, in all material respects, the financial position of the Company at the dates indicated and the statement of operations, stockholders equity and cash flows of the Company for the periods specified; said financial statements have been prepared in conformity with U.S. generally accepted accounting principles (</w:t>
      </w:r>
      <w:r>
        <w:rPr>
          <w:rFonts w:ascii="Times New Roman" w:hAnsi="Times New Roman"/>
          <w:sz w:val="20"/>
          <w:u w:val="single"/>
        </w:rPr>
        <w:t>GAAP</w:t>
      </w:r>
      <w:r>
        <w:rPr>
          <w:rFonts w:ascii="Times New Roman" w:hAnsi="Times New Roman"/>
          <w:sz w:val="20"/>
        </w:rPr>
        <w:t xml:space="preserve">) applied on a consistent basis throughout the periods involved, except in the case of unaudited interim financial statements, subject to year-end audit adjustments and the exclusion of certain footnotes as permitted by the applicable rules of the Commission. The supporting schedules included in the Registration Statement, if any, present fairly, in all material respects, in accordance with GAAP the information required to be stated therein.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XBRL</w:t>
      </w:r>
      <w:r>
        <w:rPr>
          <w:rFonts w:ascii="Times New Roman" w:hAnsi="Times New Roman"/>
          <w:sz w:val="20"/>
        </w:rPr>
        <w:t xml:space="preserve">. The interactive data in eXtensible Business Reporting Language included or incorporated by reference in the Registration Statement, the General Disclosure Package and the Prospectus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No Material Adverse Change in Business</w:t>
      </w:r>
      <w:r>
        <w:rPr>
          <w:rFonts w:ascii="Times New Roman" w:hAnsi="Times New Roman"/>
          <w:sz w:val="20"/>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whether or not arising in the ordinary course of business (a </w:t>
      </w:r>
      <w:r>
        <w:rPr>
          <w:rFonts w:ascii="Times New Roman" w:hAnsi="Times New Roman"/>
          <w:sz w:val="20"/>
          <w:u w:val="single"/>
        </w:rPr>
        <w:t>Material Adverse Change</w:t>
      </w:r>
      <w:r>
        <w:rPr>
          <w:rFonts w:ascii="Times New Roman" w:hAnsi="Times New Roman"/>
          <w:sz w:val="20"/>
        </w:rPr>
        <w:t xml:space="preserve">), (B) there have been no transactions entered into by the Company, other than those in the ordinary course of business, which are material with respect to the Company, and (C) there has been no dividend or distribution of any kind declared, paid or made by the Company on any class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Good Standing of the Company</w:t>
      </w:r>
      <w:r>
        <w:rPr>
          <w:rFonts w:ascii="Times New Roman" w:hAnsi="Times New Roman"/>
          <w:sz w:val="20"/>
        </w:rPr>
        <w:t xml:space="preserve">.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No Subsidiaries</w:t>
      </w:r>
      <w:r>
        <w:rPr>
          <w:rFonts w:ascii="Times New Roman" w:hAnsi="Times New Roman"/>
          <w:sz w:val="20"/>
        </w:rPr>
        <w:t xml:space="preserve">. The Company has no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Capitalization</w:t>
      </w:r>
      <w:r>
        <w:rPr>
          <w:rFonts w:ascii="Times New Roman" w:hAnsi="Times New Roman"/>
          <w:sz w:val="20"/>
        </w:rPr>
        <w:t xml:space="preserve">. The authorized, issued and outstanding shares of capital stock of the Company are as set forth in the Registration Statement, the General Disclosure Package and the Prospectus under the heading Description of Capital Stock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Authorization of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Authorization and Description of Securities</w:t>
      </w:r>
      <w:r>
        <w:rPr>
          <w:rFonts w:ascii="Times New Roman" w:hAnsi="Times New Roman"/>
          <w:sz w:val="20"/>
        </w:rPr>
        <w:t xml:space="preserve">.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Common Stock conforms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by reason of being such a holder.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Absence of Violations, Defaults and Conflicts</w:t>
      </w:r>
      <w:r>
        <w:rPr>
          <w:rFonts w:ascii="Times New Roman" w:hAnsi="Times New Roman"/>
          <w:sz w:val="20"/>
        </w:rPr>
        <w:t>. The Company is not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properties or assets of the Company is subject (collectively, </w:t>
      </w:r>
      <w:r>
        <w:rPr>
          <w:rFonts w:ascii="Times New Roman" w:hAnsi="Times New Roman"/>
          <w:sz w:val="20"/>
          <w:u w:val="single"/>
        </w:rPr>
        <w:t>Agreements and Instruments</w:t>
      </w:r>
      <w:r>
        <w:rPr>
          <w:rFonts w:ascii="Times New Roman" w:hAnsi="Times New Roman"/>
          <w:sz w:val="20"/>
        </w:rPr>
        <w:t>), except for such defaults that would not, singly or in the aggregate, result in a Material Adverse Change, or (C) in violation of any law, statute, rule, regulation, judgment, order, writ or decree of any arbitrator, court, governmental body, regulatory body, administrative agency or other authority, body or agency having jurisdiction over the Company or any of its respective properties, assets or operations (each, a </w:t>
      </w:r>
      <w:r>
        <w:rPr>
          <w:rFonts w:ascii="Times New Roman" w:hAnsi="Times New Roman"/>
          <w:sz w:val="20"/>
          <w:u w:val="single"/>
        </w:rPr>
        <w:t>Governmental Entity</w:t>
      </w:r>
      <w:r>
        <w:rPr>
          <w:rFonts w:ascii="Times New Roman" w:hAnsi="Times New Roman"/>
          <w:sz w:val="20"/>
        </w:rPr>
        <w:t>), except for such violations that would not, singly or in the aggregate, result in a Material Adverse Change.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w:t>
      </w:r>
      <w:r>
        <w:rPr>
          <w:rFonts w:ascii="Times New Roman" w:hAnsi="Times New Roman"/>
          <w:sz w:val="20"/>
          <w:u w:val="single"/>
        </w:rPr>
        <w:t>Use of Proceeds</w:t>
      </w:r>
      <w:r>
        <w:rPr>
          <w:rFonts w:ascii="Times New Roman" w:hAnsi="Times New Roman"/>
          <w:sz w:val="20"/>
        </w:rPr>
        <w:t>)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pursuant to, the Agreements and Instruments (except for such conflicts, breaches, defaults or Repayment Events or liens, charges or encumbrances that would not, singly or in the aggregate, result in a Material Adverse Change), nor will such action result in any violation of the provisions of the charter, by-laws or similar organizational document of the Company or any material violation of any law, statute, rule, regulation, judgment, order, writ or decree of any Governmental Entity. As used herein, a </w:t>
      </w:r>
      <w:r>
        <w:rPr>
          <w:rFonts w:ascii="Times New Roman" w:hAnsi="Times New Roman"/>
          <w:sz w:val="20"/>
          <w:u w:val="single"/>
        </w:rPr>
        <w:t>Repayment Event</w:t>
      </w:r>
      <w:r>
        <w:rPr>
          <w:rFonts w:ascii="Times New Roman" w:hAnsi="Times New Roman"/>
          <w:sz w:val="20"/>
        </w:rPr>
        <w:t xml:space="preserve"> means any event or condition which gives the holder of any note, debenture or other evidence of indebtedness (or any person acting on such holders behalf) the right to require the repurchase, redemption or repayment of all or a portion of such indebtedness by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No Reliance</w:t>
      </w:r>
      <w:r>
        <w:rPr>
          <w:rFonts w:ascii="Times New Roman" w:hAnsi="Times New Roman"/>
          <w:sz w:val="20"/>
        </w:rPr>
        <w:t xml:space="preserve">. The Company has not relied upon the Underwriters or legal counsel for the Underwriters for any legal, tax or accounting advice in connection with the offering and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Absence of Labor Dispute</w:t>
      </w:r>
      <w:r>
        <w:rPr>
          <w:rFonts w:ascii="Times New Roman" w:hAnsi="Times New Roman"/>
          <w:sz w:val="20"/>
        </w:rPr>
        <w:t xml:space="preserve">. (A) No labor dispute with the employees of the Company exists or, to the knowledge of the Company, is imminent, and (B) the Company is not aware of any existing or imminent labor disturbance by the employees of any of its principal suppliers, manufacturers, customers or contractors, which, in either case of the foregoing clauses (A) or (B), would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Absence of Proceedings</w:t>
      </w:r>
      <w:r>
        <w:rPr>
          <w:rFonts w:ascii="Times New Roman" w:hAnsi="Times New Roman"/>
          <w:sz w:val="20"/>
        </w:rPr>
        <w:t xml:space="preserve">. Except as disclosed in the Registration Statement, the General Disclosure Package and the Prospectus, there is no action, suit, proceeding, inquiry or investigation before or brought by any Governmental Entity now pending or, to the knowledge of the Company, threatened, against or affecting the Company, which would reasonably be expected to result in a Material Adverse Change, or which would reasonably be expected to materially and adversely affect its properties or assets or the consummation of the transactions contemplated in this Agreement or the performance by the Company of its obligations hereunder; and the aggregate of all pending legal or governmental proceedings to which the Company is a party or of which any of its respective properties or assets is the subject which are not described in the Registration Statement, the General Disclosure Package and the Prospectus, including ordinary routine litigation incidental to the business, would not reasonably be expected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Accuracy of Exhibits</w:t>
      </w:r>
      <w:r>
        <w:rPr>
          <w:rFonts w:ascii="Times New Roman" w:hAnsi="Times New Roman"/>
          <w:sz w:val="20"/>
        </w:rPr>
        <w:t xml:space="preserve">. There are no contracts or documents which are required to be described in the Registration Statement, the General Disclosure Package or the Prospectus or filed as exhibits to the Registration Statement which have not been so described and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Absence of Further Requirements</w:t>
      </w:r>
      <w:r>
        <w:rPr>
          <w:rFonts w:ascii="Times New Roman" w:hAnsi="Times New Roman"/>
          <w:sz w:val="20"/>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Nasdaq Stock Market LLC, state securities laws or the rules of the Financial Industry Regulatory Authority, Inc. (</w:t>
      </w:r>
      <w:r>
        <w:rPr>
          <w:rFonts w:ascii="Times New Roman" w:hAnsi="Times New Roman"/>
          <w:sz w:val="20"/>
          <w:u w:val="single"/>
        </w:rPr>
        <w:t>FINRA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Possession of Licenses and Permits</w:t>
      </w:r>
      <w:r>
        <w:rPr>
          <w:rFonts w:ascii="Times New Roman" w:hAnsi="Times New Roman"/>
          <w:sz w:val="20"/>
        </w:rPr>
        <w:t>. The Company possesses such permits, licenses, approvals, consents and other authorizations (collectively, </w:t>
      </w:r>
      <w:r>
        <w:rPr>
          <w:rFonts w:ascii="Times New Roman" w:hAnsi="Times New Roman"/>
          <w:sz w:val="20"/>
          <w:u w:val="single"/>
        </w:rPr>
        <w:t>Governmental Licenses</w:t>
      </w:r>
      <w:r>
        <w:rPr>
          <w:rFonts w:ascii="Times New Roman" w:hAnsi="Times New Roman"/>
          <w:sz w:val="20"/>
        </w:rPr>
        <w:t>) issued by the appropriate Governmental Entities necessary to conduct the business as now operated by it (including without limitation, all such certificates, authorizations, registrations, permits, licenses, approvals and consents required by the United States Food and Drug Administration (the </w:t>
      </w:r>
      <w:r>
        <w:rPr>
          <w:rFonts w:ascii="Times New Roman" w:hAnsi="Times New Roman"/>
          <w:sz w:val="20"/>
          <w:u w:val="single"/>
        </w:rPr>
        <w:t>FDA</w:t>
      </w:r>
      <w:r>
        <w:rPr>
          <w:rFonts w:ascii="Times New Roman" w:hAnsi="Times New Roman"/>
          <w:sz w:val="20"/>
        </w:rPr>
        <w:t xml:space="preserve">) or any other federal, state, local or foreign agencies or bodies engaged in the regulation of clinical laboratories, clinical trials, diagnostic products or other medical devices), except where the failure so to possess would not, singly or in the aggregate, result in a Material Adverse Change. The Company is in compliance with the terms and conditions of all Governmental Licenses, except where the failure so to comply would not, singly or in the aggregate, result in a Material Adverse Change. All of the Governmental Licenses are valid and in full force and effect, except when the invalidity of such Governmental Licenses or the failure of such Governmental Licenses to be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full force and effect would not, singly or in the aggregate, result in a Material Adverse Change. The Company has not received any written notice of proceedings relating to the revocation or modification of any Governmental Licenses which, singly or in the aggregate, if the subject of an unfavorable decision, ruling or finding, would result in a Material Adverse Change. All applications, notifications, submissions, information, claims, reports and statistics, and other data and conclusions derived therefrom, utilized as the basis for any and all requests for a Governmental License from the FDA or other Governmental Entity relating to the Company, its business and the products and services of the Company,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Title to Property</w:t>
      </w:r>
      <w:r>
        <w:rPr>
          <w:rFonts w:ascii="Times New Roman" w:hAnsi="Times New Roman"/>
          <w:sz w:val="20"/>
        </w:rPr>
        <w:t xml:space="preserve">. The Company has good and marketable title to all real property owned by it and good title to all other properties owned by it, in each case, free and clear of all mortgages, pledges, liens, security interests, claims, restrictions or encumbrances of any kind except such as (A) are described in the Registration Statement, the General Disclosure Package and the Prospectus or (B) do not, singly or in the aggregate, materially affect the value of such property and do not materially interfere with the use made and proposed to be made of such property by the Company; and all of the leases and subleases material to the business of the Company, considered as one enterprise, and under which the Company holds properties described in the Registration Statement, the General Disclosure Package or the Prospectus, are in full force and effect, and the Company has no written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 </w:t>
      </w:r>
    </w:p>
    <w:p>
      <w:pPr>
        <w:pStyle w:val="TextBody"/>
        <w:bidi w:val="0"/>
        <w:spacing w:before="12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Intellectual Property</w:t>
      </w:r>
      <w:r>
        <w:rPr>
          <w:rFonts w:ascii="Times New Roman" w:hAnsi="Times New Roman"/>
          <w:sz w:val="20"/>
        </w:rPr>
        <w:t>. (i) The Company owns or has valid, binding and enforceable licenses or other rights under the patents, patent applications, copyrights, know-how (including trade secrets and other unpatented and/or unpatentable proprietary or confidential information, systems or procedures), trademarks, service marks, trade names or other intellectual property necessary for, or used in the conduct of the business of the Company and (ii) has, or to the knowledge of the Company, can acquire or license on reasonable terms such intellectual property that is necessary for the proposed conduct of, the business of the Company, in each case, as described in the Registration Statement, the General Disclosure Package and the Prospectus (collectively, the </w:t>
      </w:r>
      <w:r>
        <w:rPr>
          <w:rFonts w:ascii="Times New Roman" w:hAnsi="Times New Roman"/>
          <w:sz w:val="20"/>
          <w:u w:val="single"/>
        </w:rPr>
        <w:t>Intellectual Property</w:t>
      </w:r>
      <w:r>
        <w:rPr>
          <w:rFonts w:ascii="Times New Roman" w:hAnsi="Times New Roman"/>
          <w:sz w:val="20"/>
        </w:rPr>
        <w:t>); to the knowledge of the Company, the registered patents, trademarks, and copyrights, if any, included within the Intellectual Property and which are purported to be owned or exclusively licensed by the Company are valid, enforceable, and subsisting; other than as disclosed in the Registration Statement, the General Disclosure Package and the Prospectus, (A) the Company is not obligated to pay a material royalty, grant a license to any material portion of the Intellectual Property, or provide other material consideration to any third party in connection with the Intellectual Property, (B) the Company has not received any written notice of any claim of infringement, misappropriation or conflict with any asserted rights of others with respect to any of the Companys products, processes or Intellectual Property, (C) to the knowledge of the Company, neither the sale nor use of any of the discoveries, inventions, products or processes of the Company referred to in the Registration Statement, the General Disclosure Package or the Prospectus do or will, to the knowledge of the Company, infringe, misappropriate or violate any right or valid patent claim of any third party, and (D) to the knowledge of the Company, no third party has any ownership right in or to any Intellectual Property that is owned by the Company, other than any co-owner of any patent constituting Intellectual Property who is listed on the records of the U.S. Patent and Trademark Office (the </w:t>
      </w:r>
      <w:r>
        <w:rPr>
          <w:rFonts w:ascii="Times New Roman" w:hAnsi="Times New Roman"/>
          <w:sz w:val="20"/>
          <w:u w:val="single"/>
        </w:rPr>
        <w:t>USPTO</w:t>
      </w:r>
      <w:r>
        <w:rPr>
          <w:rFonts w:ascii="Times New Roman" w:hAnsi="Times New Roman"/>
          <w:sz w:val="20"/>
        </w:rPr>
        <w:t xml:space="preserve">) and any co-owner of any patent application constituting Intellectual Property who is named in such patent application, and, to the knowledge of the Company, no third party has any ownership right in or to any Intellectual Property in any field of use that is exclusively licensed to the Company, other than any licensor to the Company of such Intellectual Property.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Patents and Patent Applications</w:t>
      </w:r>
      <w:r>
        <w:rPr>
          <w:rFonts w:ascii="Times New Roman" w:hAnsi="Times New Roman"/>
          <w:sz w:val="20"/>
        </w:rPr>
        <w:t xml:space="preserve">. All patents and patent applications owned by or exclusively licensed to the Company have, to the knowledge of the Company, been duly and properly filed and maintained;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(A) preclude the grant of a patent in connection with any such application or (B) reasonably be expected to form the basis of a finding of invalidity with respect to any patents that have issued with respect to such applications. </w:t>
      </w:r>
    </w:p>
    <w:p>
      <w:pPr>
        <w:pStyle w:val="TextBody"/>
        <w:bidi w:val="0"/>
        <w:spacing w:before="12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Environmental Laws</w:t>
      </w:r>
      <w:r>
        <w:rPr>
          <w:rFonts w:ascii="Times New Roman" w:hAnsi="Times New Roman"/>
          <w:sz w:val="20"/>
        </w:rPr>
        <w:t>. Except as described in the Registration Statement, the General Disclosure Package and the Prospectus or would not, singly or in the aggregate, result in a Material Adverse Change, (A)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hAnsi="Times New Roman"/>
          <w:sz w:val="20"/>
          <w:u w:val="single"/>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sz w:val="20"/>
          <w:u w:val="single"/>
        </w:rPr>
        <w:t>Environmental Laws</w:t>
      </w:r>
      <w:r>
        <w:rPr>
          <w:rFonts w:ascii="Times New Roman" w:hAnsi="Times New Roman"/>
          <w:sz w:val="20"/>
        </w:rPr>
        <w:t xml:space="preserve">), (B) the Company has all permits, authorizations and approvals required under any applicable Environmental Laws and is in compliance with their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Company and (D) there are no events or circumstances that would reasonably be expected to form the basis of an order for clean-up or remediation, or an action, suit or proceeding by any private party or Governmental Entity, against or affecting the Company relating to Hazardous Materials or any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Accounting Controls and Disclosure Controls</w:t>
      </w:r>
      <w:r>
        <w:rPr>
          <w:rFonts w:ascii="Times New Roman" w:hAnsi="Times New Roman"/>
          <w:sz w:val="20"/>
        </w:rPr>
        <w:t>. The Company maintains effective internal control over financial reporting (as defined under Rule 13a15 and 15d15 under the rules and regulations of the Commission under the 1934 Act (the </w:t>
      </w:r>
      <w:r>
        <w:rPr>
          <w:rFonts w:ascii="Times New Roman" w:hAnsi="Times New Roman"/>
          <w:sz w:val="20"/>
          <w:u w:val="single"/>
        </w:rPr>
        <w:t>1934 Act Regulations</w:t>
      </w:r>
      <w:r>
        <w:rPr>
          <w:rFonts w:ascii="Times New Roman" w:hAnsi="Times New Roman"/>
          <w:sz w:val="20"/>
        </w:rPr>
        <w:t xml:space="preserve">))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adversely affected, or is reasonably likely to materially adversely affect, the Companys internal control over financial reporting.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Compliance with Health Care Laws</w:t>
      </w:r>
      <w:r>
        <w:rPr>
          <w:rFonts w:ascii="Times New Roman" w:hAnsi="Times New Roman"/>
          <w:sz w:val="20"/>
        </w:rPr>
        <w:t>. Except as described in the Registration Statement, the General Disclosure Package and the Prospectus or as would not, singly or in the aggregate, reasonably be expected to give rise to a material liability of the Company, the Company is, and since January 1, 2010 has been, in compliance with, all health care laws applicable to the Company or any of its products or activities, including, but not limited to, the federal Anti-Kickback Statute (42 U.S.C. § 1320a-7b(b)), the Anti-Inducement Law (42 U.S.C. § 1320a-7a(a)(5)), the civil False Claims Act (31 U.S.C. §§ 3729 et seq.), the criminal False Claims Law (42 U.S.C. § 1320a-7b(a)), the Stark law (42 U.S.C. § 1395nn), the Health Insurance Portability and Accountability Act of 1996 (42 U.S.C. §§ 1320d et seq.) as amended by the Health Information Technology for Economic and Clinical Health Act (42 U.S.C. §§ 17921 et seq.), the exclusion laws (42 U.S.C. § 1320a-7), the Federal Food Drug and Cosmetic Act (21 U.S.C. §§ 301 et seq.), Medicare (Title XVIII of the Social Security Act), Medicaid (Title XIX of the Social Security Act), the Clinical Laboratory Improvement Amendments (42 U.S.C. § 263a et seq.), the regulations promulgated pursuant to such laws, and any other similar state or federal law (collectively, </w:t>
      </w:r>
      <w:r>
        <w:rPr>
          <w:rFonts w:ascii="Times New Roman" w:hAnsi="Times New Roman"/>
          <w:sz w:val="20"/>
          <w:u w:val="single"/>
        </w:rPr>
        <w:t>Health Care Laws</w:t>
      </w:r>
      <w:r>
        <w:rPr>
          <w:rFonts w:ascii="Times New Roman" w:hAnsi="Times New Roman"/>
          <w:sz w:val="20"/>
        </w:rPr>
        <w:t xml:space="preserve">). The Company has not received any written notification, correspondence or other communication, including notification of any pending or threatened claim, suit, proceeding, hearing, enforcement, investigation, arbitration or other action from any governmental authority, including, without limitation, the FDA, the Federal Trade Commission, the Centers for Medicare &amp; Medicaid Services, or the U.S. Department of Health and Human Services Office of Inspector General, of potential or actual non-compliance by, or liability of, the Company under any Health Care Laws, except, with respect to any of the foregoing, such as would not, in the aggregate, reasonably be expected to have a Material Adverse Change. To the Companys knowledge, there are no facts or circumstances that would reasonably be expected to give rise to material liability of the Company under any Health Care Laws. The Company has not had any product or clinical laboratory (whether Company owned or that of a third party manufacturer) subject to a governmental authority (including FDA) shutdown or import or export prohibition, nor received any FDA Form 483 or other governmental authority notice of inspectional observations, warning letters, untitled letters, requests to make changes to the Company products, processes or operations, or similar written notice from the FDA or other governmental authority alleging or asserting material noncompliance with any applicable Health Care Laws. To the Companys knowledge, neither the FDA nor any other governmental authority is considering such action. The Company is not a party to any corporate integrity agreements, monitoring agreements, consent decrees, settlement orders, or similar agreements with or imposed by any governmental or regulatory authority. Additionally, neither the Company nor any of its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No Safety Notices</w:t>
      </w:r>
      <w:r>
        <w:rPr>
          <w:rFonts w:ascii="Times New Roman" w:hAnsi="Times New Roman"/>
          <w:sz w:val="20"/>
        </w:rPr>
        <w:t>. (a) There have been no recalls, field notifications, field corrections, market withdrawals or replacements, warnings, dear doctor letters, investigator notices, safety alerts or other notice of action relating to an alleged lack of safety, efficacy, or regulatory compliance of the Companys products (</w:t>
      </w:r>
      <w:r>
        <w:rPr>
          <w:rFonts w:ascii="Times New Roman" w:hAnsi="Times New Roman"/>
          <w:sz w:val="20"/>
          <w:u w:val="single"/>
        </w:rPr>
        <w:t>Safety Notices</w:t>
      </w:r>
      <w:r>
        <w:rPr>
          <w:rFonts w:ascii="Times New Roman" w:hAnsi="Times New Roman"/>
          <w:sz w:val="20"/>
        </w:rPr>
        <w:t xml:space="preserve">) and (b) to the Companys knowledge, there are no facts that would be reasonably likely to result in (x) a Safety Notice with respect to the Companys products or services, or (y) a termination or suspension of marketing or testing of any of the Companys products or services. </w:t>
      </w:r>
    </w:p>
    <w:p>
      <w:pPr>
        <w:pStyle w:val="TextBody"/>
        <w:bidi w:val="0"/>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Payment of Taxes</w:t>
      </w:r>
      <w:r>
        <w:rPr>
          <w:rFonts w:ascii="Times New Roman" w:hAnsi="Times New Roman"/>
          <w:sz w:val="20"/>
        </w:rPr>
        <w:t xml:space="preserve">. All United States federal income tax returns of the Company required by law to be filed have been filed and all taxes shown by such returns or otherwise assessed, which are due and payable, have been paid, except assessments against which appeals have been or will be promptly taken and as to which adequate reserves have been provided.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has filed all other tax returns that are required to have been filed by it pursuant to applicable foreign, state, local or other law except insofar as the failure to file such returns would not result in a Material Adverse Change, and has paid all material taxes due pursuant to such returns or pursuant to any assessment received by the Company, except for such taxes, if any, as are being contested in good faith and as to which adequate reserves have been established by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Insurance</w:t>
      </w:r>
      <w:r>
        <w:rPr>
          <w:rFonts w:ascii="Times New Roman" w:hAnsi="Times New Roman"/>
          <w:sz w:val="20"/>
        </w:rPr>
        <w:t xml:space="preserve">. The Company carries or is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will not be able (A) to renew its existing insurance coverage as and when such policies expire or (B) to obtain comparable coverage from similar institutions as may be necessary or appropriate to conduct its business as now conducted and at a cost that would not result in a Material Adverse Change. The Company has not been denied any insurance coverage which it has sought or for which it has applied. </w:t>
      </w:r>
    </w:p>
    <w:p>
      <w:pPr>
        <w:pStyle w:val="TextBody"/>
        <w:bidi w:val="0"/>
        <w:spacing w:before="120" w:after="0"/>
        <w:jc w:val="left"/>
        <w:rPr>
          <w:rFonts w:ascii="Times New Roman" w:hAnsi="Times New Roman"/>
          <w:sz w:val="20"/>
        </w:rPr>
      </w:pPr>
      <w:r>
        <w:rPr>
          <w:rFonts w:ascii="Times New Roman" w:hAnsi="Times New Roman"/>
          <w:sz w:val="20"/>
        </w:rPr>
        <w:t xml:space="preserve">(xxxii) </w:t>
      </w:r>
      <w:r>
        <w:rPr>
          <w:rFonts w:ascii="Times New Roman" w:hAnsi="Times New Roman"/>
          <w:sz w:val="20"/>
          <w:u w:val="single"/>
        </w:rPr>
        <w:t>Investment Company Act</w:t>
      </w:r>
      <w:r>
        <w:rPr>
          <w:rFonts w:ascii="Times New Roman" w:hAnsi="Times New Roman"/>
          <w:sz w:val="20"/>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w:t>
      </w:r>
      <w:r>
        <w:rPr>
          <w:rFonts w:ascii="Times New Roman" w:hAnsi="Times New Roman"/>
          <w:sz w:val="20"/>
          <w:u w:val="single"/>
        </w:rPr>
        <w:t>1940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(xxxiii) </w:t>
      </w:r>
      <w:r>
        <w:rPr>
          <w:rFonts w:ascii="Times New Roman" w:hAnsi="Times New Roman"/>
          <w:sz w:val="20"/>
          <w:u w:val="single"/>
        </w:rPr>
        <w:t>Absence of Manipulation</w:t>
      </w:r>
      <w:r>
        <w:rPr>
          <w:rFonts w:ascii="Times New Roman" w:hAnsi="Times New Roman"/>
          <w:sz w:val="20"/>
        </w:rPr>
        <w:t xml:space="preserve">. Neither the Company nor, to the Companys knowledge, any affiliate of the Company has taken, nor will the Company or at the direction of the Company any affiliate take, directly or indirectly, any action which is designed, or would be reasonably expected, to cause or result in, or which constitutes, the stabilization or manipulation of the price of any security of the Company to facilitate the sale or resale of the Securities or to result in a violation of Regulation M under the 1934 Act. </w:t>
      </w:r>
    </w:p>
    <w:p>
      <w:pPr>
        <w:pStyle w:val="TextBody"/>
        <w:bidi w:val="0"/>
        <w:spacing w:before="120" w:after="0"/>
        <w:jc w:val="left"/>
        <w:rPr>
          <w:rFonts w:ascii="Times New Roman" w:hAnsi="Times New Roman"/>
          <w:sz w:val="20"/>
        </w:rPr>
      </w:pPr>
      <w:r>
        <w:rPr>
          <w:rFonts w:ascii="Times New Roman" w:hAnsi="Times New Roman"/>
          <w:sz w:val="20"/>
        </w:rPr>
        <w:t xml:space="preserve">(xxxiv) </w:t>
      </w:r>
      <w:r>
        <w:rPr>
          <w:rFonts w:ascii="Times New Roman" w:hAnsi="Times New Roman"/>
          <w:sz w:val="20"/>
          <w:u w:val="single"/>
        </w:rPr>
        <w:t>Foreign Corrupt Practices Act</w:t>
      </w:r>
      <w:r>
        <w:rPr>
          <w:rFonts w:ascii="Times New Roman" w:hAnsi="Times New Roman"/>
          <w:sz w:val="20"/>
        </w:rPr>
        <w:t>. None of the Company or to the knowledge of the Company, any director, officer, agent, employee, affiliate or other person acting on behalf of the Company is aware of or has taken any action, directly or indirectly, that would result in a violation by such persons of the Foreign Corrupt Practices Act of 1977, as amended, and the rules and regulations thereunder (the </w:t>
      </w:r>
      <w:r>
        <w:rPr>
          <w:rFonts w:ascii="Times New Roman" w:hAnsi="Times New Roman"/>
          <w:sz w:val="20"/>
          <w:u w:val="single"/>
        </w:rPr>
        <w:t>FCPA</w:t>
      </w:r>
      <w:r>
        <w:rPr>
          <w:rFonts w:ascii="Times New Roman" w:hAnsi="Times New Roman"/>
          <w:sz w:val="20"/>
        </w:rPr>
        <w:t xml:space="preserve">),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 </w:t>
      </w:r>
    </w:p>
    <w:p>
      <w:pPr>
        <w:pStyle w:val="TextBody"/>
        <w:bidi w:val="0"/>
        <w:spacing w:before="120" w:after="0"/>
        <w:jc w:val="left"/>
        <w:rPr>
          <w:rFonts w:ascii="Times New Roman" w:hAnsi="Times New Roman"/>
          <w:sz w:val="20"/>
        </w:rPr>
      </w:pPr>
      <w:r>
        <w:rPr>
          <w:rFonts w:ascii="Times New Roman" w:hAnsi="Times New Roman"/>
          <w:sz w:val="20"/>
        </w:rPr>
        <w:t xml:space="preserve">(xxxv) </w:t>
      </w:r>
      <w:r>
        <w:rPr>
          <w:rFonts w:ascii="Times New Roman" w:hAnsi="Times New Roman"/>
          <w:sz w:val="20"/>
          <w:u w:val="single"/>
        </w:rPr>
        <w:t>Money Laundering Laws</w:t>
      </w:r>
      <w:r>
        <w:rPr>
          <w:rFonts w:ascii="Times New Roman" w:hAnsi="Times New Roman"/>
          <w:sz w:val="20"/>
        </w:rPr>
        <w:t>. The operations of the Company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Times New Roman" w:hAnsi="Times New Roman"/>
          <w:sz w:val="20"/>
          <w:u w:val="single"/>
        </w:rPr>
        <w:t>Money Laundering Laws</w:t>
      </w:r>
      <w:r>
        <w:rPr>
          <w:rFonts w:ascii="Times New Roman" w:hAnsi="Times New Roman"/>
          <w:sz w:val="20"/>
        </w:rPr>
        <w:t xml:space="preserve">); and no action, suit or proceeding by or before any Governmental Entity involving the Company with respect to the Money Laundering Laws is pending or, to the knowledge of the Company, threatened.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(xxxvi) </w:t>
      </w:r>
      <w:r>
        <w:rPr>
          <w:rFonts w:ascii="Times New Roman" w:hAnsi="Times New Roman"/>
          <w:sz w:val="20"/>
          <w:u w:val="single"/>
        </w:rPr>
        <w:t>OFAC</w:t>
      </w:r>
      <w:r>
        <w:rPr>
          <w:rFonts w:ascii="Times New Roman" w:hAnsi="Times New Roman"/>
          <w:sz w:val="20"/>
        </w:rPr>
        <w:t>. None of the Company or to the knowledge of the Company, any director, officer, agent, employee, affiliate or representative of the Company is an individual or entity (</w:t>
      </w:r>
      <w:r>
        <w:rPr>
          <w:rFonts w:ascii="Times New Roman" w:hAnsi="Times New Roman"/>
          <w:sz w:val="20"/>
          <w:u w:val="single"/>
        </w:rPr>
        <w:t>Person</w:t>
      </w:r>
      <w:r>
        <w:rPr>
          <w:rFonts w:ascii="Times New Roman" w:hAnsi="Times New Roman"/>
          <w:sz w:val="20"/>
        </w:rPr>
        <w:t>) currently the subject or target of any sanctions administered or enforced by the United States Government, including, without limitation, the U.S. Department of the Treasurys Office of Foreign Assets Control, the United Nations Security Council, the European Union, His Majestys Treasury, or other relevant sanctions authority (collectively, </w:t>
      </w:r>
      <w:r>
        <w:rPr>
          <w:rFonts w:ascii="Times New Roman" w:hAnsi="Times New Roman"/>
          <w:sz w:val="20"/>
          <w:u w:val="single"/>
        </w:rPr>
        <w:t>Sanctions</w:t>
      </w:r>
      <w:r>
        <w:rPr>
          <w:rFonts w:ascii="Times New Roman" w:hAnsi="Times New Roman"/>
          <w:sz w:val="20"/>
        </w:rPr>
        <w:t xml:space="preserve">), nor is the Company located, organized or resident in a country or territory that is the subject of Sanctions; and the Company will not directly or indirectly use the proceeds of the sale of the Securities, or lend, contribute or otherwise make available such proceeds to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 </w:t>
      </w:r>
    </w:p>
    <w:p>
      <w:pPr>
        <w:pStyle w:val="TextBody"/>
        <w:bidi w:val="0"/>
        <w:spacing w:before="120" w:after="0"/>
        <w:jc w:val="left"/>
        <w:rPr>
          <w:rFonts w:ascii="Times New Roman" w:hAnsi="Times New Roman"/>
          <w:sz w:val="20"/>
        </w:rPr>
      </w:pPr>
      <w:r>
        <w:rPr>
          <w:rFonts w:ascii="Times New Roman" w:hAnsi="Times New Roman"/>
          <w:sz w:val="20"/>
        </w:rPr>
        <w:t xml:space="preserve">(xxxvii) </w:t>
      </w:r>
      <w:r>
        <w:rPr>
          <w:rFonts w:ascii="Times New Roman" w:hAnsi="Times New Roman"/>
          <w:sz w:val="20"/>
          <w:u w:val="single"/>
        </w:rPr>
        <w:t>Lending Relationship</w:t>
      </w:r>
      <w:r>
        <w:rPr>
          <w:rFonts w:ascii="Times New Roman" w:hAnsi="Times New Roman"/>
          <w:i/>
          <w:sz w:val="20"/>
        </w:rPr>
        <w:t xml:space="preserve">. </w:t>
      </w:r>
      <w:r>
        <w:rPr>
          <w:rFonts w:ascii="Times New Roman" w:hAnsi="Times New Roman"/>
          <w:sz w:val="20"/>
        </w:rPr>
        <w:t xml:space="preserve">Except as disclosed in the Registration Statement, the General Disclosure Package and the Prospectus, the Company (i) does not have any material lending or other relationship with any banking or lending affiliate of any Underwriter and (ii) does not intend to use any of the proceeds from the sale of the Securities to repay any outstanding debt owed to any affiliate of any Underwriter. </w:t>
      </w:r>
    </w:p>
    <w:p>
      <w:pPr>
        <w:pStyle w:val="TextBody"/>
        <w:bidi w:val="0"/>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sz w:val="20"/>
          <w:u w:val="single"/>
        </w:rPr>
        <w:t>Statistical and Market-Related Data</w:t>
      </w:r>
      <w:r>
        <w:rPr>
          <w:rFonts w:ascii="Times New Roman" w:hAnsi="Times New Roman"/>
          <w:sz w:val="20"/>
        </w:rPr>
        <w:t xml:space="preserve">.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has obtained the written consent to the use of such data from such sources. </w:t>
      </w:r>
    </w:p>
    <w:p>
      <w:pPr>
        <w:pStyle w:val="TextBody"/>
        <w:bidi w:val="0"/>
        <w:spacing w:before="120" w:after="0"/>
        <w:jc w:val="left"/>
        <w:rPr>
          <w:rFonts w:ascii="Times New Roman" w:hAnsi="Times New Roman"/>
          <w:sz w:val="20"/>
        </w:rPr>
      </w:pPr>
      <w:r>
        <w:rPr>
          <w:rFonts w:ascii="Times New Roman" w:hAnsi="Times New Roman"/>
          <w:sz w:val="20"/>
        </w:rPr>
        <w:t xml:space="preserve">(xxxix) </w:t>
      </w:r>
      <w:r>
        <w:rPr>
          <w:rFonts w:ascii="Times New Roman" w:hAnsi="Times New Roman"/>
          <w:sz w:val="20"/>
          <w:u w:val="single"/>
        </w:rPr>
        <w:t>Rating of Debt Securities</w:t>
      </w:r>
      <w:r>
        <w:rPr>
          <w:rFonts w:ascii="Times New Roman" w:hAnsi="Times New Roman"/>
          <w:sz w:val="20"/>
        </w:rPr>
        <w:t xml:space="preserve">. The Company has no debt securities or preferred stock that is rated by any nationally recognized statistical rating organization (as that term is defined by the Commission for purposes of Rule 436(g)(2) under the 1933 Act). </w:t>
      </w:r>
    </w:p>
    <w:p>
      <w:pPr>
        <w:pStyle w:val="TextBody"/>
        <w:bidi w:val="0"/>
        <w:spacing w:before="120" w:after="0"/>
        <w:jc w:val="left"/>
        <w:rPr>
          <w:rFonts w:ascii="Times New Roman" w:hAnsi="Times New Roman"/>
          <w:sz w:val="20"/>
        </w:rPr>
      </w:pPr>
      <w:r>
        <w:rPr>
          <w:rFonts w:ascii="Times New Roman" w:hAnsi="Times New Roman"/>
          <w:sz w:val="20"/>
        </w:rPr>
        <w:t xml:space="preserve">(xl) </w:t>
      </w:r>
      <w:r>
        <w:rPr>
          <w:rFonts w:ascii="Times New Roman" w:hAnsi="Times New Roman"/>
          <w:sz w:val="20"/>
          <w:u w:val="single"/>
        </w:rPr>
        <w:t>Listing</w:t>
      </w:r>
      <w:r>
        <w:rPr>
          <w:rFonts w:ascii="Times New Roman" w:hAnsi="Times New Roman"/>
          <w:sz w:val="20"/>
        </w:rPr>
        <w:t xml:space="preserve">. The Company is subject to and in compliance in all material respects with the reporting requirements of Section 13 or Section 15(d) of the 1934 Act. The Common Stock is registered pursuant to Section 12(b) or Section 12(g) of the 1934 Act and is listed on the Nasdaq Global Market, and the Company has taken no action designed to, or reasonably likely to have the effect of, terminating the registration of the Common Stock under the 1934 Act or delisting the Common Stock from the Nasdaq Global Market, nor has the Company received any notification that the Commission or the Nasdaq Global Market is contemplating terminating such registration or listing. All of the Securities have been approved for listing on the Nasdaq Global Market, subject to official notice of issuance; the Company has taken all necessary actions to ensure that, upon and at all times after the Nasdaq Global Market shall have approved the Securities for listing, it will be in compliance with all applicable corporate governance requirements set forth in the Nasdaq Global Markets listing rules that are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(xli) </w:t>
      </w:r>
      <w:r>
        <w:rPr>
          <w:rFonts w:ascii="Times New Roman" w:hAnsi="Times New Roman"/>
          <w:sz w:val="20"/>
          <w:u w:val="single"/>
        </w:rPr>
        <w:t>No Broker Fees</w:t>
      </w:r>
      <w:r>
        <w:rPr>
          <w:rFonts w:ascii="Times New Roman" w:hAnsi="Times New Roman"/>
          <w:sz w:val="20"/>
        </w:rPr>
        <w:t xml:space="preserve">. Except as disclosed in the General Disclosure Package, there are no contracts, agreements or understandings between the Company and any person that would give rise to a valid claim against the Company or any Underwriter for a brokerage commission, finders fee or other like payment in connection with the offering of the Shares contemplated hereby.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(xlii) </w:t>
      </w:r>
      <w:r>
        <w:rPr>
          <w:rFonts w:ascii="Times New Roman" w:hAnsi="Times New Roman"/>
          <w:sz w:val="20"/>
          <w:u w:val="single"/>
        </w:rPr>
        <w:t>Sarbanes-Oxley Act</w:t>
      </w:r>
      <w:r>
        <w:rPr>
          <w:rFonts w:ascii="Times New Roman" w:hAnsi="Times New Roman"/>
          <w:sz w:val="20"/>
        </w:rPr>
        <w:t>. There is and has been no failure on the part of the Company or, to the knowledge of the Company, any of the Companys directors or officers, in their capacities as such, to comply with any provision of the Sarbanes-Oxley Act of 2002 and the rules and regulations promulgated in connection therewith (the </w:t>
      </w:r>
      <w:r>
        <w:rPr>
          <w:rFonts w:ascii="Times New Roman" w:hAnsi="Times New Roman"/>
          <w:sz w:val="20"/>
          <w:u w:val="single"/>
        </w:rPr>
        <w:t>Sarbanes-Oxley Act</w:t>
      </w:r>
      <w:r>
        <w:rPr>
          <w:rFonts w:ascii="Times New Roman" w:hAnsi="Times New Roman"/>
          <w:sz w:val="20"/>
        </w:rPr>
        <w:t xml:space="preserve">) applicable to the Company or such directors or officers as of the date hereof, including Section 402 of the Sarbanes-Oxley Act related to loans. The Company has taken all necessary actions to ensure that, upon the effectiveness of the Registration Statement, it will be in compliance with all provisions of the Sarbanes-Oxley Act which the Company is required to comply with as of the effectiveness of the Registration Statement, and is actively taking steps to ensure that it will be in compliance with other provisions of the Sarbanes-Oxley Act that will become applicable to the Company at all times after the effectiveness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(xliii) </w:t>
      </w:r>
      <w:r>
        <w:rPr>
          <w:rFonts w:ascii="Times New Roman" w:hAnsi="Times New Roman"/>
          <w:sz w:val="20"/>
          <w:u w:val="single"/>
        </w:rPr>
        <w:t>Cybersecurity and Information Technology</w:t>
      </w:r>
      <w:r>
        <w:rPr>
          <w:rFonts w:ascii="Times New Roman" w:hAnsi="Times New Roman"/>
          <w:sz w:val="20"/>
        </w:rPr>
        <w:t xml:space="preserve">. The Companys information technology assets and equipment, computers, technology systems, networks, hardware, software, websites, applications, and databases (collectively, IT Systems) are commercially reasonably adequate for, and operate and perform in all material respects, as required in connection with the operation of the business of the Company as currently conducted, and, to the knowledge of the Company, free and clear of all material bugs, errors, defects, Trojan horses, time bombs, malware and other corruptants. The Company has implemented and maintained commercially reasonable controls, policies, procedures, and safeguards to maintain and protect its confidential information and the integrity, continuous operation, redundancy and security of all material IT Systems and data (including all personal data and sensitive, confidential or regulated data (collectively, the Confidential Data)) used in connection with the operation of the Company, and has established commercially reasonable disaster recovery plans, procedures and facilities for the business. To the knowledge of the Company, there have been no material breaches, violations, outages or unauthorized uses of or access to the Confidential Data, except for those that have been remedied without material cost or liability. The Company is presently in compliance with all applicable laws or statutes and all judgments, orders, rules and regulations of any court or arbitrator or governmental or regulatory authority, internal policies and contractual obligations relating to the privacy and security of IT Systems and Confidential Data and to the protection of such IT Systems and Confidential Data from unauthorized use, access, misappropriation or modification, except as would not, individually or in the aggregate have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(xliv) </w:t>
      </w:r>
      <w:r>
        <w:rPr>
          <w:rFonts w:ascii="Times New Roman" w:hAnsi="Times New Roman"/>
          <w:sz w:val="20"/>
          <w:u w:val="single"/>
        </w:rPr>
        <w:t>FinCEN</w:t>
      </w:r>
      <w:r>
        <w:rPr>
          <w:rFonts w:ascii="Times New Roman" w:hAnsi="Times New Roman"/>
          <w:sz w:val="20"/>
        </w:rPr>
        <w:t xml:space="preserve">. To the Companys knowledge, all of the beneficial ownership information provided to the Underwriters or to counsel for the Underwriters by the Company or its counsel in certification of the beneficial ownership of holders of 25% or more of the Companys securities in connection with the offering of the Securities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Officers Certificates</w:t>
      </w:r>
      <w:r>
        <w:rPr>
          <w:rFonts w:ascii="Times New Roman" w:hAnsi="Times New Roman"/>
          <w:sz w:val="20"/>
        </w:rPr>
        <w:t xml:space="preserve">. Any certificate signed by any officer of the Company delivered to the Representative or to counsel for the Underwriters shall be deemed a representation and warranty by the Company to each Underwriter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Sale and Delivery to Underwriters; Closing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Initial Securities</w:t>
      </w:r>
      <w:r>
        <w:rPr>
          <w:rFonts w:ascii="Times New Roman" w:hAnsi="Times New Roman"/>
          <w:sz w:val="20"/>
        </w:rPr>
        <w:t xml:space="preserve">. 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per share set forth in </w:t>
      </w:r>
      <w:r>
        <w:rPr>
          <w:rFonts w:ascii="Times New Roman" w:hAnsi="Times New Roman"/>
          <w:sz w:val="20"/>
          <w:u w:val="single"/>
        </w:rPr>
        <w:t>Schedule A</w:t>
      </w:r>
      <w:r>
        <w:rPr>
          <w:rFonts w:ascii="Times New Roman" w:hAnsi="Times New Roman"/>
          <w:sz w:val="20"/>
        </w:rPr>
        <w:t xml:space="preserve">, that number of Initial Securities set forth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Schedule A</w:t>
      </w:r>
      <w:r>
        <w:rPr>
          <w:rFonts w:ascii="Times New Roman" w:hAnsi="Times New Roman"/>
          <w:sz w:val="20"/>
        </w:rPr>
        <w:t xml:space="preserve"> opposite the name of such Underwriter, plus any additional number of Initial Securities which such Underwriter may become obligated to purchase pursuant to the provisions of Section 10 hereof, subject, in each case, to such adjustments among the Underwriters as the Representative in its sole discretion shall make to eliminate any sales or purchases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Option Securities</w:t>
      </w:r>
      <w:r>
        <w:rPr>
          <w:rFonts w:ascii="Times New Roman" w:hAnsi="Times New Roman"/>
          <w:sz w:val="20"/>
        </w:rPr>
        <w:t xml:space="preserve">. In addition, on the basis of the representations and warranties herein contained and subject to the terms and conditions herein set forth, the Company hereby grants an option to the Underwriters, severally and not jointly, to purchase up to an additional 502,500 shares of Common Stock, at the price per share set forth in </w:t>
      </w:r>
      <w:r>
        <w:rPr>
          <w:rFonts w:ascii="Times New Roman" w:hAnsi="Times New Roman"/>
          <w:sz w:val="20"/>
          <w:u w:val="single"/>
        </w:rPr>
        <w:t>Schedule A</w:t>
      </w:r>
      <w:r>
        <w:rPr>
          <w:rFonts w:ascii="Times New Roman" w:hAnsi="Times New Roman"/>
          <w:sz w:val="20"/>
        </w:rPr>
        <w:t>,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 to the Company setting forth the number of Option Securities as to which the several Underwriters are then exercising the option and the time and date of payment and delivery for such Option Securities. Any such time and date of delivery (a </w:t>
      </w:r>
      <w:r>
        <w:rPr>
          <w:rFonts w:ascii="Times New Roman" w:hAnsi="Times New Roman"/>
          <w:sz w:val="20"/>
          <w:u w:val="single"/>
        </w:rPr>
        <w:t>Date of Delivery</w:t>
      </w:r>
      <w:r>
        <w:rPr>
          <w:rFonts w:ascii="Times New Roman" w:hAnsi="Times New Roman"/>
          <w:sz w:val="20"/>
        </w:rPr>
        <w:t xml:space="preserve">) shall be determined by the Representative, but any Date of Delivery occurring after the Closing Time shall not be later than seven full business days nor earlier than one full business day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w:t>
      </w:r>
      <w:r>
        <w:rPr>
          <w:rFonts w:ascii="Times New Roman" w:hAnsi="Times New Roman"/>
          <w:sz w:val="20"/>
          <w:u w:val="single"/>
        </w:rPr>
        <w:t>Schedule A</w:t>
      </w:r>
      <w:r>
        <w:rPr>
          <w:rFonts w:ascii="Times New Roman" w:hAnsi="Times New Roman"/>
          <w:sz w:val="20"/>
        </w:rPr>
        <w:t xml:space="preserve"> opposite the name of such Underwriter bears to the total number of Initial Securities, subject, in each case, to such adjustments as the Representative in its sole discretion shall make to eliminate any sales or purchases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w:t>
      </w:r>
      <w:r>
        <w:rPr>
          <w:rFonts w:ascii="Times New Roman" w:hAnsi="Times New Roman"/>
          <w:sz w:val="20"/>
        </w:rPr>
        <w:t>. Payment of the purchase price for, and delivery of, the Initial Securities shall be made at the offices of Goodwin Procter LLP, The New York Times Building, 620 Eighth Avenue, New York, New York 10018, or at such other place as shall be agreed upon by the Representative and the Company, at 9:00 a.m. (New York City time) on the first (second,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 and the Company (such time and date of payment and delivery being herein called </w:t>
      </w:r>
      <w:r>
        <w:rPr>
          <w:rFonts w:ascii="Times New Roman" w:hAnsi="Times New Roman"/>
          <w:sz w:val="20"/>
          <w:u w:val="single"/>
        </w:rPr>
        <w:t>Closing Time</w:t>
      </w:r>
      <w:r>
        <w:rPr>
          <w:rFonts w:ascii="Times New Roman" w:hAnsi="Times New Roman"/>
          <w:sz w:val="20"/>
        </w:rPr>
        <w:t xml:space="preserve">). Delivery of the Initial Securities at the Closing Time shall be made through the facilities of The Depository Trust Company unless the Representative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that any or all of the Option Securities are purchased by the Underwriters, payment of the purchase price for, and delivery of, such Option Securities shall be made at the abovementioned offices, or at such other place as shall be agreed upon by the Representative and the Company, on each Date of Delivery as specified in the notice from the Representative to the Company. Delivery of the Option Securities on each such Date of Delivery shall be made through the facilities of The Depository Trust Company unless the Representative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Payment shall be made to the Company by wire transfer of immediately available funds to a bank account designated by the Company against delivery to the Representative for the respective accounts of the Underwriters of the Securities to be purchased by them (which delivery shall be made through the facilities of The Depository Trust Company unless the Representative shall otherwise instruct). It is understood that each Underwriter has authorized the Representative, for its account, to accept delivery of, receipt for, and make payment of the purchase price for, the Initial Securities and the Option Securities, if any, which it has agreed to purchase. Canaccord,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Filings; Amendments or Supplements; Notice to the Representative</w:t>
      </w:r>
      <w:r>
        <w:rPr>
          <w:rFonts w:ascii="Times New Roman" w:hAnsi="Times New Roman"/>
          <w:sz w:val="20"/>
        </w:rPr>
        <w:t xml:space="preserve">. To prepare the Rule 462(b) Registration Statement, if necessary, in a form approved by the Representative and file such Rule 462(b) Registration Statement with the Commission by 10:00 p.m., New York time, on the date hereof, and the Company shall at the time of filing either pay to the Commission the filing fee for the Rule 462(b) Registration Statement or give irrevocable instructions for the payment of such fee pursuant to Rule 111(b) under the Rules and Regulations; to prepare the Prospectus in a form approved by the Representative containing information previously omitted at the time of effectiveness of the Registration Statement in reliance on Rules 430A, 430B or 430C of the Rules and Regulations and to file such Prospectus pursuant to Rule 424(b) of the Rules and Regulations not later than the second business (2nd) day following the execution and delivery of this Agreement or, if applicable, such earlier time as may be required by the 1933 Act; to notify the Representative promptly of the Companys intention to file or prepare any supplement or amendment to the Registration Statement or to the Prospectus and to make no amendment or supplement to the Registration Statement, the General Disclosure Package or to the Prospectus to which the Representative shall reasonably object by notice to the Company after a reasonable period to review; to advise the Representative, promptly after it receives notice thereof, of the time when any amendment to the Registration Statement has been filed or becomes effective or any supplement to the General Disclosure Package or the Prospectus or any amended Prospectus or any Issuer Free Writing Prospectus or any Written Testing-the-Waters Communication has been filed and to furnish the Underwriters with copies thereof; to file promptly all material required to be filed by the Company with the Commission pursuant to Rules 433(d) or 163(b)(2) of the Rules and Regulations, as the case may be; to advise the Representative, promptly after it receives notice thereof, of the issuance by the Commission of any stop order or of any order preventing or suspending the use of any Preliminary Prospectus, any Issuer Free Writing Prospectus, the Prospectus or any Written Testing-the-Waters Communication, of the suspension of the qualification of the Stock for offering or sale in any jurisdiction, of the initiation or threatening of any proceeding for any such purpose, or of any request by the Commission for the amending or supplementing of the Registration Statement, the General Disclosure Package or the Prospectus or for additional information including, but not limited to, any request for information concerning any Testing-the-Waters Communication; and, in the event of the issuance of any stop order or of any order preventing or suspending the use of any Preliminary Prospectus, any Issuer Free Writing Prospectus or the Prospectus or suspending any such qualification, and promptly to use its best efforts to obtain the withdrawal of such order.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Registration Statements</w:t>
      </w:r>
      <w:r>
        <w:rPr>
          <w:rFonts w:ascii="Times New Roman" w:hAnsi="Times New Roman"/>
          <w:sz w:val="20"/>
        </w:rPr>
        <w:t xml:space="preserve">. Upon request, the Company will furnish or will deliver to the Representative and counsel for the Underwriters, without charge, signed copies of the Registration Statement as originally filed and each amendment thereto (including exhibits filed therewith) and signed copies of all consents and certificates of experts, and will also deliver to the Representative,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Delivery of Prospectuses</w:t>
      </w:r>
      <w:r>
        <w:rPr>
          <w:rFonts w:ascii="Times New Roman" w:hAnsi="Times New Roman"/>
          <w:sz w:val="20"/>
        </w:rPr>
        <w:t xml:space="preserve">.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copies of the Prospectus and any amendments or supplements thereto furnished to the Underwriters will be identical to the electronically transmitted copies thereof filed with the Commission pursuant to EDGAR, except to the extent permitted by Regulation 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Blue Sky Qualifications</w:t>
      </w:r>
      <w:r>
        <w:rPr>
          <w:rFonts w:ascii="Times New Roman" w:hAnsi="Times New Roman"/>
          <w:sz w:val="20"/>
        </w:rPr>
        <w:t xml:space="preserve">. The Company will use its best efforts, in cooperation with the Underwriters, to qualify the Securities for offering and sale under the applicable securities laws of such states and other jurisdictions (domestic or foreign) as the Representative may reasonably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Rule 158</w:t>
      </w:r>
      <w:r>
        <w:rPr>
          <w:rFonts w:ascii="Times New Roman" w:hAnsi="Times New Roman"/>
          <w:sz w:val="20"/>
        </w:rPr>
        <w:t xml:space="preserve">. The Company will timely file such reports pursuant to the 1934 Act as are necessary in order to make generally available to its securityholders as soon as practicable an earnings statement for the purposes of, and to provide to the Underwriters the benefits contemplated by, the last paragraph of Section 11(a) of the 1933 Act.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Use of Proceeds</w:t>
      </w:r>
      <w:r>
        <w:rPr>
          <w:rFonts w:ascii="Times New Roman" w:hAnsi="Times New Roman"/>
          <w:sz w:val="20"/>
        </w:rPr>
        <w:t xml:space="preserve">. The Company will use the net proceeds received by it from the sale of the Securities in all material respects in the manner specified in the Registration Statement, the General Disclosure Package and the Prospectus under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Listing</w:t>
      </w:r>
      <w:r>
        <w:rPr>
          <w:rFonts w:ascii="Times New Roman" w:hAnsi="Times New Roman"/>
          <w:sz w:val="20"/>
        </w:rPr>
        <w:t xml:space="preserve">. The Company will use its reasonable best efforts to effect and maintain the listing of the Common Stock (including the Securities) on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Restriction on Sale of Securities</w:t>
      </w:r>
      <w:r>
        <w:rPr>
          <w:rFonts w:ascii="Times New Roman" w:hAnsi="Times New Roman"/>
          <w:sz w:val="20"/>
        </w:rPr>
        <w:t xml:space="preserve">. During a period of 90 days from the date of the Prospectus, the Company will not, without the prior written consent of the Representative,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any registration statement under the 1933 Act with respect to any of the foregoing,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or (iii) publicly announce an intention to effect any such swap, agreement or other transaction described in clause (i) or (ii). The foregoing sentence shall not apply to (A) the Securities to be sold hereunder, (B) any shares of Common Stock issued by the Company upon the exercise of an option or warrant or the conversion of a security outstanding on the date hereof and referred to in the Registration Statement, the General Disclosure Package and the Prospectus, (C) any shares of Common Stock issued or options to purchase Common Stock granted pursuant to employee benefit or stock incentive plans of the Company referred to in the Registration Statement, the General Disclosure Package and the Prospectus or pursuant to any inducement equity award or plan as approved by the Board of Directors of the Company or a committee thereof; (D) any shares of Common Stock issued pursuant to any non-employee director stock plan or dividend reinvestment plan referred to in the Registration Statement, the General Disclosure Package and the Prospectus; (E) the filing by the Company of any registration statement on Form S-8 or a successor form thereto; (F) the filing by the Company of any registration statement in accordance with its obligations under that certain Warrant Certificate, dated April 25, 2025, issued by the Company to Perceptive Credit Holdings IV, LP., or (G) the issuance by the Company of any shares of Common Stock in connection with a licensing agreement, joint venture, acquisition or business combination or other collaboration or strategic transaction (including the filing of a registration statement on Form S-4 or other appropriate form with respect thereto), </w:t>
      </w:r>
      <w:r>
        <w:rPr>
          <w:rFonts w:ascii="Times New Roman" w:hAnsi="Times New Roman"/>
          <w:i/>
          <w:sz w:val="20"/>
        </w:rPr>
        <w:t>provided that</w:t>
      </w:r>
      <w:r>
        <w:rPr>
          <w:rFonts w:ascii="Times New Roman" w:hAnsi="Times New Roman"/>
          <w:sz w:val="20"/>
        </w:rPr>
        <w:t xml:space="preserve"> in the case of this clause (G), recipients of such shares of Common Stock agree to be bound by the terms of the lock-up letter described in Section 5(h) hereof and the sum of the aggregate number of shares of Common Stock so issued shall not exceed 5% of the total outstanding shares of Common Stock outstanding immediately following the consummation of the offering of the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Reporting Requirements</w:t>
      </w:r>
      <w:r>
        <w:rPr>
          <w:rFonts w:ascii="Times New Roman" w:hAnsi="Times New Roman"/>
          <w:sz w:val="20"/>
        </w:rPr>
        <w:t xml:space="preserve">. The Company, during the period when a Prospectus relating to the Securities is (or, but for the exception 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Issuer Free Writing Prospectuses</w:t>
      </w:r>
      <w:r>
        <w:rPr>
          <w:rFonts w:ascii="Times New Roman" w:hAnsi="Times New Roman"/>
          <w:sz w:val="20"/>
        </w:rPr>
        <w:t xml:space="preserve">. The Company agrees that, unless it obtains the prior written consent of the Representative,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 will be deemed to have consented to the Issuer Free Writing Prospectuses listed on </w:t>
      </w:r>
      <w:r>
        <w:rPr>
          <w:rFonts w:ascii="Times New Roman" w:hAnsi="Times New Roman"/>
          <w:sz w:val="20"/>
          <w:u w:val="single"/>
        </w:rPr>
        <w:t>Schedule B-2</w:t>
      </w:r>
      <w:r>
        <w:rPr>
          <w:rFonts w:ascii="Times New Roman" w:hAnsi="Times New Roman"/>
          <w:sz w:val="20"/>
        </w:rPr>
        <w:t xml:space="preserve"> hereto and any road show for an offering that is a written communication within the meaning of Rule 433(d)(8)(i) that has been reviewed by the Representative. The Company represents that it has treated or agrees that it will treat each such free writing prospectus consented to, or deemed consented to, by the Representative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Issuer Free Writing Prospectus to eliminate or correct such conflict, untrue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Testing-the-Waters Materials</w:t>
      </w:r>
      <w:r>
        <w:rPr>
          <w:rFonts w:ascii="Times New Roman" w:hAnsi="Times New Roman"/>
          <w:sz w:val="20"/>
        </w:rPr>
        <w:t xml:space="preserve">.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Written Testing-the-Waters Communication to eliminate or correct such untrue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Expenses</w:t>
      </w:r>
      <w:r>
        <w:rPr>
          <w:rFonts w:ascii="Times New Roman" w:hAnsi="Times New Roman"/>
          <w:sz w:val="20"/>
        </w:rPr>
        <w:t xml:space="preserve">. The Company will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laws in accordance with the provisions of Section 3(d) hereof, including filing fees and the reasonable fees and disbursements of counsel for the Underwriters in connection therewith and in connection with the preparation of a Blue Sky Survey and any supplement thereto in an amount not to exceed $10,000, (vi) the fees and expenses of any transfer agent or registrar for the Securities, (vii) the fees and disbursements of counsel to the Underwriters in an amount not to exceed $100,000, (viii) the fees and expenses incurred in connection with the listing of the Securities on the Nasdaq Global Market, and (ix)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of Agreement</w:t>
      </w:r>
      <w:r>
        <w:rPr>
          <w:rFonts w:ascii="Times New Roman" w:hAnsi="Times New Roman"/>
          <w:sz w:val="20"/>
        </w:rPr>
        <w:t xml:space="preserve">. If this Agreement is terminated by the Representative in accordance with the provisions of Section 5, Section 9(a)(i) or (iii) or Section 10 hereof, the Company shall reimburse the Underwriters for all of their reasonably documented out-of-pocket expenses, including the reasonable fees and disbursements of counsel for the Underwriters; provided, however, that is this Agreement is terminated by the Representative pursuant to Section 10, the Company shall have no obligation to reimburse any out-of-pocket expense of the Underwriters that have failed to purchase the Securities that they have agreed to purchase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Underwriters Obligations</w:t>
      </w:r>
      <w:r>
        <w:rPr>
          <w:rFonts w:ascii="Times New Roman" w:hAnsi="Times New Roman"/>
          <w:sz w:val="20"/>
        </w:rPr>
        <w:t xml:space="preserve">. The obligations of the several Underwriters hereunder are subject to the accuracy of the representations and warranties of the Company contained herein or in certificates of any officer of the Company delivered pursuant to the provisions hereof, to the performance by the Company of its covenants and other obligations hereunder, and to the following further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Compliance; No Stop Orders</w:t>
      </w:r>
      <w:r>
        <w:rPr>
          <w:rFonts w:ascii="Times New Roman" w:hAnsi="Times New Roman"/>
          <w:sz w:val="20"/>
        </w:rPr>
        <w:t xml:space="preserve">. The Registration Statement has become effective under the 1933 Act, and no stop order suspending the effectiveness of the Registration Statement or any part thereof, preventing or suspending the use of, any preliminary prospectus, the Prospectus or any Permitted Free Writing Prospectus or any part thereof shall have been issued and no proceedings for that purpose or pursuant to Section 8A under the 1933 Act shall have been initiated or threatened by the Commission, and all requests for additional information on the part of the Commission (to be included in the Registration Statement or the Prospectus or otherwise) shall have been complied with to the reasonable satisfaction of the Representative; the Rule 462(b) Registration Statement, if any, each Issuer Free Writing Prospectus and the Prospectus shall have been filed with, the Commission within the applicable time period prescribed for such filing by, and in compliance with, the Rules and Regulations and in accordance with Section 3(a), and the Rule 462(b) Registration Statement, if any, shall have become effective immediately upon its filing with the Commission; and FINRA shall have raised no unresolved objection to the fairness and reasonableness of the terms of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Opinion of Counsel for Company</w:t>
      </w:r>
      <w:r>
        <w:rPr>
          <w:rFonts w:ascii="Times New Roman" w:hAnsi="Times New Roman"/>
          <w:sz w:val="20"/>
        </w:rPr>
        <w:t xml:space="preserve">. At the Closing Time, the Representative shall have received (i) the opinion and negative assurance letter, each dated the Closing Time, of Mintz, Levin, Cohn, Ferris, Glovsky and Popeo, P.C., counsel for the Company, in form and substance satisfactory to counsel for the Underwriters, together with signed or reproduced copies of such opinions and negative assurance letter for each of the other Underwriters in form and substance satisfactory to counsel for the Representative, and (ii) the opinion of Mintz, Levin, Cohn, Ferris, Glovsky and Popeo, P.C., special counsel for the Company with respect to intellectual property, dated the Closing Time, in form and substance satisfactory to counsel for the Underwriters, together with signed or reproduced copies of such opinion for each of the other Underwriters in form and substance satisfactory to counsel for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Opinion of Counsel for Underwriters</w:t>
      </w:r>
      <w:r>
        <w:rPr>
          <w:rFonts w:ascii="Times New Roman" w:hAnsi="Times New Roman"/>
          <w:sz w:val="20"/>
        </w:rPr>
        <w:t xml:space="preserve">. At the Closing Time, the Representative shall have received the opinion and negative assurance letter, each dated the Closing Time, of Goodwin Procter LLP, counsel for the Underwriters, together with signed or reproduced copies of such opinion and negative assurance letter for each of the other Underwriters with respect to such matters as the Representative may reasonably request, and the Company shall have furnished to such counsel such documents as such counsel may reasonably request for the purpose of enabling such counsel to pass upon such matters.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Officers Certificate</w:t>
      </w:r>
      <w:r>
        <w:rPr>
          <w:rFonts w:ascii="Times New Roman" w:hAnsi="Times New Roman"/>
          <w:sz w:val="20"/>
        </w:rPr>
        <w:t xml:space="preserve">. At the Closing Time, there shall not have been, since the date hereof or since the respective dates as of which information is given in the Registration Statement, the General Disclosure Package or the Prospectus, any Material Adverse Change, whether or not arising in the ordinary course of business, and the Representative shall have received a certificate of the Chief Executive Officer of the Company and of the Chief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Accountants Comfort Letter</w:t>
      </w:r>
      <w:r>
        <w:rPr>
          <w:rFonts w:ascii="Times New Roman" w:hAnsi="Times New Roman"/>
          <w:sz w:val="20"/>
        </w:rPr>
        <w:t xml:space="preserve">. At the time of the execution of this Agreement, the Representative shall have received from BDO USA, P.C. a letter, dated such date, in form and substance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Bring-down Comfort Letter</w:t>
      </w:r>
      <w:r>
        <w:rPr>
          <w:rFonts w:ascii="Times New Roman" w:hAnsi="Times New Roman"/>
          <w:sz w:val="20"/>
        </w:rPr>
        <w:t xml:space="preserve">. At the Closing Time, the Representative shall have received from BDO USA, P.C. a letter, dated as of the Closing Time, to the effect that they reaffirm the statements made in the letter furnished pursuant to subsection (e) of this Section, except that the specified date referred to shall be a date not more than three business days prior to the Closing Time.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 Objection</w:t>
      </w:r>
      <w:r>
        <w:rPr>
          <w:rFonts w:ascii="Times New Roman" w:hAnsi="Times New Roman"/>
          <w:sz w:val="20"/>
        </w:rPr>
        <w:t xml:space="preserve">. FINRA has confirmed that it has not raised any objection with respect to the fairness and reasonableness of the underwriting terms and arrangements relating to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Lock-up Agreements</w:t>
      </w:r>
      <w:r>
        <w:rPr>
          <w:rFonts w:ascii="Times New Roman" w:hAnsi="Times New Roman"/>
          <w:sz w:val="20"/>
        </w:rPr>
        <w:t xml:space="preserve">. At the date of this Agreement, the Representative shall have received an agreement substantially in the form of </w:t>
      </w:r>
      <w:r>
        <w:rPr>
          <w:rFonts w:ascii="Times New Roman" w:hAnsi="Times New Roman"/>
          <w:sz w:val="20"/>
          <w:u w:val="single"/>
        </w:rPr>
        <w:t>Exhibit A</w:t>
      </w:r>
      <w:r>
        <w:rPr>
          <w:rFonts w:ascii="Times New Roman" w:hAnsi="Times New Roman"/>
          <w:sz w:val="20"/>
        </w:rPr>
        <w:t xml:space="preserve"> hereto signed by each officer and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Chief Financial Officers Certificate</w:t>
      </w:r>
      <w:r>
        <w:rPr>
          <w:rFonts w:ascii="Times New Roman" w:hAnsi="Times New Roman"/>
          <w:sz w:val="20"/>
        </w:rPr>
        <w:t xml:space="preserve">. At the date of this Agreement and at the Closing Time, the Representative shall have received a certificate executed by the Chief Financial Officer of the Company, dated as of each such date, certifying certain financial information set forth in the Registration Statement, the General Disclosure Package and the Prospectus, in form and substance reasonably satisfactory to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Secretarys Certificate</w:t>
      </w:r>
      <w:r>
        <w:rPr>
          <w:rFonts w:ascii="Times New Roman" w:hAnsi="Times New Roman"/>
          <w:sz w:val="20"/>
        </w:rPr>
        <w:t xml:space="preserve">. At the Closing Time, the Representative shall have received a certificate executed by the Secretary of the Company, dated the Closing Time, in form and substance reasonably satisfactory to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Conditions to Purchase of Option Securities</w:t>
      </w:r>
      <w:r>
        <w:rPr>
          <w:rFonts w:ascii="Times New Roman" w:hAnsi="Times New Roman"/>
          <w:sz w:val="20"/>
        </w:rPr>
        <w:t xml:space="preserve">. In the event that the Underwriters exercise their option provided in Section 2(b) hereof to purchase all or any portion of the Option Securities, the representations and warranties of the Company contained herein and the statements in any certificates furnished by the Company hereunder shall be true and correct as of each Date of Delivery and, at the relevant Date of Delivery, the Representative shall have received: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Officers Certificate</w:t>
      </w:r>
      <w:r>
        <w:rPr>
          <w:rFonts w:ascii="Times New Roman" w:hAnsi="Times New Roman"/>
          <w:sz w:val="20"/>
        </w:rPr>
        <w:t xml:space="preserve">. A certificate, dated such Date of Delivery, of the Chief Executive Officer of the Company and of the Chief Financial Officer of the Company confirming that the certificate delivered at the Closing Time pursuant to Section 5(d) hereof remains true and correct as of such Date of Delivery.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Opinion of Counsel for Company</w:t>
      </w:r>
      <w:r>
        <w:rPr>
          <w:rFonts w:ascii="Times New Roman" w:hAnsi="Times New Roman"/>
          <w:sz w:val="20"/>
        </w:rPr>
        <w:t xml:space="preserve">. If requested by the Representative, the opinion and negative assurance letter of Mintz, Levin, Cohn, Ferris, Glovsky and Popeo, P.C., counsel for the Company, together with the opinion of Mintz, Levin, Cohn, Ferris, Glovsky and Popeo, P.C., special counsel for the Company with respect to intellectual property, each in substantially in the same form and substance as the letter furnished to the Representative pursuant to Section 5(b) hereof, dated such Date of Delivery, relating to the Option Securities to be purchased on such Date of Delivery and otherwise to the same effect as the opinions and negative assurance letter required by Section 5(b) hereof.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Opinion of Counsel for Underwriters</w:t>
      </w:r>
      <w:r>
        <w:rPr>
          <w:rFonts w:ascii="Times New Roman" w:hAnsi="Times New Roman"/>
          <w:sz w:val="20"/>
        </w:rPr>
        <w:t xml:space="preserve">. If requested by the Representative, the opinion and negative assurance letter of Goodwin Procter LLP, counsel for the Underwriters, dated such Date of Delivery, relating to the Option Securities to be purchased on such Date of Delivery and otherwise to the same effect as the opinion and negative assurance letter required by Section 5(c) hereof.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Bring-down Comfort Letter</w:t>
      </w:r>
      <w:r>
        <w:rPr>
          <w:rFonts w:ascii="Times New Roman" w:hAnsi="Times New Roman"/>
          <w:sz w:val="20"/>
        </w:rPr>
        <w:t xml:space="preserve">. If requested by the Representative, a letter from BDO USA, P.C., in form and substance satisfactory to the Representative and dated such Date of Delivery, substantially in the same form and substance as the letter furnished to the Representative pursuant to Section 5(e) hereof, except that the specified date in the letter furnished pursuant to this paragraph shall be a date not more than three business days prior to such Date of Delivery.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Chief Financial Officers Certificate</w:t>
      </w:r>
      <w:r>
        <w:rPr>
          <w:rFonts w:ascii="Times New Roman" w:hAnsi="Times New Roman"/>
          <w:sz w:val="20"/>
        </w:rPr>
        <w:t xml:space="preserve">. A certificate, dated such Date of Delivery, of the Chief Financial Officer of the Company confirming that the certificate delivered at the Closing Time pursuant to Section 5(i) hereof remains true and correct as of such Date of Delivery.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Secretarys Certificate</w:t>
      </w:r>
      <w:r>
        <w:rPr>
          <w:rFonts w:ascii="Times New Roman" w:hAnsi="Times New Roman"/>
          <w:sz w:val="20"/>
        </w:rPr>
        <w:t xml:space="preserve">. A certificate, dated such Date of Delivery, of the Secretary of the Company confirming that the certificate delivered at the Closing Time pursuant to Section 5(j) hereof remains true and correct as of such Date of Delivery.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Additional Documents</w:t>
      </w:r>
      <w:r>
        <w:rPr>
          <w:rFonts w:ascii="Times New Roman" w:hAnsi="Times New Roman"/>
          <w:sz w:val="20"/>
        </w:rPr>
        <w:t xml:space="preserve">. At the Closing Time and at each Date of Delivery (if any) counsel for the Underwriters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 and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Termination of Agreement</w:t>
      </w:r>
      <w:r>
        <w:rPr>
          <w:rFonts w:ascii="Times New Roman" w:hAnsi="Times New Roman"/>
          <w:sz w:val="20"/>
        </w:rPr>
        <w:t xml:space="preserve">. If any condition specified in this Section shall not have been fulfilled when and as required to be fulfilled, this Agreement, or, in the case of any condition to the purchase of Option Securities on a Date of Delivery which is after the Closing Time, the obligations of the several Underwriters to purchase the relevant Option Securities, may be terminated by the Representative by notice to the Company at any time at or prior to Closing Time or such Date of Delivery, as the case may be, and such termination shall be without liability of any party to any other party except as provided in Section 4 and except that Sections 1, 6, 7, 8, 13, 14, 15 and 16 shall survive any such termination and remain in full force and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Underwriters</w:t>
      </w:r>
      <w:r>
        <w:rPr>
          <w:rFonts w:ascii="Times New Roman" w:hAnsi="Times New Roman"/>
          <w:sz w:val="20"/>
        </w:rPr>
        <w:t>. The Company agrees to indemnify and hold harmless each Underwriter, its affiliates (as such term is defined in Rule 501(b) under the 1933 Act (each, an </w:t>
      </w:r>
      <w:r>
        <w:rPr>
          <w:rFonts w:ascii="Times New Roman" w:hAnsi="Times New Roman"/>
          <w:sz w:val="20"/>
          <w:u w:val="single"/>
        </w:rPr>
        <w:t>Affiliate</w:t>
      </w:r>
      <w:r>
        <w:rPr>
          <w:rFonts w:ascii="Times New Roman" w:hAnsi="Times New Roman"/>
          <w:sz w:val="20"/>
        </w:rPr>
        <w:t xml:space="preserve">)), its selling agents and each person, if any, who controls any Underwriter within the meaning of Section 15 of the 1933 Act or Section 20 of the 1934 Act as follows: </w:t>
      </w:r>
    </w:p>
    <w:p>
      <w:pPr>
        <w:pStyle w:val="TextBody"/>
        <w:bidi w:val="0"/>
        <w:spacing w:before="120" w:after="0"/>
        <w:jc w:val="left"/>
        <w:rPr>
          <w:rFonts w:ascii="Times New Roman" w:hAnsi="Times New Roman"/>
          <w:sz w:val="20"/>
        </w:rPr>
      </w:pPr>
      <w:r>
        <w:rPr>
          <w:rFonts w:ascii="Times New Roman" w:hAnsi="Times New Roman"/>
          <w:sz w:val="20"/>
        </w:rPr>
        <w:t>(i) 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Times New Roman" w:hAnsi="Times New Roman"/>
          <w:sz w:val="20"/>
          <w:u w:val="single"/>
        </w:rPr>
        <w:t>Marketing Materials</w:t>
      </w:r>
      <w:r>
        <w:rPr>
          <w:rFonts w:ascii="Times New Roman" w:hAnsi="Times New Roman"/>
          <w:sz w:val="20"/>
        </w:rPr>
        <w:t xml:space="preserve">), including any roadshow or investor presentations made to investors by the Company (whether in person or electronically), or the omission or alleged omission in any preliminary prospectus, any Issuer Free Writing Prospectus, any Written Testing-the-Waters Communication, the General Disclosure Package, the Prospectus (or any amendment or supplement thereto) or in any Marketing Materials of a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and all expense whatsoever, as incurred (including the fees and disbursements of counsel chosen by the Representative),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Company, Directors and Officers</w:t>
      </w:r>
      <w:r>
        <w:rPr>
          <w:rFonts w:ascii="Times New Roman" w:hAnsi="Times New Roman"/>
          <w:sz w:val="20"/>
        </w:rPr>
        <w:t xml:space="preserve">. Each Underwriter severally, and not jointly,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Actions against Parties; Notification</w:t>
      </w:r>
      <w:r>
        <w:rPr>
          <w:rFonts w:ascii="Times New Roman" w:hAnsi="Times New Roman"/>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 without Consent if Failure to Reimburse</w:t>
      </w:r>
      <w:r>
        <w:rPr>
          <w:rFonts w:ascii="Times New Roman" w:hAnsi="Times New Roman"/>
          <w:sz w:val="20"/>
        </w:rPr>
        <w:t xml:space="preserve">. If at any time an indemnified party shall have requested an indemnifying party to reimburse the indemnified party for fees and expenses of counsel, such indemnifying party agrees that it shall be liable for any settlement of the nature contemplated by Section 6(a)(ii) effected without its written consent if (i) such settlement is entered into more than 90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Contribution</w:t>
      </w:r>
      <w:r>
        <w:rPr>
          <w:rFonts w:ascii="Times New Roman" w:hAnsi="Times New Roman"/>
          <w:sz w:val="20"/>
        </w:rPr>
        <w:t xml:space="preserve">.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7, no Underwriter shall be required to contribute any amount in excess of the underwriting discounts and commissions received by such Underwriter in connection with the Securities underwritten by it and distributed to the public. </w:t>
      </w:r>
    </w:p>
    <w:p>
      <w:pPr>
        <w:pStyle w:val="TextBody"/>
        <w:bidi w:val="0"/>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w:t>
      </w:r>
      <w:r>
        <w:rPr>
          <w:rFonts w:ascii="Times New Roman" w:hAnsi="Times New Roman"/>
          <w:sz w:val="20"/>
          <w:u w:val="single"/>
        </w:rPr>
        <w:t>Schedule A</w:t>
      </w:r>
      <w:r>
        <w:rPr>
          <w:rFonts w:ascii="Times New Roman" w:hAnsi="Times New Roman"/>
          <w:sz w:val="20"/>
        </w:rPr>
        <w:t xml:space="preserve"> hereto and not joint.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Representations, Warranties and Agreements to Survive</w:t>
      </w:r>
      <w:r>
        <w:rPr>
          <w:rFonts w:ascii="Times New Roman" w:hAnsi="Times New Roman"/>
          <w:sz w:val="20"/>
        </w:rPr>
        <w:t xml:space="preserve">. All representations, warranties and agreements contained in this Agreement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Termination of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Termination</w:t>
      </w:r>
      <w:r>
        <w:rPr>
          <w:rFonts w:ascii="Times New Roman" w:hAnsi="Times New Roman"/>
          <w:sz w:val="20"/>
        </w:rPr>
        <w:t xml:space="preserve">. The Representative may terminate this Agreement, by notice to the Company, at any time at or prior to the Closing Time (i) if there has been, in the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NYSE Amex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Liabilities</w:t>
      </w:r>
      <w:r>
        <w:rPr>
          <w:rFonts w:ascii="Times New Roman" w:hAnsi="Times New Roman"/>
          <w:sz w:val="20"/>
        </w:rPr>
        <w:t xml:space="preserve">. If this Agreement is terminated pursuant to this Section, such termination shall be without liability of any party to any other party except as provided in Section 4 hereof, and provided further that Sections 1, 6, 7, 8, 13, 14, 15 and 16 shall survive such termination and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Default by One or More of the Underwriters</w:t>
      </w:r>
      <w:r>
        <w:rPr>
          <w:rFonts w:ascii="Times New Roman" w:hAnsi="Times New Roman"/>
          <w:sz w:val="20"/>
        </w:rPr>
        <w:t>. If one or more of the Underwriters shall fail at the Closing Time or a Date of Delivery to purchase the Securities which it or they are obligated to purchase under this Agreement (the </w:t>
      </w:r>
      <w:r>
        <w:rPr>
          <w:rFonts w:ascii="Times New Roman" w:hAnsi="Times New Roman"/>
          <w:sz w:val="20"/>
          <w:u w:val="single"/>
        </w:rPr>
        <w:t>Defaulted Securities</w:t>
      </w:r>
      <w:r>
        <w:rPr>
          <w:rFonts w:ascii="Times New Roman" w:hAnsi="Times New Roman"/>
          <w:sz w:val="20"/>
        </w:rPr>
        <w:t xml:space="preserve">), the Representative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 shall not have completed such arrangements within such 24-hour period, then: </w:t>
      </w:r>
    </w:p>
    <w:p>
      <w:pPr>
        <w:pStyle w:val="TextBody"/>
        <w:bidi w:val="0"/>
        <w:spacing w:before="120" w:after="0"/>
        <w:jc w:val="left"/>
        <w:rPr>
          <w:rFonts w:ascii="Times New Roman" w:hAnsi="Times New Roman"/>
          <w:sz w:val="20"/>
        </w:rPr>
      </w:pPr>
      <w:r>
        <w:rPr>
          <w:rFonts w:ascii="Times New Roman" w:hAnsi="Times New Roman"/>
          <w:sz w:val="20"/>
        </w:rPr>
        <w:t xml:space="preserve">(i) 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 </w:t>
      </w:r>
    </w:p>
    <w:p>
      <w:pPr>
        <w:pStyle w:val="TextBody"/>
        <w:bidi w:val="0"/>
        <w:spacing w:before="120" w:after="0"/>
        <w:jc w:val="left"/>
        <w:rPr>
          <w:rFonts w:ascii="Times New Roman" w:hAnsi="Times New Roman"/>
          <w:sz w:val="20"/>
        </w:rPr>
      </w:pPr>
      <w:r>
        <w:rPr>
          <w:rFonts w:ascii="Times New Roman" w:hAnsi="Times New Roman"/>
          <w:sz w:val="20"/>
        </w:rPr>
        <w:t xml:space="preserve">(ii) 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 </w:t>
      </w:r>
    </w:p>
    <w:p>
      <w:pPr>
        <w:pStyle w:val="TextBody"/>
        <w:bidi w:val="0"/>
        <w:spacing w:before="240" w:after="0"/>
        <w:jc w:val="left"/>
        <w:rPr>
          <w:rFonts w:ascii="Times New Roman" w:hAnsi="Times New Roman"/>
          <w:sz w:val="20"/>
        </w:rPr>
      </w:pPr>
      <w:r>
        <w:rPr>
          <w:rFonts w:ascii="Times New Roman" w:hAnsi="Times New Roman"/>
          <w:sz w:val="20"/>
        </w:rPr>
        <w:t xml:space="preserve">No action taken pursuant to this Section shall relieve any defaulting Underwriter from liability in respect of its default.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Underwriters shall be directed to the Representative, c/o Canaccord Genuity LLC, 1 Post Office Square, Suite 3000, Boston, Massachusetts 02109, Attention: General Counsel. Notices to the Company shall be directed to it at 1261 Liberty Way, Suite C, Vista, California 92081, Attention: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or its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Parties</w:t>
      </w:r>
      <w:r>
        <w:rPr>
          <w:rFonts w:ascii="Times New Roman" w:hAnsi="Times New Roman"/>
          <w:sz w:val="20"/>
        </w:rPr>
        <w:t xml:space="preserve">.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Waiver of Trial by Jury</w:t>
      </w:r>
      <w:r>
        <w:rPr>
          <w:rFonts w:ascii="Times New Roman" w:hAnsi="Times New Roman"/>
          <w:sz w:val="20"/>
        </w:rPr>
        <w:t xml:space="preserve">.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WITHOUT REGARD TO ITS CHOICE OF LAW PROVISIONS.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Consent to Jurisdiction; Waiver of Immunity</w:t>
      </w:r>
      <w:r>
        <w:rPr>
          <w:rFonts w:ascii="Times New Roman" w:hAnsi="Times New Roman"/>
          <w:sz w:val="20"/>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hAnsi="Times New Roman"/>
          <w:sz w:val="20"/>
          <w:u w:val="single"/>
        </w:rPr>
        <w:t>Specified Courts</w:t>
      </w:r>
      <w:r>
        <w:rPr>
          <w:rFonts w:ascii="Times New Roman" w:hAnsi="Times New Roman"/>
          <w:sz w:val="20"/>
        </w:rPr>
        <w:t xml:space="preserve">),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TIME</w:t>
      </w:r>
      <w:r>
        <w:rPr>
          <w:rFonts w:ascii="Times New Roman" w:hAnsi="Times New Roman"/>
          <w:sz w:val="20"/>
        </w:rPr>
        <w:t xml:space="preserve">. TIME SHALL BE OF THE ESSENCE OF THIS AGREEMENT. EXCEPT AS OTHERWISE SET FORTH HEREIN, SPECIFIED TIMES OF DAY REFER TO NEW YORK CITY TIME.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Counterparts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This Agreement may be delivered via facsimilie,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EXAGEN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Black</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Jeffrey Black</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5"/>
        <w:gridCol w:w="60"/>
        <w:gridCol w:w="3297"/>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CONFIRMED AND ACCEPTED,</w:t>
            </w:r>
          </w:p>
          <w:p>
            <w:pPr>
              <w:pStyle w:val="TableContents"/>
              <w:bidi w:val="0"/>
              <w:spacing w:before="0" w:after="20"/>
              <w:jc w:val="left"/>
              <w:rPr>
                <w:rFonts w:ascii="Times New Roman" w:hAnsi="Times New Roman"/>
                <w:sz w:val="20"/>
              </w:rPr>
            </w:pPr>
            <w:r>
              <w:rPr>
                <w:rFonts w:ascii="Times New Roman" w:hAnsi="Times New Roman"/>
                <w:sz w:val="20"/>
              </w:rPr>
              <w:t>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CANACCORD GENUITY LLC</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G. Barlow</w:t>
            </w:r>
          </w:p>
        </w:tc>
      </w:tr>
      <w:tr>
        <w:trPr/>
        <w:tc>
          <w:tcPr>
            <w:tcW w:w="72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pPr>
            <w:r>
              <w:rPr/>
              <w:t>Jeffrey G. Barlow</w:t>
            </w:r>
          </w:p>
        </w:tc>
      </w:tr>
      <w:tr>
        <w:trPr/>
        <w:tc>
          <w:tcPr>
            <w:tcW w:w="72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pPr>
            <w:r>
              <w:rPr/>
              <w:t>President &amp; CEO (U.S.)</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itself and as Representative of the other Underwriters named in </w:t>
      </w:r>
      <w:r>
        <w:rPr>
          <w:rFonts w:ascii="Times New Roman" w:hAnsi="Times New Roman"/>
          <w:sz w:val="20"/>
          <w:u w:val="single"/>
        </w:rPr>
        <w:t>Schedule A</w:t>
      </w:r>
      <w:r>
        <w:rPr>
          <w:rFonts w:ascii="Times New Roman" w:hAnsi="Times New Roman"/>
          <w:sz w:val="20"/>
        </w:rPr>
        <w:t xml:space="preserve"> hereto.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A </w:t>
      </w:r>
    </w:p>
    <w:p>
      <w:pPr>
        <w:pStyle w:val="TextBody"/>
        <w:bidi w:val="0"/>
        <w:spacing w:before="240" w:after="0"/>
        <w:jc w:val="left"/>
        <w:rPr>
          <w:rFonts w:ascii="Times New Roman" w:hAnsi="Times New Roman"/>
          <w:sz w:val="20"/>
        </w:rPr>
      </w:pPr>
      <w:r>
        <w:rPr>
          <w:rFonts w:ascii="Times New Roman" w:hAnsi="Times New Roman"/>
          <w:sz w:val="20"/>
        </w:rPr>
        <w:t xml:space="preserve">The public offering price per share for the Securities shall be $5.25.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for the Securities to be paid by the several Underwriters shall be $4.935, being an amount equal to the public offering price set forth above less $0.315 per share, subject to adjustment in accordance with Section 2(b) for dividends or distributions declared by the Company and payable on the Initial Securities but not payable on the Option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6"/>
        <w:gridCol w:w="122"/>
        <w:gridCol w:w="4827"/>
      </w:tblGrid>
      <w:tr>
        <w:trPr/>
        <w:tc>
          <w:tcPr>
            <w:tcW w:w="525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27" w:type="dxa"/>
            <w:tcBorders/>
            <w:vAlign w:val="center"/>
          </w:tcPr>
          <w:p>
            <w:pPr>
              <w:pStyle w:val="TableContents"/>
              <w:bidi w:val="0"/>
              <w:spacing w:before="0" w:after="283"/>
              <w:jc w:val="left"/>
              <w:rPr>
                <w:sz w:val="4"/>
                <w:szCs w:val="4"/>
              </w:rPr>
            </w:pPr>
            <w:r>
              <w:rPr>
                <w:sz w:val="4"/>
                <w:szCs w:val="4"/>
              </w:rPr>
            </w:r>
          </w:p>
        </w:tc>
      </w:tr>
      <w:tr>
        <w:trPr/>
        <w:tc>
          <w:tcPr>
            <w:tcW w:w="525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 of Underwriter</w:t>
            </w:r>
          </w:p>
        </w:tc>
        <w:tc>
          <w:tcPr>
            <w:tcW w:w="122" w:type="dxa"/>
            <w:tcBorders/>
            <w:vAlign w:val="bottom"/>
          </w:tcPr>
          <w:p>
            <w:pPr>
              <w:pStyle w:val="TableContents"/>
              <w:bidi w:val="0"/>
              <w:spacing w:before="0" w:after="283"/>
              <w:jc w:val="left"/>
              <w:rPr/>
            </w:pPr>
            <w:r>
              <w:rPr/>
              <w:t>  </w:t>
            </w:r>
          </w:p>
        </w:tc>
        <w:tc>
          <w:tcPr>
            <w:tcW w:w="482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Number of</w:t>
            </w:r>
          </w:p>
          <w:p>
            <w:pPr>
              <w:pStyle w:val="TableContents"/>
              <w:bidi w:val="0"/>
              <w:spacing w:before="0" w:after="20"/>
              <w:jc w:val="center"/>
              <w:rPr>
                <w:rFonts w:ascii="Times New Roman" w:hAnsi="Times New Roman"/>
                <w:sz w:val="16"/>
              </w:rPr>
            </w:pPr>
            <w:r>
              <w:rPr>
                <w:rFonts w:ascii="Times New Roman" w:hAnsi="Times New Roman"/>
                <w:sz w:val="16"/>
              </w:rPr>
              <w:t>Initial Securities</w:t>
            </w:r>
          </w:p>
        </w:tc>
      </w:tr>
      <w:tr>
        <w:trPr/>
        <w:tc>
          <w:tcPr>
            <w:tcW w:w="5256" w:type="dxa"/>
            <w:tcBorders/>
          </w:tcPr>
          <w:p>
            <w:pPr>
              <w:pStyle w:val="TableContents"/>
              <w:bidi w:val="0"/>
              <w:spacing w:before="0" w:after="283"/>
              <w:jc w:val="left"/>
              <w:rPr/>
            </w:pPr>
            <w:r>
              <w:rPr/>
              <w:t>Canaccord Genuity LLC</w:t>
            </w:r>
          </w:p>
        </w:tc>
        <w:tc>
          <w:tcPr>
            <w:tcW w:w="122" w:type="dxa"/>
            <w:tcBorders/>
            <w:vAlign w:val="bottom"/>
          </w:tcPr>
          <w:p>
            <w:pPr>
              <w:pStyle w:val="TableContents"/>
              <w:bidi w:val="0"/>
              <w:spacing w:before="0" w:after="283"/>
              <w:jc w:val="left"/>
              <w:rPr/>
            </w:pPr>
            <w:r>
              <w:rPr/>
              <w:t>  </w:t>
            </w:r>
          </w:p>
        </w:tc>
        <w:tc>
          <w:tcPr>
            <w:tcW w:w="4827" w:type="dxa"/>
            <w:tcBorders/>
          </w:tcPr>
          <w:p>
            <w:pPr>
              <w:pStyle w:val="TableContents"/>
              <w:bidi w:val="0"/>
              <w:spacing w:before="0" w:after="20"/>
              <w:jc w:val="center"/>
              <w:rPr>
                <w:rFonts w:ascii="Times New Roman" w:hAnsi="Times New Roman"/>
                <w:sz w:val="20"/>
              </w:rPr>
            </w:pPr>
            <w:r>
              <w:rPr>
                <w:rFonts w:ascii="Times New Roman" w:hAnsi="Times New Roman"/>
                <w:sz w:val="20"/>
              </w:rPr>
              <w:t>3,350,000</w:t>
            </w:r>
          </w:p>
        </w:tc>
      </w:tr>
      <w:tr>
        <w:trPr/>
        <w:tc>
          <w:tcPr>
            <w:tcW w:w="525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2" w:type="dxa"/>
            <w:tcBorders/>
            <w:vAlign w:val="bottom"/>
          </w:tcPr>
          <w:p>
            <w:pPr>
              <w:pStyle w:val="TableContents"/>
              <w:bidi w:val="0"/>
              <w:spacing w:before="0" w:after="283"/>
              <w:jc w:val="left"/>
              <w:rPr/>
            </w:pPr>
            <w:r>
              <w:rPr/>
              <w:t>  </w:t>
            </w:r>
          </w:p>
        </w:tc>
        <w:tc>
          <w:tcPr>
            <w:tcW w:w="4827"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3,350,000</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Sch 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Pricing Terms </w:t>
      </w:r>
    </w:p>
    <w:p>
      <w:pPr>
        <w:pStyle w:val="TextBody"/>
        <w:bidi w:val="0"/>
        <w:spacing w:before="240" w:after="0"/>
        <w:jc w:val="left"/>
        <w:rPr>
          <w:rFonts w:ascii="Times New Roman" w:hAnsi="Times New Roman"/>
          <w:sz w:val="20"/>
        </w:rPr>
      </w:pPr>
      <w:r>
        <w:rPr>
          <w:rFonts w:ascii="Times New Roman" w:hAnsi="Times New Roman"/>
          <w:sz w:val="20"/>
        </w:rPr>
        <w:t xml:space="preserve">1. The Company is selling 3,350,000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2. The Company has granted an option to the Underwriters, severally and not jointly, to purchase up to an additional 502,500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3. The public offering price per share for the Securities shall be $5.25. </w:t>
      </w:r>
    </w:p>
    <w:p>
      <w:pPr>
        <w:pStyle w:val="TextBody"/>
        <w:bidi w:val="0"/>
        <w:spacing w:before="240" w:after="0"/>
        <w:jc w:val="center"/>
        <w:rPr>
          <w:rFonts w:ascii="Times New Roman" w:hAnsi="Times New Roman"/>
          <w:sz w:val="20"/>
        </w:rPr>
      </w:pPr>
      <w:r>
        <w:rPr>
          <w:rFonts w:ascii="Times New Roman" w:hAnsi="Times New Roman"/>
          <w:sz w:val="20"/>
        </w:rPr>
        <w:t xml:space="preserve">Sch 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B-2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Free Writing Prospectuses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center"/>
        <w:rPr>
          <w:rFonts w:ascii="Times New Roman" w:hAnsi="Times New Roman"/>
          <w:sz w:val="20"/>
        </w:rPr>
      </w:pPr>
      <w:r>
        <w:rPr>
          <w:rFonts w:ascii="Times New Roman" w:hAnsi="Times New Roman"/>
          <w:sz w:val="20"/>
        </w:rPr>
        <w:t xml:space="preserve">Sch B-2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B-3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Written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center"/>
        <w:rPr>
          <w:rFonts w:ascii="Times New Roman" w:hAnsi="Times New Roman"/>
          <w:sz w:val="20"/>
        </w:rPr>
      </w:pPr>
      <w:r>
        <w:rPr>
          <w:rFonts w:ascii="Times New Roman" w:hAnsi="Times New Roman"/>
          <w:sz w:val="20"/>
        </w:rPr>
        <w:t xml:space="preserve">Sch B-3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________, 2025 </w:t>
      </w:r>
    </w:p>
    <w:p>
      <w:pPr>
        <w:pStyle w:val="TextBody"/>
        <w:bidi w:val="0"/>
        <w:spacing w:before="240" w:after="0"/>
        <w:jc w:val="left"/>
        <w:rPr>
          <w:rFonts w:ascii="Times New Roman" w:hAnsi="Times New Roman"/>
          <w:sz w:val="20"/>
        </w:rPr>
      </w:pPr>
      <w:r>
        <w:rPr>
          <w:rFonts w:ascii="Times New Roman" w:hAnsi="Times New Roman"/>
          <w:sz w:val="20"/>
        </w:rPr>
        <w:t xml:space="preserve">Canaccord Genuity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1 Post Office Square </w:t>
      </w:r>
    </w:p>
    <w:p>
      <w:pPr>
        <w:pStyle w:val="TextBody"/>
        <w:bidi w:val="0"/>
        <w:spacing w:before="0" w:after="0"/>
        <w:jc w:val="left"/>
        <w:rPr>
          <w:rFonts w:ascii="Times New Roman" w:hAnsi="Times New Roman"/>
          <w:sz w:val="20"/>
        </w:rPr>
      </w:pPr>
      <w:r>
        <w:rPr>
          <w:rFonts w:ascii="Times New Roman" w:hAnsi="Times New Roman"/>
          <w:sz w:val="20"/>
        </w:rPr>
        <w:t xml:space="preserve">Suite 3000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Proposed Public Offering by Exagen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The undersigned, a stockholder, officer and/or director of Exagen Inc., a Delaware corporation (the </w:t>
      </w:r>
      <w:r>
        <w:rPr>
          <w:rFonts w:ascii="Times New Roman" w:hAnsi="Times New Roman"/>
          <w:sz w:val="20"/>
          <w:u w:val="single"/>
        </w:rPr>
        <w:t>Company</w:t>
      </w:r>
      <w:r>
        <w:rPr>
          <w:rFonts w:ascii="Times New Roman" w:hAnsi="Times New Roman"/>
          <w:sz w:val="20"/>
        </w:rPr>
        <w:t>), understands that Canaccord Genuity LLC (the </w:t>
      </w:r>
      <w:r>
        <w:rPr>
          <w:rFonts w:ascii="Times New Roman" w:hAnsi="Times New Roman"/>
          <w:sz w:val="20"/>
          <w:u w:val="single"/>
        </w:rPr>
        <w:t>Representative</w:t>
      </w:r>
      <w:r>
        <w:rPr>
          <w:rFonts w:ascii="Times New Roman" w:hAnsi="Times New Roman"/>
          <w:sz w:val="20"/>
        </w:rPr>
        <w:t>), as representative of the several underwriters, proposes to enter into an Underwriting Agreement (the </w:t>
      </w:r>
      <w:r>
        <w:rPr>
          <w:rFonts w:ascii="Times New Roman" w:hAnsi="Times New Roman"/>
          <w:sz w:val="20"/>
          <w:u w:val="single"/>
        </w:rPr>
        <w:t>Underwriting Agreement</w:t>
      </w:r>
      <w:r>
        <w:rPr>
          <w:rFonts w:ascii="Times New Roman" w:hAnsi="Times New Roman"/>
          <w:sz w:val="20"/>
        </w:rPr>
        <w:t>) with the Company providing for the public offering (the </w:t>
      </w:r>
      <w:r>
        <w:rPr>
          <w:rFonts w:ascii="Times New Roman" w:hAnsi="Times New Roman"/>
          <w:sz w:val="20"/>
          <w:u w:val="single"/>
        </w:rPr>
        <w:t>Public Offering</w:t>
      </w:r>
      <w:r>
        <w:rPr>
          <w:rFonts w:ascii="Times New Roman" w:hAnsi="Times New Roman"/>
          <w:sz w:val="20"/>
        </w:rPr>
        <w:t>) of shares (the </w:t>
      </w:r>
      <w:r>
        <w:rPr>
          <w:rFonts w:ascii="Times New Roman" w:hAnsi="Times New Roman"/>
          <w:sz w:val="20"/>
          <w:u w:val="single"/>
        </w:rPr>
        <w:t>Securities</w:t>
      </w:r>
      <w:r>
        <w:rPr>
          <w:rFonts w:ascii="Times New Roman" w:hAnsi="Times New Roman"/>
          <w:sz w:val="20"/>
        </w:rPr>
        <w:t>) of the Companys common stock, par value $0.001 per share (the </w:t>
      </w:r>
      <w:r>
        <w:rPr>
          <w:rFonts w:ascii="Times New Roman" w:hAnsi="Times New Roman"/>
          <w:sz w:val="20"/>
          <w:u w:val="single"/>
        </w:rPr>
        <w:t>Common Stock</w:t>
      </w:r>
      <w:r>
        <w:rPr>
          <w:rFonts w:ascii="Times New Roman" w:hAnsi="Times New Roman"/>
          <w:sz w:val="20"/>
        </w:rPr>
        <w:t>). In recognition of the benefit that such an offering will confer upon the undersigned as a stockholder, an officer and/or a director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90 days from the date of the Underwriting Agreement (the </w:t>
      </w:r>
      <w:r>
        <w:rPr>
          <w:rFonts w:ascii="Times New Roman" w:hAnsi="Times New Roman"/>
          <w:sz w:val="20"/>
          <w:u w:val="single"/>
        </w:rPr>
        <w:t>Lock-Up Period</w:t>
      </w:r>
      <w:r>
        <w:rPr>
          <w:rFonts w:ascii="Times New Roman" w:hAnsi="Times New Roman"/>
          <w:sz w:val="20"/>
        </w:rPr>
        <w:t>), the undersigned will not, without the prior written consent of the Representative, directly or indirectly, (i) offer, pledge, sell, contract to sell, sell any option or contract to purchase, purchase any option or contract to sell, grant any option, right or warrant for the sale of, or otherwise dispose of or transfer any shares of the Companys Common Stock or any securities convertible into or exchangeable or exercisable for Common Stock, whether now owned or hereafter acquired by the undersigned or with respect to which the undersigned has or hereafter acquires the power of disposition (collectively, the </w:t>
      </w:r>
      <w:r>
        <w:rPr>
          <w:rFonts w:ascii="Times New Roman" w:hAnsi="Times New Roman"/>
          <w:sz w:val="20"/>
          <w:u w:val="single"/>
        </w:rPr>
        <w:t>Lock-Up Securities</w:t>
      </w:r>
      <w:r>
        <w:rPr>
          <w:rFonts w:ascii="Times New Roman" w:hAnsi="Times New Roman"/>
          <w:sz w:val="20"/>
        </w:rPr>
        <w:t xml:space="preserve">),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and subject to the conditions below, the undersigned may transfer the Lock-Up Securities without the prior written consent of the Representative: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t>
            </w:r>
            <w:r>
              <w:rPr>
                <w:rFonts w:ascii="Times New Roman" w:hAnsi="Times New Roman"/>
                <w:i/>
                <w:sz w:val="20"/>
              </w:rPr>
              <w:t>bona fide</w:t>
            </w:r>
            <w:r>
              <w:rPr>
                <w:rFonts w:ascii="Times New Roman" w:hAnsi="Times New Roman"/>
                <w:sz w:val="20"/>
              </w:rPr>
              <w:t xml:space="preserve"> gift or gifts;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trust for the direct or indirect benefit of the undersigned or the immediate family of the undersigned (for purposes of this lock-up agreement, immediate family shall mean any relationship by blood, marriage or adoption, not more remote than first cousin);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trust, to the trustee or beneficiary of such trust or to the estate of a beneficiary of such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distribution or other transfer by a partnership to its partners or former partners or by a limited liability company to its members or retired members or by a corporation to its stockholders or former stockholders or to any wholly-owned subsidiary of such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undersigneds affiliates or to any investment fund or other entity controlled or managed by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qualified domestic relations order or in connection with a divorce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or intestate succession upon the death of the undersigned;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in satisfaction of any tax withholding obligation; </w:t>
            </w:r>
          </w:p>
        </w:tc>
      </w:tr>
    </w:tbl>
    <w:p>
      <w:pPr>
        <w:pStyle w:val="TextBody"/>
        <w:bidi w:val="0"/>
        <w:spacing w:before="240" w:after="0"/>
        <w:jc w:val="left"/>
        <w:rPr>
          <w:rFonts w:ascii="Times New Roman" w:hAnsi="Times New Roman"/>
          <w:sz w:val="20"/>
        </w:rPr>
      </w:pPr>
      <w:r>
        <w:rPr>
          <w:rFonts w:ascii="Times New Roman" w:hAnsi="Times New Roman"/>
          <w:sz w:val="20"/>
        </w:rPr>
        <w:t>provided, in each case, that (1) the Representative receives a signed lock-up agreement for the balance of the Lock-Up Period from each donee, trustee, distributee, or transferee, as the case may be, (2) any such transfer shall not involve a disposition for value, (3) such transfers are not required to be reported with the Securities and Exchange Commission on Form 4 in accordance with Section 16 of the Securities Exchange Act of 1934, as amended (the </w:t>
      </w:r>
      <w:r>
        <w:rPr>
          <w:rFonts w:ascii="Times New Roman" w:hAnsi="Times New Roman"/>
          <w:sz w:val="20"/>
          <w:u w:val="single"/>
        </w:rPr>
        <w:t>Exchange Act</w:t>
      </w:r>
      <w:r>
        <w:rPr>
          <w:rFonts w:ascii="Times New Roman" w:hAnsi="Times New Roman"/>
          <w:sz w:val="20"/>
        </w:rPr>
        <w:t xml:space="preserve">) or if such transfers are required to be so reported, the footnotes of such Form(s) 4 clearly describe the circumstances of the exclusions set forth above giving rise to such required Form 4 filing, and (4) the undersigned does not otherwise voluntarily effect any public filing or report regarding such transfers (other than a filing on a Form 5 made after the expiration of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Furthermore, no provision in this lock-up agreement shall be deemed to restrict or prohibit (1) the transfer of the undersigneds Lock-Up Securities to the Company in connection with the termination of the undersigneds services to the Company, provided that no filing by any party under the Exchange Act or other public announcement shall be required or shall be made voluntarily in connection with such transfer (other than a filing on a Form 5 made after the expiration of the Lock-Up Period), (2) the exercise or exchange by the undersigned of options to purchase shares of Common Stock granted pursuant to any stock option, stock bonus or other stock plan or arrangement, or warrants to purchase or acquire any securities of the Company; provided, however, that the underlying shares of Common Stock shall continue to be subject to the restrictions on transfer set forth in this lock-up agreement, and (3) the transfer of Lock-Up Securities upon the completion of a bona fide third-party tender offer, merger, consolidation or other similar transaction made to all holders of the Companys securities involving a change of control of the Company; provided, however, that in the event that such tender offer, merger, consolidation or other such transaction is not completed, such securities held by the undersigned shall remain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sz w:val="20"/>
        </w:rPr>
        <w:t>Notwithstanding anything herein to the contrary, nothing herein shall prevent the undersigned from establishing a 10b5-1 trading plan that complies with Rule 10b5-1 under the Exchange Act (</w:t>
      </w:r>
      <w:r>
        <w:rPr>
          <w:rFonts w:ascii="Times New Roman" w:hAnsi="Times New Roman"/>
          <w:sz w:val="20"/>
          <w:u w:val="single"/>
        </w:rPr>
        <w:t>10b5-1 trading plan</w:t>
      </w:r>
      <w:r>
        <w:rPr>
          <w:rFonts w:ascii="Times New Roman" w:hAnsi="Times New Roman"/>
          <w:sz w:val="20"/>
        </w:rPr>
        <w:t xml:space="preserve">) or from amending an existing 10b5-1 trading plan so long as there are no sales of Lock-Up Securities under such plans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Exchange Commission, or otherwise and (ii) the undersigned does not otherwise voluntarily effect any public filing or report regarding the establishment or amendment of such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Furthermore, during the Lock-Up Period, the undersigned may sell shares of Common Stock of the Company purchased by the undersigned in the Public Offering or on the open market following the Public Offering if and only if (i) such sales are not required during the Lock-Up Period to be reported in any press release or public report or filing with the Securities and Exchange Commission, or otherwise and (ii) the undersigned does not otherwise voluntarily effect any press release, public filing or report regarding such sales during the Lock-Up Period. </w:t>
      </w:r>
    </w:p>
    <w:p>
      <w:pPr>
        <w:pStyle w:val="TextBody"/>
        <w:bidi w:val="0"/>
        <w:spacing w:before="240" w:after="0"/>
        <w:jc w:val="left"/>
        <w:rPr>
          <w:rFonts w:ascii="Times New Roman" w:hAnsi="Times New Roman"/>
          <w:sz w:val="20"/>
        </w:rPr>
      </w:pPr>
      <w:r>
        <w:rPr>
          <w:rFonts w:ascii="Times New Roman" w:hAnsi="Times New Roman"/>
          <w:sz w:val="20"/>
        </w:rPr>
        <w:t>Notwithstanding anything herein to the contrary, in the event that the Representative releases, in full or in part, any officer, director or stockholder of the Company holding one percent (1%) or more of the outstanding shares of Common Stock of the Company (a </w:t>
      </w:r>
      <w:r>
        <w:rPr>
          <w:rFonts w:ascii="Times New Roman" w:hAnsi="Times New Roman"/>
          <w:sz w:val="20"/>
          <w:u w:val="single"/>
        </w:rPr>
        <w:t>Stockholder</w:t>
      </w:r>
      <w:r>
        <w:rPr>
          <w:rFonts w:ascii="Times New Roman" w:hAnsi="Times New Roman"/>
          <w:sz w:val="20"/>
        </w:rPr>
        <w:t>) from the restrictions of any lock-up agreement signed by such Stockholder with the Representative (a </w:t>
      </w:r>
      <w:r>
        <w:rPr>
          <w:rFonts w:ascii="Times New Roman" w:hAnsi="Times New Roman"/>
          <w:sz w:val="20"/>
          <w:u w:val="single"/>
        </w:rPr>
        <w:t>Triggering Release</w:t>
      </w:r>
      <w:r>
        <w:rPr>
          <w:rFonts w:ascii="Times New Roman" w:hAnsi="Times New Roman"/>
          <w:sz w:val="20"/>
        </w:rPr>
        <w:t>), then the undersigned shall be concurrently released in the same manner and on the same terms (including with respect to any conditions or provisos that apply to such release) from the restrictions of this lock-up agreement with respect to that percentage of the total number of shares of Common Stock held by the undersigned equal to the same percentage of such Stockholders shares of Common Stock released in the Triggering Release (the </w:t>
      </w:r>
      <w:r>
        <w:rPr>
          <w:rFonts w:ascii="Times New Roman" w:hAnsi="Times New Roman"/>
          <w:sz w:val="20"/>
          <w:u w:val="single"/>
        </w:rPr>
        <w:t>Release Percentage</w:t>
      </w:r>
      <w:r>
        <w:rPr>
          <w:rFonts w:ascii="Times New Roman" w:hAnsi="Times New Roman"/>
          <w:sz w:val="20"/>
        </w:rPr>
        <w:t>); provided that (i) the Representative shall provide notice to the Company and the undersigned of any Triggering Release and setting forth the number of shares of Common Stock proposed to be released, provided that the failure to provide such notice shall not give rise to any claim or liability against the Representative; (ii) upon receipt of such notice from the Representative, the Company will notify the undersigned of the requested Triggering Release within two business days; (iii) the undersigned may require the release by the Representative from the terms of this lock-up agreement of a number of shares equal to the Release Percentage multiplied by the number of shares of Common Stock held by it (the </w:t>
      </w:r>
      <w:r>
        <w:rPr>
          <w:rFonts w:ascii="Times New Roman" w:hAnsi="Times New Roman"/>
          <w:sz w:val="20"/>
          <w:u w:val="single"/>
        </w:rPr>
        <w:t>Pro Rata Stockholders</w:t>
      </w:r>
      <w:r>
        <w:rPr>
          <w:rFonts w:ascii="Times New Roman" w:hAnsi="Times New Roman"/>
          <w:sz w:val="20"/>
        </w:rPr>
        <w:t xml:space="preserve">) by (x) providing notice in writing to the Representative of such requirement and (y) certifying in writing to the Representative and the Company the total number of shares of Common Stock held by such Pro Rata Stockholder as of the time of the request of the Triggering Release. If the Company fails to notify the undersigned within five business days of the request of the Triggering Release, the failure to give such notice shall not give rise to any claim or liability against the Company or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also agrees and consents to the entry of stop transfer instructions with the Companys transfer agent and registrar against the transfer of the Lock-Up Securities except in compliance with the foregoing restrictions. This lock-up agreement shall automatically terminate, and the undersigned shall be released from the undersigneds obligations hereunder, upon the earliest to occur, if any, of (i) prior to the execution of the Underwriting Agreement, the Company advises the Representative in writing that it has determined not to proceed with the Public Offering, (ii) the Underwriting Agreement is executed but is terminated prior to the closing of the Public Offering (other than the provisions thereof which survive termination), or (iii) May 31, 2025, in the event that the Underwriting Agreement has not been executed by such date.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may be delivered via facsimile, electronic mail (including pdf or any electronic signature complying with the U.S. federal ESIGN Act of 2000, e.g., www.docusign.com or www.echosign.com) or other transmission method and any copy so delivered shall be deemed to have been duly and validly delivered and be valid and effective for all purposes.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934"/>
        <w:gridCol w:w="90"/>
        <w:gridCol w:w="3058"/>
      </w:tblGrid>
      <w:tr>
        <w:trPr/>
        <w:tc>
          <w:tcPr>
            <w:tcW w:w="934"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 xml:space="preserve">Name of Security Holder </w:t>
            </w:r>
            <w:r>
              <w:rPr>
                <w:i/>
              </w:rPr>
              <w:t>(Print exact name</w:t>
            </w:r>
            <w:r>
              <w:rPr/>
              <w:t>)</w:t>
            </w:r>
          </w:p>
        </w:tc>
      </w:tr>
      <w:tr>
        <w:trPr>
          <w:trHeight w:val="240" w:hRule="atLeast"/>
        </w:trPr>
        <w:tc>
          <w:tcPr>
            <w:tcW w:w="934" w:type="dxa"/>
            <w:tcBorders/>
            <w:vAlign w:val="center"/>
          </w:tcPr>
          <w:p>
            <w:pPr>
              <w:pStyle w:val="TableContents"/>
              <w:bidi w:val="0"/>
              <w:spacing w:before="0" w:after="283"/>
              <w:jc w:val="left"/>
              <w:rPr>
                <w:sz w:val="4"/>
                <w:szCs w:val="4"/>
              </w:rPr>
            </w:pPr>
            <w:r>
              <w:rPr>
                <w:sz w:val="4"/>
                <w:szCs w:val="4"/>
              </w:rPr>
            </w:r>
          </w:p>
        </w:tc>
        <w:tc>
          <w:tcPr>
            <w:tcW w:w="3148" w:type="dxa"/>
            <w:gridSpan w:val="2"/>
            <w:tcBorders/>
            <w:vAlign w:val="center"/>
          </w:tcPr>
          <w:p>
            <w:pPr>
              <w:pStyle w:val="TableContents"/>
              <w:bidi w:val="0"/>
              <w:spacing w:before="0" w:after="283"/>
              <w:jc w:val="left"/>
              <w:rPr>
                <w:sz w:val="4"/>
                <w:szCs w:val="4"/>
              </w:rPr>
            </w:pPr>
            <w:r>
              <w:rPr>
                <w:sz w:val="4"/>
                <w:szCs w:val="4"/>
              </w:rPr>
            </w:r>
          </w:p>
        </w:tc>
      </w:tr>
      <w:tr>
        <w:trPr/>
        <w:tc>
          <w:tcPr>
            <w:tcW w:w="934" w:type="dxa"/>
            <w:tcBorders/>
          </w:tcPr>
          <w:p>
            <w:pPr>
              <w:pStyle w:val="TableContents"/>
              <w:bidi w:val="0"/>
              <w:spacing w:before="0" w:after="283"/>
              <w:jc w:val="left"/>
              <w:rPr/>
            </w:pPr>
            <w:r>
              <w:rPr/>
              <w:t>By:</w:t>
            </w:r>
          </w:p>
        </w:tc>
        <w:tc>
          <w:tcPr>
            <w:tcW w:w="90" w:type="dxa"/>
            <w:tcBorders/>
            <w:vAlign w:val="bottom"/>
          </w:tcPr>
          <w:p>
            <w:pPr>
              <w:pStyle w:val="TableContents"/>
              <w:bidi w:val="0"/>
              <w:spacing w:before="0" w:after="283"/>
              <w:jc w:val="left"/>
              <w:rPr/>
            </w:pPr>
            <w:r>
              <w:rPr/>
              <w:t> </w:t>
            </w:r>
          </w:p>
        </w:tc>
        <w:tc>
          <w:tcPr>
            <w:tcW w:w="305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Signature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If not signing in an individual capacity: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 xml:space="preserve">Name of Authorized Signatory </w:t>
            </w:r>
            <w:r>
              <w:rPr>
                <w:i/>
              </w:rPr>
              <w:t>(Print</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 xml:space="preserve">Title of Authorized Signatory </w:t>
            </w:r>
            <w:r>
              <w:rPr>
                <w:i/>
              </w:rPr>
              <w:t>(Print</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rPr>
              <w:t>(indicate capacity of person signing if signing as custodian, trustee, or on behalf of an entity)</w:t>
            </w:r>
          </w:p>
        </w:tc>
      </w:tr>
    </w:tbl>
    <w:p>
      <w:pPr>
        <w:pStyle w:val="TextBody"/>
        <w:bidi w:val="0"/>
        <w:spacing w:before="0" w:after="0"/>
        <w:jc w:val="right"/>
        <w:rPr>
          <w:rFonts w:ascii="Times New Roman" w:hAnsi="Times New Roman"/>
          <w:b/>
          <w:sz w:val="20"/>
        </w:rPr>
      </w:pPr>
      <w:bookmarkStart w:id="4" w:name="d788679dex51.htm"/>
      <w:bookmarkStart w:id="5" w:name="ksd788679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6"/>
        <w:gridCol w:w="122"/>
        <w:gridCol w:w="3422"/>
        <w:gridCol w:w="122"/>
        <w:gridCol w:w="3173"/>
      </w:tblGrid>
      <w:tr>
        <w:trPr/>
        <w:tc>
          <w:tcPr>
            <w:tcW w:w="336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2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22" w:type="dxa"/>
            <w:tcBorders/>
          </w:tcPr>
          <w:p>
            <w:pPr>
              <w:pStyle w:val="TableContents"/>
              <w:bidi w:val="0"/>
              <w:spacing w:before="0" w:after="283"/>
              <w:jc w:val="center"/>
              <w:rPr/>
            </w:pPr>
            <w:r>
              <w:rPr/>
              <w:drawing>
                <wp:inline distT="0" distB="0" distL="0" distR="0">
                  <wp:extent cx="1000125" cy="1200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0125" cy="120015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0"/>
              <w:jc w:val="right"/>
              <w:rPr>
                <w:rFonts w:ascii="Times New Roman" w:hAnsi="Times New Roman"/>
                <w:sz w:val="20"/>
              </w:rPr>
            </w:pPr>
            <w:r>
              <w:rPr>
                <w:rFonts w:ascii="Times New Roman" w:hAnsi="Times New Roman"/>
                <w:sz w:val="20"/>
              </w:rPr>
              <w:t>3580 Carmel Mountain Road</w:t>
            </w:r>
          </w:p>
          <w:p>
            <w:pPr>
              <w:pStyle w:val="TableContents"/>
              <w:bidi w:val="0"/>
              <w:spacing w:before="0" w:after="0"/>
              <w:jc w:val="right"/>
              <w:rPr>
                <w:rFonts w:ascii="Times New Roman" w:hAnsi="Times New Roman"/>
                <w:sz w:val="20"/>
              </w:rPr>
            </w:pPr>
            <w:r>
              <w:rPr>
                <w:rFonts w:ascii="Times New Roman" w:hAnsi="Times New Roman"/>
                <w:sz w:val="20"/>
              </w:rPr>
              <w:t>Suite 300</w:t>
            </w:r>
          </w:p>
          <w:p>
            <w:pPr>
              <w:pStyle w:val="TableContents"/>
              <w:bidi w:val="0"/>
              <w:spacing w:before="0" w:after="0"/>
              <w:jc w:val="right"/>
              <w:rPr>
                <w:rFonts w:ascii="Times New Roman" w:hAnsi="Times New Roman"/>
                <w:sz w:val="20"/>
              </w:rPr>
            </w:pPr>
            <w:r>
              <w:rPr>
                <w:rFonts w:ascii="Times New Roman" w:hAnsi="Times New Roman"/>
                <w:sz w:val="20"/>
              </w:rPr>
              <w:t>San Diego, CA 92130</w:t>
            </w:r>
          </w:p>
          <w:p>
            <w:pPr>
              <w:pStyle w:val="TableContents"/>
              <w:bidi w:val="0"/>
              <w:spacing w:before="0" w:after="0"/>
              <w:jc w:val="right"/>
              <w:rPr>
                <w:rFonts w:ascii="Times New Roman" w:hAnsi="Times New Roman"/>
                <w:sz w:val="20"/>
              </w:rPr>
            </w:pPr>
            <w:r>
              <w:rPr>
                <w:rFonts w:ascii="Times New Roman" w:hAnsi="Times New Roman"/>
                <w:sz w:val="20"/>
              </w:rPr>
              <w:t>858 314 1500</w:t>
            </w:r>
          </w:p>
          <w:p>
            <w:pPr>
              <w:pStyle w:val="TableContents"/>
              <w:bidi w:val="0"/>
              <w:spacing w:before="0" w:after="20"/>
              <w:jc w:val="right"/>
              <w:rPr>
                <w:rFonts w:ascii="Times New Roman" w:hAnsi="Times New Roman"/>
                <w:sz w:val="20"/>
              </w:rPr>
            </w:pPr>
            <w:r>
              <w:rPr>
                <w:rFonts w:ascii="Times New Roman" w:hAnsi="Times New Roman"/>
                <w:sz w:val="20"/>
              </w:rPr>
              <w:t>mintz.com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May 8, 2025 </w:t>
      </w:r>
    </w:p>
    <w:p>
      <w:pPr>
        <w:pStyle w:val="TextBody"/>
        <w:bidi w:val="0"/>
        <w:spacing w:before="240" w:after="0"/>
        <w:jc w:val="left"/>
        <w:rPr>
          <w:rFonts w:ascii="Times New Roman" w:hAnsi="Times New Roman"/>
          <w:sz w:val="20"/>
        </w:rPr>
      </w:pPr>
      <w:r>
        <w:rPr>
          <w:rFonts w:ascii="Times New Roman" w:hAnsi="Times New Roman"/>
          <w:sz w:val="20"/>
        </w:rPr>
        <w:t xml:space="preserve">Exagen Inc. </w:t>
      </w:r>
    </w:p>
    <w:p>
      <w:pPr>
        <w:pStyle w:val="TextBody"/>
        <w:bidi w:val="0"/>
        <w:spacing w:before="0" w:after="0"/>
        <w:jc w:val="left"/>
        <w:rPr>
          <w:rFonts w:ascii="Times New Roman" w:hAnsi="Times New Roman"/>
          <w:sz w:val="20"/>
        </w:rPr>
      </w:pPr>
      <w:r>
        <w:rPr>
          <w:rFonts w:ascii="Times New Roman" w:hAnsi="Times New Roman"/>
          <w:sz w:val="20"/>
        </w:rPr>
        <w:t xml:space="preserve">1261 Liberty Way </w:t>
      </w:r>
    </w:p>
    <w:p>
      <w:pPr>
        <w:pStyle w:val="TextBody"/>
        <w:bidi w:val="0"/>
        <w:spacing w:before="0" w:after="0"/>
        <w:jc w:val="left"/>
        <w:rPr>
          <w:rFonts w:ascii="Times New Roman" w:hAnsi="Times New Roman"/>
          <w:sz w:val="20"/>
        </w:rPr>
      </w:pPr>
      <w:r>
        <w:rPr>
          <w:rFonts w:ascii="Times New Roman" w:hAnsi="Times New Roman"/>
          <w:sz w:val="20"/>
        </w:rPr>
        <w:t xml:space="preserve">Vista, California 92081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legal counsel to Exagen Inc., a Delaware corporation (the Company), in connection with the preparation and filing with the Securities and Exchange Commission (the Commission) of a prospectus supplement, dated May 8, 2025 (the Prospectus Supplement) to a prospectus dated November 29, 2023 (the Base Prospectus and together with the Prospectus Supplement, the Prospectus), filed pursuant to a Registration Statement (File No. 333-275632) on Form S-3 (the Registration Statement), filed by the Company with the Commission under the Securities Act of 1933, as amended (the Securities Act). The Prospectus Supplement relates to the sale of 3,852,500 shares (the Shares) of the Companys common stock, par value $0.001 per share (the Common Stock), which includes 502,500 Shares of the Companys Common Stock that may be sold pursuant to the exercise of an option to purchase additional shares, pursuant to an underwriting agreement (the Underwriting Agreement), dated May 8, 2025, by and between the Company and Canaccord Genuity LLC as the underwriter. The Underwriting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the Companys Amended and Restated Certificate of Incorporation and Amended and Restated Bylaws, as amended, each as currently in effect, the Registration Statement and the exhibits thereto, the Prospectus, the Underwriting Agreement, and such other records of the corporate proceedings of the Company and certificates of the Companys officers as we have deemed relevant.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BOSTON LOS ANGELES MIAMI NEW YORK SAN DIEGO SAN FRANCISCO TORONTO WASHINGTON </w:t>
      </w:r>
    </w:p>
    <w:p>
      <w:pPr>
        <w:pStyle w:val="TextBody"/>
        <w:bidi w:val="0"/>
        <w:spacing w:before="0" w:after="0"/>
        <w:jc w:val="center"/>
        <w:rPr>
          <w:rFonts w:ascii="Times New Roman" w:hAnsi="Times New Roman"/>
          <w:sz w:val="20"/>
        </w:rPr>
      </w:pPr>
      <w:r>
        <w:rPr>
          <w:rFonts w:ascii="Times New Roman" w:hAnsi="Times New Roman"/>
          <w:sz w:val="20"/>
        </w:rPr>
        <w:t xml:space="preserve">MINTZ, LEVIN, COHN, FERRIS, GLOVSKY AND POPEO, P.C.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65"/>
        <w:gridCol w:w="121"/>
        <w:gridCol w:w="4919"/>
      </w:tblGrid>
      <w:tr>
        <w:trPr/>
        <w:tc>
          <w:tcPr>
            <w:tcW w:w="51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19" w:type="dxa"/>
            <w:tcBorders/>
            <w:vAlign w:val="center"/>
          </w:tcPr>
          <w:p>
            <w:pPr>
              <w:pStyle w:val="TableContents"/>
              <w:bidi w:val="0"/>
              <w:spacing w:before="0" w:after="283"/>
              <w:jc w:val="left"/>
              <w:rPr>
                <w:sz w:val="4"/>
                <w:szCs w:val="4"/>
              </w:rPr>
            </w:pPr>
            <w:r>
              <w:rPr>
                <w:sz w:val="4"/>
                <w:szCs w:val="4"/>
              </w:rPr>
            </w:r>
          </w:p>
        </w:tc>
      </w:tr>
      <w:tr>
        <w:trPr/>
        <w:tc>
          <w:tcPr>
            <w:tcW w:w="5165" w:type="dxa"/>
            <w:tcBorders/>
          </w:tcPr>
          <w:p>
            <w:pPr>
              <w:pStyle w:val="TableContents"/>
              <w:bidi w:val="0"/>
              <w:spacing w:before="0" w:after="0"/>
              <w:jc w:val="left"/>
              <w:rPr>
                <w:rFonts w:ascii="Times New Roman" w:hAnsi="Times New Roman"/>
                <w:b/>
                <w:sz w:val="20"/>
              </w:rPr>
            </w:pPr>
            <w:r>
              <w:rPr>
                <w:rFonts w:ascii="Times New Roman" w:hAnsi="Times New Roman"/>
                <w:b/>
                <w:sz w:val="20"/>
              </w:rPr>
              <w:t>MINTZ</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Exagen Inc.</w:t>
            </w:r>
          </w:p>
          <w:p>
            <w:pPr>
              <w:pStyle w:val="TableContents"/>
              <w:bidi w:val="0"/>
              <w:spacing w:before="0" w:after="0"/>
              <w:jc w:val="left"/>
              <w:rPr>
                <w:rFonts w:ascii="Times New Roman" w:hAnsi="Times New Roman"/>
                <w:sz w:val="20"/>
              </w:rPr>
            </w:pPr>
            <w:r>
              <w:rPr>
                <w:rFonts w:ascii="Times New Roman" w:hAnsi="Times New Roman"/>
                <w:sz w:val="20"/>
              </w:rPr>
              <w:t>May 8, 2025</w:t>
            </w:r>
          </w:p>
          <w:p>
            <w:pPr>
              <w:pStyle w:val="TableContents"/>
              <w:bidi w:val="0"/>
              <w:spacing w:before="0" w:after="20"/>
              <w:jc w:val="left"/>
              <w:rPr>
                <w:rFonts w:ascii="Times New Roman" w:hAnsi="Times New Roman"/>
                <w:sz w:val="20"/>
              </w:rPr>
            </w:pPr>
            <w:r>
              <w:rPr>
                <w:rFonts w:ascii="Times New Roman" w:hAnsi="Times New Roman"/>
                <w:sz w:val="20"/>
              </w:rPr>
              <w:t>Page 2</w:t>
            </w:r>
          </w:p>
        </w:tc>
        <w:tc>
          <w:tcPr>
            <w:tcW w:w="121" w:type="dxa"/>
            <w:tcBorders/>
            <w:vAlign w:val="bottom"/>
          </w:tcPr>
          <w:p>
            <w:pPr>
              <w:pStyle w:val="TableContents"/>
              <w:bidi w:val="0"/>
              <w:spacing w:before="0" w:after="283"/>
              <w:jc w:val="left"/>
              <w:rPr/>
            </w:pPr>
            <w:r>
              <w:rPr/>
              <w:t>  </w:t>
            </w:r>
          </w:p>
        </w:tc>
        <w:tc>
          <w:tcPr>
            <w:tcW w:w="4919" w:type="dxa"/>
            <w:tcBorders/>
          </w:tcPr>
          <w:p>
            <w:pPr>
              <w:pStyle w:val="TableContents"/>
              <w:bidi w:val="0"/>
              <w:spacing w:before="0" w:after="283"/>
              <w:jc w:val="right"/>
              <w:rPr/>
            </w:pPr>
            <w:r>
              <w:rPr/>
              <w:drawing>
                <wp:inline distT="0" distB="0" distL="0" distR="0">
                  <wp:extent cx="581025"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1025" cy="6858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our examination, we have assumed the genuineness of all signatures, the legal capacity of natural persons, the authenticity of all documents submitted to us as originals, the conformity to original documents of all documents submitted to us as certified or photostatic copies, the authenticity of the originals of such copies, and the truth and correctness of any representations and warranties contained therein. We have relied, without independent verification, on certificates of public officials and, as to matters of fact material to the opinions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opinion expressed herein is limited to the General Corporation Law of the State of Delaware and we express no opinion with respect to the laws of any other jurisdiction. No opinion is expressed herein with respect to (i) the qualification of the Shares under the securities or blue sky laws of any state or any foreign jurisdiction, or (ii) the compliance with any federal or state law, rule or regulation relating to securities, or to the sale or issuance thereof.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we are of the opinion that the Shares, when issued and delivered in accordance with the terms of the Underwriting Agreement,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you wish to file this opinion with the Commission as an exhibit to a Current Report on Form 8-K for incorporation by reference into the Registration Statement in accordance with the requirements of Item 601(b)(5) of Regulation S-K promulgated under the Securities Act and to reference the firms name under the caption Legal Matters in the Prospectus Supplement, and we hereby consent thereto. In giving this consent, we do not admit that we are within the category of persons whose consent is required under Section 7 of the Securities Act or the rules and regulations of the Commission promulgated thereunder.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65"/>
        <w:gridCol w:w="121"/>
        <w:gridCol w:w="4919"/>
      </w:tblGrid>
      <w:tr>
        <w:trPr/>
        <w:tc>
          <w:tcPr>
            <w:tcW w:w="51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19" w:type="dxa"/>
            <w:tcBorders/>
            <w:vAlign w:val="center"/>
          </w:tcPr>
          <w:p>
            <w:pPr>
              <w:pStyle w:val="TableContents"/>
              <w:bidi w:val="0"/>
              <w:spacing w:before="0" w:after="283"/>
              <w:jc w:val="left"/>
              <w:rPr>
                <w:sz w:val="4"/>
                <w:szCs w:val="4"/>
              </w:rPr>
            </w:pPr>
            <w:r>
              <w:rPr>
                <w:sz w:val="4"/>
                <w:szCs w:val="4"/>
              </w:rPr>
            </w:r>
          </w:p>
        </w:tc>
      </w:tr>
      <w:tr>
        <w:trPr/>
        <w:tc>
          <w:tcPr>
            <w:tcW w:w="5165" w:type="dxa"/>
            <w:tcBorders/>
          </w:tcPr>
          <w:p>
            <w:pPr>
              <w:pStyle w:val="TableContents"/>
              <w:bidi w:val="0"/>
              <w:spacing w:before="0" w:after="0"/>
              <w:jc w:val="left"/>
              <w:rPr>
                <w:rFonts w:ascii="Times New Roman" w:hAnsi="Times New Roman"/>
                <w:b/>
                <w:sz w:val="20"/>
              </w:rPr>
            </w:pPr>
            <w:r>
              <w:rPr>
                <w:rFonts w:ascii="Times New Roman" w:hAnsi="Times New Roman"/>
                <w:b/>
                <w:sz w:val="20"/>
              </w:rPr>
              <w:t>MINTZ</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Exagen Inc.</w:t>
            </w:r>
          </w:p>
          <w:p>
            <w:pPr>
              <w:pStyle w:val="TableContents"/>
              <w:bidi w:val="0"/>
              <w:spacing w:before="0" w:after="0"/>
              <w:jc w:val="left"/>
              <w:rPr>
                <w:rFonts w:ascii="Times New Roman" w:hAnsi="Times New Roman"/>
                <w:sz w:val="20"/>
              </w:rPr>
            </w:pPr>
            <w:r>
              <w:rPr>
                <w:rFonts w:ascii="Times New Roman" w:hAnsi="Times New Roman"/>
                <w:sz w:val="20"/>
              </w:rPr>
              <w:t>May 8, 2025</w:t>
            </w:r>
          </w:p>
          <w:p>
            <w:pPr>
              <w:pStyle w:val="TableContents"/>
              <w:bidi w:val="0"/>
              <w:spacing w:before="0" w:after="20"/>
              <w:jc w:val="left"/>
              <w:rPr>
                <w:rFonts w:ascii="Times New Roman" w:hAnsi="Times New Roman"/>
                <w:sz w:val="20"/>
              </w:rPr>
            </w:pPr>
            <w:r>
              <w:rPr>
                <w:rFonts w:ascii="Times New Roman" w:hAnsi="Times New Roman"/>
                <w:sz w:val="20"/>
              </w:rPr>
              <w:t>Page 3</w:t>
            </w:r>
          </w:p>
        </w:tc>
        <w:tc>
          <w:tcPr>
            <w:tcW w:w="121" w:type="dxa"/>
            <w:tcBorders/>
            <w:vAlign w:val="bottom"/>
          </w:tcPr>
          <w:p>
            <w:pPr>
              <w:pStyle w:val="TableContents"/>
              <w:bidi w:val="0"/>
              <w:spacing w:before="0" w:after="283"/>
              <w:jc w:val="left"/>
              <w:rPr/>
            </w:pPr>
            <w:r>
              <w:rPr/>
              <w:t>  </w:t>
            </w:r>
          </w:p>
        </w:tc>
        <w:tc>
          <w:tcPr>
            <w:tcW w:w="4919" w:type="dxa"/>
            <w:tcBorders/>
          </w:tcPr>
          <w:p>
            <w:pPr>
              <w:pStyle w:val="TableContents"/>
              <w:bidi w:val="0"/>
              <w:spacing w:before="0" w:after="283"/>
              <w:jc w:val="right"/>
              <w:rPr/>
            </w:pPr>
            <w:r>
              <w:rPr/>
              <w:drawing>
                <wp:inline distT="0" distB="0" distL="0" distR="0">
                  <wp:extent cx="581025"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1025" cy="68580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Very truly yours,</w:t>
            </w:r>
          </w:p>
        </w:tc>
      </w:tr>
      <w:tr>
        <w:trPr>
          <w:trHeight w:val="24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Mintz, Levin, Cohn, Ferris, Glovsky and Popeo, P.C.</w:t>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Mintz, Levin, Cohn, Ferris, Glovsky and Popeo, P.C.</w:t>
            </w:r>
          </w:p>
        </w:tc>
      </w:tr>
    </w:tbl>
    <w:p>
      <w:pPr>
        <w:pStyle w:val="TextBody"/>
        <w:bidi w:val="0"/>
        <w:spacing w:before="0" w:after="0"/>
        <w:jc w:val="right"/>
        <w:rPr>
          <w:rFonts w:ascii="Times New Roman" w:hAnsi="Times New Roman"/>
          <w:b/>
          <w:sz w:val="20"/>
        </w:rPr>
      </w:pPr>
      <w:bookmarkStart w:id="6" w:name="d788679dex991.htm"/>
      <w:bookmarkStart w:id="7" w:name="ksd788679dex991"/>
      <w:bookmarkEnd w:id="6"/>
      <w:bookmarkEnd w:id="7"/>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Exagen Inc. Announces Proposed Public Offering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CARLSBAD, Calif., May 7, 2025 (GLOBE NEWSWIRE)  Exagen Inc. (Nasdaq: XGN), a leading provider of autoimmune testing solutions, today announced that it has commenced an underwritten public offering of shares of its common stock. In connection with the offering, Exagen intends to grant the underwriter a 30-day option to purchase up to an additional 15% of the shares of common stock offered in the public offering. All of the shares of common stock to be sold in the offering will be sold by Exagen. The offering is subject to market and other conditions, and there can be no assurance as to whether or when the offering may be completed, or as to the actual size or terms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Canaccord Genuity is acting as sole bookrunner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public offering will be made pursuant to a shelf registration statement on Form S-3 (including a base prospectus) that was filed with the Securities and Exchange Commission (the SEC) on November 17, 2023, as amended on November 27, 2023, and declared effective by the SEC on November 29, 2023. A preliminary prospectus supplement relating to and describing the terms of the offering will be filed with the SEC and will be available on the SECs website located at http://www.sec.gov. The offering is being made only by means of a prospectus and related prospectus supplement, copies of which may be obtained from Canaccord Genuity LLC, Attention: Syndication Department, 1 Post Office Square, Suite 3000, Boston, MA 02109, or by email at prospectus@cgf.com. The final terms of the offering will be disclosed in a final prospectus supplement to be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a solicitation of an offer to buy, nor will there be any sale of these securities in any state or other jurisdiction in which such an offer, solicitation or sale would be unlawful prior to the registration or qualification under the securities laws of any such state or 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Exagen </w:t>
      </w:r>
    </w:p>
    <w:p>
      <w:pPr>
        <w:pStyle w:val="TextBody"/>
        <w:bidi w:val="0"/>
        <w:spacing w:before="120" w:after="0"/>
        <w:jc w:val="left"/>
        <w:rPr>
          <w:rFonts w:ascii="Times New Roman" w:hAnsi="Times New Roman"/>
          <w:sz w:val="20"/>
        </w:rPr>
      </w:pPr>
      <w:r>
        <w:rPr>
          <w:rFonts w:ascii="Times New Roman" w:hAnsi="Times New Roman"/>
          <w:sz w:val="20"/>
        </w:rPr>
        <w:t xml:space="preserve">Exagen Inc. (Nasdaq: XGN) is a leading provider of autoimmune diagnostics, committed to transforming care for patients with chronic and debilitating autoimmune conditions. Based in San Diego County, California, Exagens mission is to provide clarity in autoimmune disease decision making and improve clinical outcomes through its innovative testing portfolio. The Companys flagship product, AVISE® CTD, enables clinicians to more effectively diagnose complex autoimmune conditions such as lupus, rheumatoid arthritis, and Sjögrens syndrome earlier and with greater accuracy. Exagens laboratory specializes in the testing of rheumatic diseases, delivering precise and timely results, supported by a full suite of AVISE®-branded tests for disease diagnosis, prognosis, and monitoring. With a focus on research, innovation, education, and patient-centered care, Exagen is dedicated to addressing the ongoing challenges of autoimmune disease management.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visit Exagen.com or follow @ExagenInc on X.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uncertainties related to market conditions and the completion of the public offering on the anticipated terms or at all and other risks and uncertainties that are described under the heading Risk Factors in Exagens preliminary prospectus supplement to be filed with the SEC, Exagens Annual Report on Form 10-K for the year ended December 31, 2024, filed with the SEC on March 11, 2025 and any subsequent filings with the SEC. The inclusion of forward-looking statements should not be regarded as a representation by Exagen that any of its plans will be achieved.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240" w:after="0"/>
        <w:jc w:val="left"/>
        <w:rPr>
          <w:rFonts w:ascii="Times New Roman" w:hAnsi="Times New Roman"/>
          <w:b/>
          <w:sz w:val="20"/>
        </w:rPr>
      </w:pPr>
      <w:r>
        <w:rPr>
          <w:rFonts w:ascii="Times New Roman" w:hAnsi="Times New Roman"/>
          <w:b/>
          <w:sz w:val="20"/>
        </w:rPr>
        <w:t xml:space="preserve">Contact: </w:t>
      </w:r>
    </w:p>
    <w:p>
      <w:pPr>
        <w:pStyle w:val="TextBody"/>
        <w:bidi w:val="0"/>
        <w:spacing w:before="0" w:after="0"/>
        <w:jc w:val="left"/>
        <w:rPr>
          <w:rFonts w:ascii="Times New Roman" w:hAnsi="Times New Roman"/>
          <w:sz w:val="20"/>
        </w:rPr>
      </w:pPr>
      <w:r>
        <w:rPr>
          <w:rFonts w:ascii="Times New Roman" w:hAnsi="Times New Roman"/>
          <w:sz w:val="20"/>
        </w:rPr>
        <w:t xml:space="preserve">Ryan Douglas </w:t>
      </w:r>
    </w:p>
    <w:p>
      <w:pPr>
        <w:pStyle w:val="TextBody"/>
        <w:bidi w:val="0"/>
        <w:spacing w:before="0" w:after="0"/>
        <w:jc w:val="left"/>
        <w:rPr>
          <w:rFonts w:ascii="Times New Roman" w:hAnsi="Times New Roman"/>
          <w:sz w:val="20"/>
        </w:rPr>
      </w:pPr>
      <w:r>
        <w:rPr>
          <w:rFonts w:ascii="Times New Roman" w:hAnsi="Times New Roman"/>
          <w:sz w:val="20"/>
        </w:rPr>
        <w:t xml:space="preserve">Exagen Inc. </w:t>
      </w:r>
    </w:p>
    <w:p>
      <w:pPr>
        <w:pStyle w:val="TextBody"/>
        <w:bidi w:val="0"/>
        <w:spacing w:before="0" w:after="0"/>
        <w:jc w:val="left"/>
        <w:rPr>
          <w:rFonts w:ascii="Times New Roman" w:hAnsi="Times New Roman"/>
          <w:sz w:val="20"/>
        </w:rPr>
      </w:pPr>
      <w:r>
        <w:rPr>
          <w:rFonts w:ascii="Times New Roman" w:hAnsi="Times New Roman"/>
          <w:sz w:val="20"/>
          <w:u w:val="single"/>
        </w:rPr>
        <w:t>ir@exagen.com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760.560.1525 </w:t>
      </w:r>
    </w:p>
    <w:p>
      <w:pPr>
        <w:pStyle w:val="TextBody"/>
        <w:bidi w:val="0"/>
        <w:spacing w:before="0" w:after="0"/>
        <w:jc w:val="right"/>
        <w:rPr>
          <w:rFonts w:ascii="Times New Roman" w:hAnsi="Times New Roman"/>
          <w:b/>
          <w:sz w:val="20"/>
        </w:rPr>
      </w:pPr>
      <w:bookmarkStart w:id="8" w:name="d788679dex992.htm"/>
      <w:bookmarkStart w:id="9" w:name="ksd788679dex992"/>
      <w:bookmarkEnd w:id="8"/>
      <w:bookmarkEnd w:id="9"/>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Exagen Inc. Prices Public Offering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CARLSBAD, Calif., May 8, 2025 (GLOBE NEWSWIRE)  Exagen Inc. (Nasdaq: XGN), a leading provider of autoimmune testing solutions, today announced the pricing of its previously announced underwritten public offering of 3,350,000 shares of its common stock at a public offering price of $5.25 per share in the offering will be sold by Exagen, with gross proceeds to Exagen expected to be $17,587,500 before deducting underwriting discounts and commissions and offering expenses. Exagen has granted the underwriters a 30-day option to purchase up to an additional 502,500 shares on the same terms and conditions. The offering is expected to close on May 9, 2025,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Canaccord Genuity is acting as sole bookrunner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public offering is being made pursuant to a shelf registration statement on Form S-3 (including a base prospectus) that was previously filed with the Securities and Exchange Commission (the SEC) on November 17, 2023, as amended on November 27, 2023, and declared effective by the SEC on November 29, 2023. A preliminary prospectus supplement relating to and describing the terms of the offering has been filed with the SEC and is available on the SECs website located at http://www.sec.gov. Copies of the final prospectus supplement and the accompanying prospectus relating to this offering, when available, can be obtained from Canaccord Genuity LLC, Attention: Syndication Department, 1 Post Office Square, Suite 3000, Boston, MA 02109, or by email at prospectus@cgf.com.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a solicitation of an offer to buy, nor will there be any sale of these securities in any state or other jurisdiction in which such an offer, solicitation or sale would be unlawful prior to the registration or qualification under the securities laws of any such state or 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Exagen </w:t>
      </w:r>
    </w:p>
    <w:p>
      <w:pPr>
        <w:pStyle w:val="TextBody"/>
        <w:bidi w:val="0"/>
        <w:spacing w:before="120" w:after="0"/>
        <w:jc w:val="left"/>
        <w:rPr>
          <w:rFonts w:ascii="Times New Roman" w:hAnsi="Times New Roman"/>
          <w:sz w:val="20"/>
        </w:rPr>
      </w:pPr>
      <w:r>
        <w:rPr>
          <w:rFonts w:ascii="Times New Roman" w:hAnsi="Times New Roman"/>
          <w:sz w:val="20"/>
        </w:rPr>
        <w:t xml:space="preserve">Exagen Inc. (Nasdaq: XGN) is a leading provider of autoimmune diagnostics, committed to transforming care for patients with chronic and debilitating autoimmune conditions. Based in San Diego County, California, Exagens mission is to provide clarity in autoimmune disease decision making and improve clinical outcomes through its innovative testing portfolio. The Companys flagship product, AVISE® CTD, enables clinicians to more effectively diagnose complex autoimmune conditions such as lupus, rheumatoid arthritis, and Sjögrens syndrome earlier and with greater accuracy. Exagens laboratory specializes in the testing of rheumatic diseases, delivering precise and timely results, supported by a full suite of AVISE®-branded tests for disease diagnosis, prognosis, and monitoring. With a focus on research, innovation, education, and patient-centered care, Exagen is dedicated to addressing the ongoing challenges of autoimmune disease management. For more information, please visit Exagen.com or follow @ExagenInc on X.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the completion of the public offering and other risks and uncertainties that are described under the heading Risk Factors in Exagens preliminary prospectus filed with the SEC on May 7, 2025, Exagens Annual Report on Form 10-K for the year ended December 31, 2024, filed with the SEC on March 11, 2025 and any subsequent filings with the SEC. The inclusion of forward-looking statements should not be regarded as a representation by Exagen that any of its plans will be achieved.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240" w:after="0"/>
        <w:jc w:val="left"/>
        <w:rPr>
          <w:rFonts w:ascii="Times New Roman" w:hAnsi="Times New Roman"/>
          <w:b/>
          <w:sz w:val="20"/>
        </w:rPr>
      </w:pPr>
      <w:r>
        <w:rPr>
          <w:rFonts w:ascii="Times New Roman" w:hAnsi="Times New Roman"/>
          <w:b/>
          <w:sz w:val="20"/>
        </w:rPr>
        <w:t xml:space="preserve">Contact: </w:t>
      </w:r>
    </w:p>
    <w:p>
      <w:pPr>
        <w:pStyle w:val="TextBody"/>
        <w:bidi w:val="0"/>
        <w:spacing w:before="0" w:after="0"/>
        <w:jc w:val="left"/>
        <w:rPr>
          <w:rFonts w:ascii="Times New Roman" w:hAnsi="Times New Roman"/>
          <w:sz w:val="20"/>
        </w:rPr>
      </w:pPr>
      <w:r>
        <w:rPr>
          <w:rFonts w:ascii="Times New Roman" w:hAnsi="Times New Roman"/>
          <w:sz w:val="20"/>
        </w:rPr>
        <w:t xml:space="preserve">Ryan Douglas </w:t>
      </w:r>
    </w:p>
    <w:p>
      <w:pPr>
        <w:pStyle w:val="TextBody"/>
        <w:bidi w:val="0"/>
        <w:spacing w:before="0" w:after="0"/>
        <w:jc w:val="left"/>
        <w:rPr>
          <w:rFonts w:ascii="Times New Roman" w:hAnsi="Times New Roman"/>
          <w:sz w:val="20"/>
        </w:rPr>
      </w:pPr>
      <w:r>
        <w:rPr>
          <w:rFonts w:ascii="Times New Roman" w:hAnsi="Times New Roman"/>
          <w:sz w:val="20"/>
        </w:rPr>
        <w:t xml:space="preserve">Exagen Inc. </w:t>
      </w:r>
    </w:p>
    <w:p>
      <w:pPr>
        <w:pStyle w:val="TextBody"/>
        <w:bidi w:val="0"/>
        <w:spacing w:before="0" w:after="0"/>
        <w:jc w:val="left"/>
        <w:rPr>
          <w:rFonts w:ascii="Times New Roman" w:hAnsi="Times New Roman"/>
          <w:sz w:val="20"/>
        </w:rPr>
      </w:pPr>
      <w:r>
        <w:rPr>
          <w:rFonts w:ascii="Times New Roman" w:hAnsi="Times New Roman"/>
          <w:sz w:val="20"/>
          <w:u w:val="single"/>
        </w:rPr>
        <w:t>ir@exagen.com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760.560.1525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22946</Words>
  <Characters>120434</Characters>
  <CharactersWithSpaces>142894</CharactersWithSpaces>
  <Paragraphs>497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