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November 27, 2023</w:t>
      </w:r>
    </w:p>
    <w:p>
      <w:pPr>
        <w:spacing w:after="0" w:line="25"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Registration Statement No. 333-275632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52070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PRE-EFFECTIVE AMENDMENT NO. 1</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TO</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18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28"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60325</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EXAGEN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62230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8071</w:t>
            </w:r>
          </w:p>
        </w:tc>
        <w:tc>
          <w:tcPr>
            <w:tcW w:w="80" w:type="dxa"/>
            <w:vAlign w:val="bottom"/>
          </w:tcPr>
          <w:p>
            <w:pPr>
              <w:spacing w:after="0"/>
              <w:rPr>
                <w:sz w:val="18"/>
                <w:szCs w:val="18"/>
                <w:color w:val="auto"/>
              </w:rPr>
            </w:pPr>
          </w:p>
        </w:tc>
        <w:tc>
          <w:tcPr>
            <w:tcW w:w="3620" w:type="dxa"/>
            <w:vAlign w:val="bottom"/>
          </w:tcPr>
          <w:p>
            <w:pPr>
              <w:jc w:val="right"/>
              <w:ind w:right="1348"/>
              <w:spacing w:after="0"/>
              <w:rPr>
                <w:sz w:val="20"/>
                <w:szCs w:val="20"/>
                <w:color w:val="auto"/>
              </w:rPr>
            </w:pPr>
            <w:r>
              <w:rPr>
                <w:rFonts w:ascii="Times New Roman" w:cs="Times New Roman" w:eastAsia="Times New Roman" w:hAnsi="Times New Roman"/>
                <w:sz w:val="16"/>
                <w:szCs w:val="16"/>
                <w:b w:val="1"/>
                <w:bCs w:val="1"/>
                <w:color w:val="auto"/>
              </w:rPr>
              <w:t>20-0434866</w:t>
            </w:r>
          </w:p>
        </w:tc>
      </w:tr>
      <w:tr>
        <w:trPr>
          <w:trHeight w:val="127"/>
        </w:trPr>
        <w:tc>
          <w:tcPr>
            <w:tcW w:w="37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80" w:type="dxa"/>
            <w:vAlign w:val="bottom"/>
          </w:tcPr>
          <w:p>
            <w:pPr>
              <w:spacing w:after="0"/>
              <w:rPr>
                <w:sz w:val="11"/>
                <w:szCs w:val="11"/>
                <w:color w:val="auto"/>
              </w:rPr>
            </w:pPr>
          </w:p>
        </w:tc>
        <w:tc>
          <w:tcPr>
            <w:tcW w:w="374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3"/>
                <w:szCs w:val="13"/>
                <w:color w:val="auto"/>
                <w:w w:val="96"/>
              </w:rPr>
              <w:t>(Primary Standard Industrial</w:t>
            </w:r>
          </w:p>
        </w:tc>
        <w:tc>
          <w:tcPr>
            <w:tcW w:w="80" w:type="dxa"/>
            <w:vAlign w:val="bottom"/>
          </w:tcPr>
          <w:p>
            <w:pPr>
              <w:spacing w:after="0"/>
              <w:rPr>
                <w:sz w:val="11"/>
                <w:szCs w:val="11"/>
                <w:color w:val="auto"/>
              </w:rPr>
            </w:pPr>
          </w:p>
        </w:tc>
        <w:tc>
          <w:tcPr>
            <w:tcW w:w="3620" w:type="dxa"/>
            <w:vAlign w:val="bottom"/>
            <w:tcBorders>
              <w:top w:val="single" w:sz="8" w:color="auto"/>
            </w:tcBorders>
          </w:tcPr>
          <w:p>
            <w:pPr>
              <w:spacing w:after="0"/>
              <w:rPr>
                <w:sz w:val="11"/>
                <w:szCs w:val="11"/>
                <w:color w:val="auto"/>
              </w:rPr>
            </w:pPr>
          </w:p>
        </w:tc>
      </w:tr>
      <w:tr>
        <w:trPr>
          <w:trHeight w:val="164"/>
        </w:trPr>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Classification Code Number)</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1261 Liberty Way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Vista, California 92081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(760) 560-1501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54610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John Aballi</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Exagen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1261 Liberty Way</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Vista, California 92081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(760) 560-1501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53340</wp:posOffset>
            </wp:positionV>
            <wp:extent cx="119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Scott M. Stanton, Esq.</w:t>
      </w:r>
    </w:p>
    <w:p>
      <w:pPr>
        <w:spacing w:after="0" w:line="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Melanie Ruthrauff Levy, Esq.</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Jason Miller, Esq.</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Mintz, Levin, Cohn, Ferris, Glovsky and Popeo, P.C.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Diego, CA 92130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(858) 314-1500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5"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240"/>
        <w:spacing w:after="0" w:line="213"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right="160"/>
        <w:spacing w:after="0" w:line="21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right="1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ind w:right="160"/>
        <w:spacing w:after="0" w:line="21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86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6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3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6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0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5"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637" w:right="339" w:bottom="612" w:gutter="0" w:footer="0" w:header="0"/>
        </w:sectPr>
      </w:pPr>
    </w:p>
    <w:bookmarkStart w:id="1" w:name="page2"/>
    <w:bookmarkEnd w:id="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have an existing shelf registration statement on Form S-3, File No. 333-250015, which initially became effective on November 19, 2020, or the Prior Registration Statement. In accordance with Rule 415(a)(6), the offering of securities on the Prior Registration Statement will be deemed terminated as of the date of effectiveness of this registration statement. One of the offerings registered under the Prior Registration Statement is the offering of our common stock under a sales agreement, dated as of September 15, 2022, as amended on November 17, 2023, or the Sales Agreement, we entered into with Cowen and Company, LLC, or TD Cowen, as sales agent. In accordance with the terms of the Sales Agreement, we may offer and sell our common stock having an aggregate offering price of up to $50.0 million from time to time through TD Cowen, acting as sales agent. As of the date of this prospectus, we had issued and sold no shares of common stock pursuant to the Sales Agreement under the Prior Registration Statement, which results in up to $50.0 million of shares of our common stock that may be sold under the Sales Agreement.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this registration statement contains:</w:t>
      </w:r>
    </w:p>
    <w:p>
      <w:pPr>
        <w:spacing w:after="0" w:line="171" w:lineRule="exact"/>
        <w:rPr>
          <w:sz w:val="20"/>
          <w:szCs w:val="20"/>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up to $150.0 million in the aggregate of the securities identified above from time to time in one or more offerings;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covering the offering, issuance and sale by us of up to a maximum aggregate offering price of $10.2 million of shares of our common stock that may be issued and sold from time to time under the Sales Agreement.</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a prospectus supplement to the base prospectus. The specific terms of the securities to be issued and sold under the Sales Agreement are specified in the sales agreement prospectus that immediately follows the base prospectus. The $10.2 million of shares of common stock that may be offered, issued and sold under the sales agreement prospectus is included in the $150.0 million of securities that may be offered, issued and sold by us under the base prospectus.</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Subject to Completion, dated November 27,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36195</wp:posOffset>
            </wp:positionV>
            <wp:extent cx="2263140" cy="831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Preferred Stock</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Warrants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Units</w:t>
      </w:r>
    </w:p>
    <w:p>
      <w:pPr>
        <w:spacing w:after="0" w:line="1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offer and sell up to $150.0 million in the aggregate of the securities identified above from time to time in one or more offerings. This prospectus provides you with a general description of the securities.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“XGN.” On November 24, 2023, the last reported sale price of our common stock on The Nasdaq Global Market was $1.55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$30.7 million, which was calculated based on 12,832,888 shares of our common stock outstanding held by non-affiliates and a price of $2.39 per share, the closing price of our common stock on October 2, 2023. As of the date of this prospectus, we have not sold any securities pursuant to General Instruction I.B.6 of Form S-3 during the 12 calendar months prior to, and including, the date of this prospectus.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w:t>
      </w:r>
    </w:p>
    <w:p>
      <w:pPr>
        <w:spacing w:after="0" w:line="13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1" w:lineRule="exact"/>
        <w:rPr>
          <w:sz w:val="20"/>
          <w:szCs w:val="20"/>
          <w:color w:val="auto"/>
        </w:rPr>
      </w:pPr>
    </w:p>
    <w:tbl>
      <w:tblPr>
        <w:tblLayout w:type="fixed"/>
        <w:tblInd w:w="400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ectPr>
          <w:pgSz w:w="11900" w:h="16838" w:orient="portrait"/>
          <w:cols w:equalWidth="0" w:num="1">
            <w:col w:w="11240"/>
          </w:cols>
          <w:pgMar w:left="320" w:top="765" w:right="339" w:bottom="1440" w:gutter="0" w:footer="0" w:header="0"/>
        </w:sectPr>
      </w:pPr>
    </w:p>
    <w:bookmarkStart w:id="3" w:name="page4"/>
    <w:bookmarkEnd w:id="3"/>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8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8"/>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10"/>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860" w:type="dxa"/>
            <w:vAlign w:val="bottom"/>
            <w:gridSpan w:val="6"/>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180" w:type="dxa"/>
            <w:vAlign w:val="bottom"/>
          </w:tcPr>
          <w:p>
            <w:pPr>
              <w:spacing w:after="0"/>
              <w:rPr>
                <w:sz w:val="22"/>
                <w:szCs w:val="22"/>
                <w:color w:val="auto"/>
              </w:rPr>
            </w:pPr>
          </w:p>
        </w:tc>
        <w:tc>
          <w:tcPr>
            <w:tcW w:w="8120" w:type="dxa"/>
            <w:vAlign w:val="bottom"/>
            <w:gridSpan w:val="8"/>
          </w:tcPr>
          <w:p>
            <w:pPr>
              <w:spacing w:after="0"/>
              <w:rPr>
                <w:sz w:val="22"/>
                <w:szCs w:val="22"/>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6"/>
          </w:tcPr>
          <w:p>
            <w:pPr>
              <w:spacing w:after="0"/>
              <w:rPr>
                <w:sz w:val="22"/>
                <w:szCs w:val="22"/>
                <w:color w:val="auto"/>
              </w:rPr>
            </w:pPr>
          </w:p>
        </w:tc>
        <w:tc>
          <w:tcPr>
            <w:tcW w:w="8300" w:type="dxa"/>
            <w:vAlign w:val="bottom"/>
            <w:gridSpan w:val="9"/>
          </w:tcPr>
          <w:p>
            <w:pPr>
              <w:spacing w:after="0"/>
              <w:rPr>
                <w:sz w:val="22"/>
                <w:szCs w:val="22"/>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4200" w:type="dxa"/>
            <w:vAlign w:val="bottom"/>
            <w:gridSpan w:val="11"/>
          </w:tcPr>
          <w:p>
            <w:pPr>
              <w:spacing w:after="0"/>
              <w:rPr>
                <w:sz w:val="22"/>
                <w:szCs w:val="22"/>
                <w:color w:val="auto"/>
              </w:rPr>
            </w:pPr>
          </w:p>
        </w:tc>
        <w:tc>
          <w:tcPr>
            <w:tcW w:w="4580" w:type="dxa"/>
            <w:vAlign w:val="bottom"/>
          </w:tcPr>
          <w:p>
            <w:pPr>
              <w:spacing w:after="0"/>
              <w:rPr>
                <w:sz w:val="22"/>
                <w:szCs w:val="22"/>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8780" w:type="dxa"/>
            <w:vAlign w:val="bottom"/>
            <w:gridSpan w:val="12"/>
          </w:tcPr>
          <w:p>
            <w:pPr>
              <w:spacing w:after="0"/>
              <w:rPr>
                <w:sz w:val="22"/>
                <w:szCs w:val="22"/>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6"/>
          </w:tcPr>
          <w:p>
            <w:pPr>
              <w:spacing w:after="0"/>
              <w:rPr>
                <w:sz w:val="22"/>
                <w:szCs w:val="22"/>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0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40" w:type="dxa"/>
            <w:vAlign w:val="bottom"/>
            <w:gridSpan w:val="5"/>
          </w:tcPr>
          <w:p>
            <w:pPr>
              <w:spacing w:after="0"/>
              <w:rPr>
                <w:sz w:val="22"/>
                <w:szCs w:val="22"/>
                <w:color w:val="auto"/>
              </w:rPr>
            </w:pPr>
          </w:p>
        </w:tc>
        <w:tc>
          <w:tcPr>
            <w:tcW w:w="660" w:type="dxa"/>
            <w:vAlign w:val="bottom"/>
            <w:gridSpan w:val="3"/>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4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7880" w:type="dxa"/>
            <w:vAlign w:val="bottom"/>
            <w:gridSpan w:val="7"/>
          </w:tcPr>
          <w:p>
            <w:pPr>
              <w:spacing w:after="0"/>
              <w:rPr>
                <w:sz w:val="22"/>
                <w:szCs w:val="22"/>
                <w:color w:val="auto"/>
              </w:rPr>
            </w:pPr>
          </w:p>
        </w:tc>
        <w:tc>
          <w:tcPr>
            <w:tcW w:w="660" w:type="dxa"/>
            <w:vAlign w:val="bottom"/>
            <w:gridSpan w:val="3"/>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GLOBAL SECURITIES</w:t>
            </w:r>
          </w:p>
        </w:tc>
        <w:tc>
          <w:tcPr>
            <w:tcW w:w="8340" w:type="dxa"/>
            <w:vAlign w:val="bottom"/>
            <w:gridSpan w:val="10"/>
          </w:tcPr>
          <w:p>
            <w:pPr>
              <w:spacing w:after="0"/>
              <w:rPr>
                <w:sz w:val="22"/>
                <w:szCs w:val="22"/>
                <w:color w:val="auto"/>
              </w:rPr>
            </w:pPr>
          </w:p>
        </w:tc>
        <w:tc>
          <w:tcPr>
            <w:tcW w:w="660" w:type="dxa"/>
            <w:vAlign w:val="bottom"/>
            <w:gridSpan w:val="3"/>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300" w:type="dxa"/>
            <w:vAlign w:val="bottom"/>
            <w:gridSpan w:val="9"/>
          </w:tcPr>
          <w:p>
            <w:pPr>
              <w:spacing w:after="0"/>
              <w:rPr>
                <w:sz w:val="22"/>
                <w:szCs w:val="22"/>
                <w:color w:val="auto"/>
              </w:rPr>
            </w:pPr>
          </w:p>
        </w:tc>
        <w:tc>
          <w:tcPr>
            <w:tcW w:w="660" w:type="dxa"/>
            <w:vAlign w:val="bottom"/>
            <w:gridSpan w:val="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22"/>
                <w:szCs w:val="22"/>
                <w:color w:val="auto"/>
              </w:rPr>
            </w:pPr>
          </w:p>
        </w:tc>
        <w:tc>
          <w:tcPr>
            <w:tcW w:w="8900" w:type="dxa"/>
            <w:vAlign w:val="bottom"/>
            <w:gridSpan w:val="13"/>
          </w:tcPr>
          <w:p>
            <w:pPr>
              <w:spacing w:after="0"/>
              <w:rPr>
                <w:sz w:val="22"/>
                <w:szCs w:val="22"/>
                <w:color w:val="auto"/>
              </w:rPr>
            </w:pPr>
          </w:p>
        </w:tc>
        <w:tc>
          <w:tcPr>
            <w:tcW w:w="660" w:type="dxa"/>
            <w:vAlign w:val="bottom"/>
            <w:gridSpan w:val="3"/>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3"/>
          </w:tcPr>
          <w:p>
            <w:pPr>
              <w:spacing w:after="0"/>
              <w:rPr>
                <w:sz w:val="22"/>
                <w:szCs w:val="22"/>
                <w:color w:val="auto"/>
              </w:rPr>
            </w:pPr>
          </w:p>
        </w:tc>
        <w:tc>
          <w:tcPr>
            <w:tcW w:w="660" w:type="dxa"/>
            <w:vAlign w:val="bottom"/>
            <w:gridSpan w:val="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INCORPORATION OF DOCUMENTS BY REFERENCE</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60" w:type="dxa"/>
            <w:vAlign w:val="bottom"/>
            <w:gridSpan w:val="10"/>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610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S-1</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60" w:type="dxa"/>
            <w:vAlign w:val="bottom"/>
            <w:gridSpan w:val="10"/>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1380" w:type="dxa"/>
            <w:vAlign w:val="bottom"/>
            <w:gridSpan w:val="5"/>
          </w:tcPr>
          <w:p>
            <w:pPr>
              <w:spacing w:after="0"/>
              <w:rPr>
                <w:sz w:val="22"/>
                <w:szCs w:val="22"/>
                <w:color w:val="auto"/>
              </w:rPr>
            </w:pPr>
          </w:p>
        </w:tc>
        <w:tc>
          <w:tcPr>
            <w:tcW w:w="6920" w:type="dxa"/>
            <w:vAlign w:val="bottom"/>
            <w:gridSpan w:val="4"/>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S-2</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0" w:type="dxa"/>
            <w:vAlign w:val="bottom"/>
            <w:tcBorders>
              <w:left w:val="single" w:sz="8" w:color="0000FF"/>
            </w:tcBorders>
            <w:gridSpan w:val="7"/>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300" w:type="dxa"/>
            <w:vAlign w:val="bottom"/>
            <w:gridSpan w:val="9"/>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S-4</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980" w:type="dxa"/>
            <w:vAlign w:val="bottom"/>
            <w:gridSpan w:val="12"/>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Pr>
          <w:p>
            <w:pPr>
              <w:spacing w:after="0"/>
              <w:rPr>
                <w:sz w:val="22"/>
                <w:szCs w:val="22"/>
                <w:color w:val="auto"/>
              </w:rPr>
            </w:pPr>
          </w:p>
        </w:tc>
        <w:tc>
          <w:tcPr>
            <w:tcW w:w="9080" w:type="dxa"/>
            <w:vAlign w:val="bottom"/>
            <w:gridSpan w:val="14"/>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S-5</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0" w:type="dxa"/>
            <w:vAlign w:val="bottom"/>
            <w:gridSpan w:val="13"/>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S-7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400" w:type="dxa"/>
            <w:vAlign w:val="bottom"/>
            <w:gridSpan w:val="14"/>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4200" w:type="dxa"/>
            <w:vAlign w:val="bottom"/>
            <w:gridSpan w:val="11"/>
          </w:tcPr>
          <w:p>
            <w:pPr>
              <w:spacing w:after="0"/>
              <w:rPr>
                <w:sz w:val="22"/>
                <w:szCs w:val="22"/>
                <w:color w:val="auto"/>
              </w:rPr>
            </w:pPr>
          </w:p>
        </w:tc>
        <w:tc>
          <w:tcPr>
            <w:tcW w:w="4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S-9</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680" w:type="dxa"/>
            <w:vAlign w:val="bottom"/>
            <w:tcBorders>
              <w:left w:val="single" w:sz="8" w:color="0000FF"/>
            </w:tcBorders>
            <w:gridSpan w:val="1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8780" w:type="dxa"/>
            <w:vAlign w:val="bottom"/>
            <w:gridSpan w:val="12"/>
          </w:tcPr>
          <w:p>
            <w:pPr>
              <w:spacing w:after="0"/>
              <w:rPr>
                <w:sz w:val="22"/>
                <w:szCs w:val="22"/>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S-10</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400" w:type="dxa"/>
            <w:vAlign w:val="bottom"/>
            <w:gridSpan w:val="14"/>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300" w:type="dxa"/>
            <w:vAlign w:val="bottom"/>
            <w:gridSpan w:val="9"/>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S-12</w:t>
            </w:r>
          </w:p>
        </w:tc>
        <w:tc>
          <w:tcPr>
            <w:tcW w:w="0" w:type="dxa"/>
            <w:vAlign w:val="bottom"/>
          </w:tcPr>
          <w:p>
            <w:pPr>
              <w:spacing w:after="0"/>
              <w:rPr>
                <w:sz w:val="1"/>
                <w:szCs w:val="1"/>
                <w:color w:val="auto"/>
              </w:rPr>
            </w:pPr>
          </w:p>
        </w:tc>
      </w:tr>
      <w:tr>
        <w:trPr>
          <w:trHeight w:val="20"/>
        </w:trPr>
        <w:tc>
          <w:tcPr>
            <w:tcW w:w="2060" w:type="dxa"/>
            <w:vAlign w:val="bottom"/>
            <w:gridSpan w:val="9"/>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9"/>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S-13</w:t>
            </w:r>
          </w:p>
        </w:tc>
        <w:tc>
          <w:tcPr>
            <w:tcW w:w="0" w:type="dxa"/>
            <w:vAlign w:val="bottom"/>
          </w:tcPr>
          <w:p>
            <w:pPr>
              <w:spacing w:after="0"/>
              <w:rPr>
                <w:sz w:val="1"/>
                <w:szCs w:val="1"/>
                <w:color w:val="auto"/>
              </w:rPr>
            </w:pPr>
          </w:p>
        </w:tc>
      </w:tr>
      <w:tr>
        <w:trPr>
          <w:trHeight w:val="20"/>
        </w:trPr>
        <w:tc>
          <w:tcPr>
            <w:tcW w:w="1460" w:type="dxa"/>
            <w:vAlign w:val="bottom"/>
            <w:gridSpan w:val="5"/>
            <w:shd w:val="clear" w:color="auto" w:fill="0000FF"/>
          </w:tcPr>
          <w:p>
            <w:pPr>
              <w:spacing w:after="0" w:line="20" w:lineRule="exact"/>
              <w:rPr>
                <w:sz w:val="1"/>
                <w:szCs w:val="1"/>
                <w:color w:val="auto"/>
              </w:rPr>
            </w:pPr>
          </w:p>
        </w:tc>
        <w:tc>
          <w:tcPr>
            <w:tcW w:w="2800" w:type="dxa"/>
            <w:vAlign w:val="bottom"/>
            <w:gridSpan w:val="11"/>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22"/>
                <w:szCs w:val="22"/>
                <w:color w:val="auto"/>
              </w:rPr>
            </w:pPr>
          </w:p>
        </w:tc>
        <w:tc>
          <w:tcPr>
            <w:tcW w:w="8900" w:type="dxa"/>
            <w:vAlign w:val="bottom"/>
            <w:gridSpan w:val="13"/>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80" w:type="dxa"/>
            <w:vAlign w:val="bottom"/>
            <w:gridSpan w:val="15"/>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3"/>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S-13</w:t>
            </w:r>
          </w:p>
        </w:tc>
        <w:tc>
          <w:tcPr>
            <w:tcW w:w="0" w:type="dxa"/>
            <w:vAlign w:val="bottom"/>
          </w:tcPr>
          <w:p>
            <w:pPr>
              <w:spacing w:after="0"/>
              <w:rPr>
                <w:sz w:val="1"/>
                <w:szCs w:val="1"/>
                <w:color w:val="auto"/>
              </w:rPr>
            </w:pPr>
          </w:p>
        </w:tc>
      </w:tr>
      <w:tr>
        <w:trPr>
          <w:trHeight w:val="20"/>
        </w:trPr>
        <w:tc>
          <w:tcPr>
            <w:tcW w:w="3820" w:type="dxa"/>
            <w:vAlign w:val="bottom"/>
            <w:gridSpan w:val="1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INCORPORATION OF DOCUMENTS BY REFERENCE</w:t>
            </w: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S-14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4" w:name="page5"/>
    <w:bookmarkEnd w:id="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Documents by Reference.”</w:t>
      </w:r>
    </w:p>
    <w:p>
      <w:pPr>
        <w:spacing w:after="0" w:line="14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we refer to “Exagen,” “we,” “our,” “us” and the “Company” in this prospectus, we mean Exagen Inc., unless otherwise specified. When we refer to “you,” we mean the holders of the applicable series of securities.</w:t>
      </w:r>
    </w:p>
    <w:p>
      <w:pPr>
        <w:spacing w:after="0" w:line="108"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 xml:space="preserve">We use our trademarks in this prospectus as well as trademarks, tradenames and service marks that are the property of other organizations. Solely for convenience, certain trademarks and tradenames referred to in this prospectus appear without the ® and </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highlight w:val="white"/>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Exagen Inc.</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highlight w:val="white"/>
        </w:rPr>
        <w:t>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w:t>
      </w:r>
    </w:p>
    <w:p>
      <w:pPr>
        <w:spacing w:after="0" w:line="126"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highlight w:val="white"/>
        </w:rPr>
        <w:t>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highlight w:val="white"/>
        </w:rPr>
        <w:t>We perform all of our AVISE® tests in our approximately 13,000 square foot laboratory located in Vista, California, which is certified under the Clinical Laboratory Improvement Amendments of 1988, or CLIA, and accredited by the College of American Pathologist. Our laboratory is certified for performance of high-complexity testing by the Centers for Medicare &amp; Medicaid Services in accordance with CLIA and is licensed by all states requiring out-of-state licensure. Our clinical laboratory typically reports all AVISE® testing product results within five business days.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highlight w:val="white"/>
        </w:rPr>
        <w:t>For additional information related to our business and operations, please refer to the reports incorporated herein by reference, as described under the caption “</w:t>
      </w:r>
      <w:r>
        <w:rPr>
          <w:rFonts w:ascii="Times New Roman" w:cs="Times New Roman" w:eastAsia="Times New Roman" w:hAnsi="Times New Roman"/>
          <w:sz w:val="18"/>
          <w:szCs w:val="18"/>
          <w:u w:val="single" w:color="auto"/>
          <w:color w:val="0000FF"/>
          <w:highlight w:val="white"/>
        </w:rPr>
        <w:t>Incorporation of Documents by Reference</w:t>
      </w:r>
      <w:r>
        <w:rPr>
          <w:rFonts w:ascii="Times New Roman" w:cs="Times New Roman" w:eastAsia="Times New Roman" w:hAnsi="Times New Roman"/>
          <w:sz w:val="18"/>
          <w:szCs w:val="18"/>
          <w:color w:val="auto"/>
          <w:highlight w:val="white"/>
        </w:rPr>
        <w:t xml:space="preserve">” on page </w:t>
      </w:r>
      <w:r>
        <w:rPr>
          <w:rFonts w:ascii="Times New Roman" w:cs="Times New Roman" w:eastAsia="Times New Roman" w:hAnsi="Times New Roman"/>
          <w:sz w:val="18"/>
          <w:szCs w:val="18"/>
          <w:u w:val="single" w:color="auto"/>
          <w:color w:val="0000FF"/>
          <w:highlight w:val="white"/>
        </w:rPr>
        <w:t>33</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of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7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http://www.exagen.com</w:t>
      </w:r>
      <w:r>
        <w:rPr>
          <w:rFonts w:ascii="Times New Roman" w:cs="Times New Roman" w:eastAsia="Times New Roman" w:hAnsi="Times New Roman"/>
          <w:sz w:val="18"/>
          <w:szCs w:val="18"/>
          <w:color w:val="auto"/>
        </w:rPr>
        <w:t xml:space="preserve">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to purchase any of such securities, either individually or in units, with a total aggregate offering price of up to $150.0 million,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33" w:lineRule="exact"/>
        <w:rPr>
          <w:sz w:val="20"/>
          <w:szCs w:val="20"/>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22" w:lineRule="exact"/>
        <w:rPr>
          <w:sz w:val="20"/>
          <w:szCs w:val="20"/>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This prospectus may not be used to consummate a sale of any securities unless it is accompanied by a prospectus supplement.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a high degree of risk.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 Additional risks and uncertainties that we do not presently know or that we currently deem immaterial may also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spacing w:after="0" w:line="138"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expect to incur net losses in the future and we may not be able to generate sufficient revenue to achieve and maintain profitability;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manage our ongoing growth effectively, which could make it difficult to execute our business strategy;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attaining and maintaining significant market acceptance of our testing products and promoted therapeutics among rheumatologists, patients, third-party payors and others in the medical community;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sole suppliers for some of the reagents, equipment and other materials used in our testing products, and we may not be able to fund replacements or transition to alternative suppliers;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support demand for our current testing products or any of our future testing products or solutions, our business could suffer;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or achieve profitability;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testing products involves a lengthy and complex process, and we may not be able to commercialize on a timely basis, or at all, other testing products we are developing;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intellectual property protection our competitive position could be harmed;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above factors and other future events on the market price of our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this offering, if any.</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799"/>
          </w:cols>
          <w:pgMar w:left="660" w:top="1440" w:right="1440" w:bottom="1440" w:gutter="0" w:footer="0" w:header="0"/>
        </w:sectPr>
      </w:pPr>
    </w:p>
    <w:bookmarkStart w:id="11" w:name="page12"/>
    <w:bookmarkEnd w:id="1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as amended, with Innovatus Life Science Lending Fund I,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$0.001 par value per share, and 10,000,000 shares of preferred stock, $0.001 par value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2023, there were 16,931,894 shares of our common stock issued and outstanding and held of record by 33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6200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Quebec St., Greenwood Village, CO 80111.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for trading on Nasdaq under the symbol “XGN.”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2023, there were no shares of our preferred stock outstanding. 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shares of each wholly unissued series and any qualifications, limitations or restrictions thereon, and to increase or decrease the number of shares of any such series, but not below the number of shares of such series then outstanding.</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issuance of shares of each series, the board of directors is required by the General Corporation Law of the State of Delaware, or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a prospectus supplement relating to the class or series of preferred stock being offered the following terms:</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preferred stock offered, the liquidation preference per share and the offering price of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or payment date(s) or method(s) of calculation applicable to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stock will accumulate;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we specify otherwise in the applicable prospectus supplement, the preferred stock will rank, relating to dividends and upon our liquidation, dissolution or winding up:</w:t>
      </w:r>
    </w:p>
    <w:p>
      <w:pPr>
        <w:spacing w:after="0" w:line="10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stock and to all of our equity securities ranking junior to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the terms of which specifically provide that the equity securities rank on a parity with the preferred stock;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the terms of which specifically provide that the equity securities rank senior to the preferred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2023, 1,214,059 shares of our common stock were issuable upon exercise of outstanding warrants to purchase common stock with a weighted average exercise price of $1.70 per share.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party to an investors' rights agreement between certain common stockholders and holders of warrants to purchase shares of common stock, pursuant to which those holders are, as of the date of this prospectus, entitled to certain piggyback and demand registration rights with respect to the registration of such shares under the Securities Act. We filed a registration statement on Form S-3 with the SEC on November 10, 2020 in connection with these obligations. In connection with the registration rights, we are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disadvantages of discouraging these proposals because negotiation of these proposals could result in an improvement of their terms.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only by our chairman of the board, chief executive officer or president, or by a resolution adopted by a majority of our board of directors.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Certificate of Incorporation and Bylaws eliminate the right of stockholders to act by written consent without a meeting.</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Certificate of Incorporation or Bylaws; (iv) any action to interpret, apply, enforce or determine the validity of our Certificate of Incorporation or Bylaws; or</w:t>
      </w:r>
    </w:p>
    <w:p>
      <w:pPr>
        <w:spacing w:after="0" w:line="3" w:lineRule="exact"/>
        <w:rPr>
          <w:sz w:val="20"/>
          <w:szCs w:val="20"/>
          <w:color w:val="auto"/>
        </w:rPr>
      </w:pPr>
    </w:p>
    <w:p>
      <w:pPr>
        <w:jc w:val="both"/>
        <w:ind w:firstLine="8"/>
        <w:spacing w:after="0" w:line="251"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To the extent that any such claims may be based upon federal law claims,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and Bylaws also provide that any person or entity purchasing or otherwise acquiring any interest in shares of our capital stock will be deemed to have notice of and to have consented to this choice of forum provision.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on a particular series of debt securities is payable;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on, the debt securities will be made;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below or in the indenture with respect to the debt securities and any change in the acceleration provisions described in this prospectus or in the indenture with respect to the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with information on the federal income tax considerations and other special considerations applicable to any of these debt securities in the applicable prospectus supplement.</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w:t>
      </w:r>
    </w:p>
    <w:p>
      <w:pPr>
        <w:spacing w:after="0" w:line="12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Certificated Debt Securities. </w:t>
      </w:r>
      <w:r>
        <w:rPr>
          <w:rFonts w:ascii="Times New Roman" w:cs="Times New Roman" w:eastAsia="Times New Roman" w:hAnsi="Times New Roman"/>
          <w:sz w:val="18"/>
          <w:szCs w:val="18"/>
          <w:color w:val="auto"/>
        </w:rPr>
        <w:t>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or a successor person, unless:</w:t>
      </w:r>
    </w:p>
    <w:p>
      <w:pPr>
        <w:spacing w:after="0" w:line="108"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Exagen) is a corporation organized and validly existing under the laws of any U.S. domestic jurisdiction and expressly assumes our obligations on the debt securities and under the indenture;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shall have occurred and be continuing;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debt security of that series at its maturity;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Exagen;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the trustee written notice of any Event of Default within 30 days of becoming aware of the occurrence of such Event of Default, which notice will describe in reasonable detail the status of such Event of Default and what action we are taking or propose to take in respect thereof.</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right to direct the time, method and place of conducting any proceeding for any remedy available to the trustee or exercising any trust or power conferred on the trustee with respect to the debt securities of that series.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an Event of Default occurs and is continuing with respect to the securities of any series and if it is known to a responsible officer of the trustee, the trustee shall mail to each holder of the securities of that series notice of an Event of Default within 90 days after it occurs or, if later, after a responsible officer of the trustee has knowledge of such Event of Default. The indenture provides that the trustee may withhold notice to the holders of debt securities of any series of any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Legal Defeasance. </w:t>
      </w:r>
      <w:r>
        <w:rPr>
          <w:rFonts w:ascii="Times New Roman" w:cs="Times New Roman" w:eastAsia="Times New Roman" w:hAnsi="Times New Roman"/>
          <w:sz w:val="18"/>
          <w:szCs w:val="18"/>
          <w:color w:val="auto"/>
        </w:rPr>
        <w:t>The indenture provides that, unless otherwise provided by the terms of the applicable series of debt securities,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U.S. Internal Revenue Service a ruling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2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Defeasance of Certain Covenants. </w:t>
      </w:r>
      <w:r>
        <w:rPr>
          <w:rFonts w:ascii="Times New Roman" w:cs="Times New Roman" w:eastAsia="Times New Roman" w:hAnsi="Times New Roman"/>
          <w:sz w:val="18"/>
          <w:szCs w:val="18"/>
          <w:color w:val="auto"/>
        </w:rPr>
        <w:t>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06"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or a covenant defeasance.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71" w:lineRule="exact"/>
        <w:rPr>
          <w:sz w:val="20"/>
          <w:szCs w:val="20"/>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3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71" w:lineRule="exact"/>
        <w:rPr>
          <w:sz w:val="20"/>
          <w:szCs w:val="20"/>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applicable to the warrants; and</w:t>
      </w:r>
    </w:p>
    <w:p>
      <w:pPr>
        <w:spacing w:after="0" w:line="171" w:lineRule="exact"/>
        <w:rPr>
          <w:rFonts w:ascii="Times New Roman" w:cs="Times New Roman" w:eastAsia="Times New Roman" w:hAnsi="Times New Roman"/>
          <w:sz w:val="18"/>
          <w:szCs w:val="18"/>
          <w:color w:val="auto"/>
        </w:rPr>
      </w:pPr>
    </w:p>
    <w:p>
      <w:pPr>
        <w:ind w:left="340" w:right="40" w:hanging="8"/>
        <w:spacing w:after="0" w:line="438" w:lineRule="auto"/>
        <w:tabs>
          <w:tab w:leader="none" w:pos="6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 Holders of equity warrants will not be entitled to:</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Exagen.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units;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respect of the securities and the indenture may be delivered to us and where certificated securities may be surrendered for payment, registration of transfer or exchange.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90 days of the notification to us or of our becoming aware of DTC’s ceasing to be so registered, as the case may be;</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or Clearstream, or Euroclear Bank S.A./N.V., as operator of the Euroclear System, or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ind w:right="160"/>
        <w:spacing w:after="0" w:line="438" w:lineRule="auto"/>
        <w:rPr>
          <w:sz w:val="20"/>
          <w:szCs w:val="20"/>
          <w:color w:val="auto"/>
        </w:rPr>
      </w:pPr>
      <w:r>
        <w:rPr>
          <w:rFonts w:ascii="Times New Roman" w:cs="Times New Roman" w:eastAsia="Times New Roman" w:hAnsi="Times New Roman"/>
          <w:sz w:val="18"/>
          <w:szCs w:val="18"/>
          <w:color w:val="auto"/>
        </w:rPr>
        <w:t xml:space="preserve">available in the relevant Euroclear or Clearstream cash account only as of the business day for Euroclear or Clearstream following DTC’s settlement date. </w:t>
      </w:r>
      <w:r>
        <w:rPr>
          <w:rFonts w:ascii="Times New Roman" w:cs="Times New Roman" w:eastAsia="Times New Roman" w:hAnsi="Times New Roman"/>
          <w:sz w:val="18"/>
          <w:szCs w:val="18"/>
          <w:b w:val="1"/>
          <w:bCs w:val="1"/>
          <w:color w:val="auto"/>
        </w:rPr>
        <w:t>Other</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2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at a level above that which might otherwise prevail in the open market. These transactions may be discontinued at any time.</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Mintz, Levin, Cohn, Ferris, Glovsky and Popeo, P.C. will pass upon the validity of the issuance of the securities to be offered by this prospectus. Additional legal matters may be passed upon for any underwriters, dealers or agents by counsel that we will name in the applicable prospectus supplement.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2022 and 2021 and for the years then ended incorporated by reference in this prospectus and in the registration statement have been so incorporated in reliance on the report of BDO USA, LLP (n/k/a BDO USA, P.C.), an independent registered public accounting firm, incorporated herein by reference, given on the authority of said firm as experts in auditing and accounting.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http://www.exagen.com.</w:t>
      </w:r>
      <w:r>
        <w:rPr>
          <w:rFonts w:ascii="Times New Roman" w:cs="Times New Roman" w:eastAsia="Times New Roman" w:hAnsi="Times New Roman"/>
          <w:sz w:val="18"/>
          <w:szCs w:val="18"/>
          <w:color w:val="auto"/>
        </w:rPr>
        <w:t xml:space="preserve"> The information on our website, however, is not, and should not be deemed to be, a part of this prospectus.</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This prospectus and any accompanying prospectus supplement incorporate by reference the documents set forth below that have previously been filed with the SEC:</w:t>
      </w:r>
    </w:p>
    <w:p>
      <w:pPr>
        <w:spacing w:after="0" w:line="126"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19">
        <w:r>
          <w:rPr>
            <w:rFonts w:ascii="Times New Roman" w:cs="Times New Roman" w:eastAsia="Times New Roman" w:hAnsi="Times New Roman"/>
            <w:sz w:val="18"/>
            <w:szCs w:val="18"/>
            <w:u w:val="single" w:color="auto"/>
            <w:color w:val="0000FF"/>
          </w:rPr>
          <w:t>March 20, 2023</w:t>
        </w:r>
      </w:hyperlink>
      <w:r>
        <w:rPr>
          <w:rFonts w:ascii="Times New Roman" w:cs="Times New Roman" w:eastAsia="Times New Roman" w:hAnsi="Times New Roman"/>
          <w:sz w:val="18"/>
          <w:szCs w:val="18"/>
          <w:color w:val="auto"/>
        </w:rPr>
        <w:t>, including the information incorporated by reference into our Annual Report on Form 10-K from our definitive proxy statement for our 2023 Annual Meeting of Stockholders;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auto"/>
          </w:rPr>
          <w:t xml:space="preserve">our Quarterly Report on Form 10-Q for the quarter ended March 31, 2023, June 30, 2023 and September 30, 2023 filed with the SEC on </w:t>
        </w:r>
        <w:r>
          <w:rPr>
            <w:rFonts w:ascii="Times New Roman" w:cs="Times New Roman" w:eastAsia="Times New Roman" w:hAnsi="Times New Roman"/>
            <w:sz w:val="18"/>
            <w:szCs w:val="18"/>
            <w:u w:val="single" w:color="auto"/>
            <w:color w:val="0000FF"/>
          </w:rPr>
          <w:t>May 15,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1">
        <w:r>
          <w:rPr>
            <w:rFonts w:ascii="Times New Roman" w:cs="Times New Roman" w:eastAsia="Times New Roman" w:hAnsi="Times New Roman"/>
            <w:sz w:val="18"/>
            <w:szCs w:val="18"/>
            <w:u w:val="single" w:color="auto"/>
            <w:color w:val="0000FF"/>
          </w:rPr>
          <w:t xml:space="preserve">August 7, 2023 </w:t>
        </w:r>
      </w:hyperlink>
      <w:hyperlink r:id="rId2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22">
        <w:r>
          <w:rPr>
            <w:rFonts w:ascii="Times New Roman" w:cs="Times New Roman" w:eastAsia="Times New Roman" w:hAnsi="Times New Roman"/>
            <w:sz w:val="18"/>
            <w:szCs w:val="18"/>
            <w:u w:val="single" w:color="auto"/>
            <w:color w:val="0000FF"/>
          </w:rPr>
          <w:t>November 13, 2023</w:t>
        </w:r>
      </w:hyperlink>
      <w:hyperlink r:id="rId20">
        <w:r>
          <w:rPr>
            <w:rFonts w:ascii="Times New Roman" w:cs="Times New Roman" w:eastAsia="Times New Roman" w:hAnsi="Times New Roman"/>
            <w:sz w:val="18"/>
            <w:szCs w:val="18"/>
            <w:color w:val="000000"/>
          </w:rPr>
          <w:t>, respectively;</w:t>
        </w:r>
      </w:hyperlink>
    </w:p>
    <w:p>
      <w:pPr>
        <w:spacing w:after="0" w:line="107" w:lineRule="exact"/>
        <w:rPr>
          <w:rFonts w:ascii="Times New Roman" w:cs="Times New Roman" w:eastAsia="Times New Roman" w:hAnsi="Times New Roman"/>
          <w:sz w:val="18"/>
          <w:szCs w:val="18"/>
          <w:color w:val="0000FF"/>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FF"/>
          </w:rPr>
          <w:t>January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14,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4">
        <w:r>
          <w:rPr>
            <w:rFonts w:ascii="Times New Roman" w:cs="Times New Roman" w:eastAsia="Times New Roman" w:hAnsi="Times New Roman"/>
            <w:sz w:val="18"/>
            <w:szCs w:val="18"/>
            <w:u w:val="single" w:color="auto"/>
            <w:color w:val="0000FF"/>
          </w:rPr>
          <w:t xml:space="preserve">October 26, 2023 </w:t>
        </w:r>
      </w:hyperlink>
      <w:hyperlink r:id="rId2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25">
        <w:r>
          <w:rPr>
            <w:rFonts w:ascii="Times New Roman" w:cs="Times New Roman" w:eastAsia="Times New Roman" w:hAnsi="Times New Roman"/>
            <w:sz w:val="18"/>
            <w:szCs w:val="18"/>
            <w:u w:val="single" w:color="auto"/>
            <w:color w:val="0000FF"/>
          </w:rPr>
          <w:t>November 17, 2023</w:t>
        </w:r>
      </w:hyperlink>
      <w:hyperlink r:id="rId23">
        <w:r>
          <w:rPr>
            <w:rFonts w:ascii="Times New Roman" w:cs="Times New Roman" w:eastAsia="Times New Roman" w:hAnsi="Times New Roman"/>
            <w:sz w:val="18"/>
            <w:szCs w:val="18"/>
            <w:color w:val="000000"/>
          </w:rPr>
          <w:t>; and</w:t>
        </w:r>
      </w:hyperlink>
    </w:p>
    <w:p>
      <w:pPr>
        <w:spacing w:after="0" w:line="107" w:lineRule="exact"/>
        <w:rPr>
          <w:rFonts w:ascii="Times New Roman" w:cs="Times New Roman" w:eastAsia="Times New Roman" w:hAnsi="Times New Roman"/>
          <w:sz w:val="18"/>
          <w:szCs w:val="18"/>
          <w:color w:val="0000FF"/>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description of our common stock set forth in the Registrant's registration statement on Form 8-A12B (Registration No. 001-39049), filed by </w:t>
      </w:r>
      <w:hyperlink r:id="rId26">
        <w:r>
          <w:rPr>
            <w:rFonts w:ascii="Times New Roman" w:cs="Times New Roman" w:eastAsia="Times New Roman" w:hAnsi="Times New Roman"/>
            <w:sz w:val="18"/>
            <w:szCs w:val="18"/>
            <w:color w:val="auto"/>
          </w:rPr>
          <w:t xml:space="preserve">the Registrant with the SEC under Section 12(b) of the Securities Exchange Act of 1934, as amended, or the Exchange Act, on </w:t>
        </w:r>
        <w:r>
          <w:rPr>
            <w:rFonts w:ascii="Times New Roman" w:cs="Times New Roman" w:eastAsia="Times New Roman" w:hAnsi="Times New Roman"/>
            <w:sz w:val="18"/>
            <w:szCs w:val="18"/>
            <w:u w:val="single" w:color="auto"/>
            <w:color w:val="0000FF"/>
          </w:rPr>
          <w:t>September 13,</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2019</w:t>
        </w:r>
        <w:r>
          <w:rPr>
            <w:rFonts w:ascii="Times New Roman" w:cs="Times New Roman" w:eastAsia="Times New Roman" w:hAnsi="Times New Roman"/>
            <w:sz w:val="18"/>
            <w:szCs w:val="18"/>
            <w:color w:val="000000"/>
          </w:rPr>
          <w:t>, including any amendments or reports filed for the purpose of updating such description.</w:t>
        </w:r>
      </w:hyperlink>
    </w:p>
    <w:p>
      <w:pPr>
        <w:spacing w:after="0" w:line="122" w:lineRule="exact"/>
        <w:rPr>
          <w:rFonts w:ascii="Times New Roman" w:cs="Times New Roman" w:eastAsia="Times New Roman" w:hAnsi="Times New Roman"/>
          <w:sz w:val="18"/>
          <w:szCs w:val="18"/>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our Compensation Committee report and performance graph or any information furnished pursuant to Items 2.02 or 7.01 of Form 8-K or related exhibits furnished pursuant to Item 9.01 of Form 8-K.</w:t>
      </w:r>
    </w:p>
    <w:p>
      <w:pPr>
        <w:spacing w:after="0" w:line="129"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Exagen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1261 Liberty Way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 California 92081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(760) 560-1501</w:t>
      </w:r>
    </w:p>
    <w:p>
      <w:pPr>
        <w:spacing w:after="0" w:line="153"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1014730</wp:posOffset>
            </wp:positionV>
            <wp:extent cx="246888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6888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ectPr>
          <w:pgSz w:w="11900" w:h="16838" w:orient="portrait"/>
          <w:cols w:equalWidth="0" w:num="1">
            <w:col w:w="11240"/>
          </w:cols>
          <w:pgMar w:left="320" w:top="1440"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Subject to Completion, dated November 27, 2023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tbl>
      <w:tblPr>
        <w:tblLayout w:type="fixed"/>
        <w:tblInd w:w="432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$10,223,534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24130</wp:posOffset>
            </wp:positionV>
            <wp:extent cx="2468880" cy="90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46888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14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September 15, 2022, we entered into a sales agreement, as amended on November 17, 2023, or the sales agreement, with Cowen and Company LLC, or TD Cowen, relating to shares of our common stock offered by this prospectus supplement and the accompanying prospectus. In accordance with the terms of the sales agreement, we may offer and sell shares of our common stock having an aggregate offering price of up to $50.0 million from time to time through or to TD Cowen acting as our agent. No sales have been made pursuant to the sales agreement prior to the date of this prospectus supplement.</w:t>
      </w: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symbol “XGN.” On November 24, 2023, the last reported sale price of our common stock on Nasdaq was $1.55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$30.7 million, which was calculated based on 12,832,888 shares of our common stock outstanding held by non-affiliates and a price of $2.39 per share, the closing price of our common stock on October 2, 2023. As of the date of this prospectus supplement, we have not sold any securities pursuant to General Instruction I.B.6 of Form S-3 during the 12 calendar months prior to, and including, the date of this prospectus supplement.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in sales deemed to be an “at the market offering,” as defined in Rule 415(a)(4) promulgated under the Securities Act of 1933, as amended, or the Securities Act.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compensation to TD Cowen for sales of common stock sold pursuant to the sales agreement will be an amount equal to 3.0% of the gross proceeds of any shares of common stock sold under the sales agreement. In connection with the sale of our common stock on our behalf, TD Cowen will be deemed to be an “underwriter” within the meaning of the Securities Act and the compensation to TD Cowen will be deemed to be underwriting commissions or discounts. We have also agreed to provide indemnification and contribution to TD Cowen with respect to certain liabilities, including liabilities under the Securities Act or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76835</wp:posOffset>
            </wp:positionV>
            <wp:extent cx="2554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S-5</w:t>
      </w:r>
      <w:r>
        <w:rPr>
          <w:rFonts w:ascii="Times New Roman" w:cs="Times New Roman" w:eastAsia="Times New Roman" w:hAnsi="Times New Roman"/>
          <w:sz w:val="18"/>
          <w:szCs w:val="18"/>
          <w:b w:val="1"/>
          <w:bCs w:val="1"/>
          <w:color w:val="auto"/>
        </w:rPr>
        <w:t xml:space="preserve"> of this prospectus supplement and under similar headings in the documents incorporated by reference into this prospectus supplement and the accompanying prospectus.</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and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71120</wp:posOffset>
            </wp:positionV>
            <wp:extent cx="2554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321" w:lineRule="exact"/>
        <w:rPr>
          <w:sz w:val="20"/>
          <w:szCs w:val="20"/>
          <w:color w:val="auto"/>
        </w:rPr>
      </w:pPr>
    </w:p>
    <w:tbl>
      <w:tblPr>
        <w:tblLayout w:type="fixed"/>
        <w:tblInd w:w="36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prospectus supplement is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ectPr>
          <w:pgSz w:w="11900" w:h="16838" w:orient="portrait"/>
          <w:cols w:equalWidth="0" w:num="1">
            <w:col w:w="11240"/>
          </w:cols>
          <w:pgMar w:left="320" w:top="765" w:right="339" w:bottom="1440" w:gutter="0" w:footer="0" w:header="0"/>
        </w:sectPr>
      </w:pPr>
    </w:p>
    <w:bookmarkStart w:id="39" w:name="page40"/>
    <w:bookmarkEnd w:id="39"/>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S-1</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6920" w:type="dxa"/>
            <w:vAlign w:val="bottom"/>
            <w:gridSpan w:val="4"/>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S-4</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8"/>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S-5</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S-7</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8300" w:type="dxa"/>
            <w:vAlign w:val="bottom"/>
            <w:gridSpan w:val="5"/>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S-12</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5"/>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S-13</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22"/>
                <w:szCs w:val="22"/>
                <w:color w:val="auto"/>
              </w:rPr>
            </w:pPr>
          </w:p>
        </w:tc>
        <w:tc>
          <w:tcPr>
            <w:tcW w:w="8900" w:type="dxa"/>
            <w:vAlign w:val="bottom"/>
            <w:gridSpan w:val="7"/>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S-13</w:t>
            </w:r>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3"/>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S-13</w:t>
            </w:r>
          </w:p>
        </w:tc>
      </w:tr>
      <w:tr>
        <w:trPr>
          <w:trHeight w:val="20"/>
        </w:trPr>
        <w:tc>
          <w:tcPr>
            <w:tcW w:w="3820" w:type="dxa"/>
            <w:vAlign w:val="bottom"/>
            <w:gridSpan w:val="7"/>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INCORPORATION OF DOCUMENTS BY REFERENCE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S-14</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40" w:name="page41"/>
    <w:bookmarkEnd w:id="4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or SEC, utilizing a “shelf” registration process. Under the shelf registration process, we may sell any combination of the securities described in our base prospectus included in the shelf registration statement in one or more offerings up to a total aggregate offering price of $150.0 million. The $10.2 million of common stock that may be offered, issued and sold under this prospectus supplement is included in the $150.0 million of securities that may be offered, issued and sold by us pursuant to our shelf registration statement.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our common stock. Before buying any of the common stock that we are offering, we urge you to carefully read this prospectus supplement and the accompanying prospectus, together with the information incorporated by reference herein and therein, as described under the headings “Where You Can Find More Information” and “Incorporation of Certain Information By Reference.” These documents contain important information that you should consider when making your investment decision.</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common stock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conflict between the information contained in this prospectus supplement and the information contained in the accompanying prospectus, you should rely on the information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 Generally, when we refer to the prospectus, we are referring collectively to this prospectus supplement and the accompanying prospectus.</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not, and TD Cowen has not, authorized anyone to provide any information other than that contained in or incorporated by reference in this prospectus supplement, the accompanying prospectus and any free writing prospectus prepared by or on behalf of us or to which we have referred you. We and TD Cowen take no responsibility for, and can provide no assurance as to the reliability of, any other information that others may give you. We and the sales agent are offering to sell, and seeking offers to buy, shares of our common stock only in jurisdictions where such offers and sales are permitted. You should assume that the information appearing in this prospectus supplement, the accompanying prospectus and the documents incorporated by reference herein and therein, and in any free writing prospectus that we have authorized for use in connection with this offering, is accurate only as of the dates of those respective documents, regardless of the time of delivery of such documents or of any sale of shares of our common stock. Our business, financial condition, results of operations and prospects may have changed since those dates. You should read this prospectus supplement and the accompanying prospectus, the documents incorporated by reference herein and therein, and any free writing prospectus that we have authorized for use in connection with this offering in their entirety before making an investment decision.</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supplement and the accompanying prospectus to “Exagen,” “the Company,” “we,” “us,” “our” and similar references refer to Exagen Inc.</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information incorporated by reference herein and therein, and any free writing prospectuses we have authorized for use in connection with this offering, contains registered marks, trademarks and trade names owned by us or other companies, which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36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highlight w:val="white"/>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Exagen Inc.</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highlight w:val="white"/>
        </w:rPr>
        <w:t>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w:t>
      </w:r>
    </w:p>
    <w:p>
      <w:pPr>
        <w:spacing w:after="0" w:line="126"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highlight w:val="white"/>
        </w:rPr>
        <w:t>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Revenue from this product comprised 88% and 81% of our revenue for the six months ended June 30, 2023 and 2022,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highlight w:val="white"/>
        </w:rPr>
        <w:t>We perform all of our AVISE® tests in our approximately 13,000 square foot laboratory located in Vista, California, which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highlight w:val="white"/>
        </w:rPr>
        <w:t>For additional information related to our business and operations, please refer to the reports incorporated herein by reference, as described under the caption “</w:t>
      </w:r>
      <w:r>
        <w:rPr>
          <w:rFonts w:ascii="Times New Roman" w:cs="Times New Roman" w:eastAsia="Times New Roman" w:hAnsi="Times New Roman"/>
          <w:sz w:val="18"/>
          <w:szCs w:val="18"/>
          <w:u w:val="single" w:color="auto"/>
          <w:color w:val="0000FF"/>
          <w:highlight w:val="white"/>
        </w:rPr>
        <w:t>Incorporation of Documents by Reference</w:t>
      </w:r>
      <w:r>
        <w:rPr>
          <w:rFonts w:ascii="Times New Roman" w:cs="Times New Roman" w:eastAsia="Times New Roman" w:hAnsi="Times New Roman"/>
          <w:sz w:val="18"/>
          <w:szCs w:val="18"/>
          <w:color w:val="auto"/>
          <w:highlight w:val="white"/>
        </w:rPr>
        <w:t xml:space="preserve">” on page </w:t>
      </w:r>
      <w:r>
        <w:rPr>
          <w:rFonts w:ascii="Times New Roman" w:cs="Times New Roman" w:eastAsia="Times New Roman" w:hAnsi="Times New Roman"/>
          <w:sz w:val="18"/>
          <w:szCs w:val="18"/>
          <w:u w:val="single" w:color="auto"/>
          <w:color w:val="0000FF"/>
          <w:highlight w:val="white"/>
        </w:rPr>
        <w:t>S-14</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of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7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highlight w:val="white"/>
        </w:rPr>
        <w:t xml:space="preserve">We maintain a website at </w:t>
      </w:r>
      <w:r>
        <w:rPr>
          <w:rFonts w:ascii="Times New Roman" w:cs="Times New Roman" w:eastAsia="Times New Roman" w:hAnsi="Times New Roman"/>
          <w:sz w:val="18"/>
          <w:szCs w:val="18"/>
          <w:i w:val="1"/>
          <w:iCs w:val="1"/>
          <w:color w:val="auto"/>
          <w:highlight w:val="white"/>
        </w:rPr>
        <w:t>http://www.exagen.com</w:t>
      </w:r>
      <w:r>
        <w:rPr>
          <w:rFonts w:ascii="Times New Roman" w:cs="Times New Roman" w:eastAsia="Times New Roman" w:hAnsi="Times New Roman"/>
          <w:sz w:val="18"/>
          <w:szCs w:val="18"/>
          <w:color w:val="auto"/>
          <w:highlight w:val="white"/>
        </w:rPr>
        <w:t xml:space="preserve">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9900"/>
          </w:cols>
          <w:pgMar w:left="1000" w:top="1440" w:right="99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2018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6130" cy="201866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highlight w:val="white"/>
        </w:rPr>
        <w:t>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highlight w:val="white"/>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9900"/>
          </w:cols>
          <w:pgMar w:left="1000" w:top="1440" w:right="99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117"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-641350</wp:posOffset>
            </wp:positionV>
            <wp:extent cx="7136130" cy="6510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$10,223,534.</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 to 23,527,722 shares (as more fully described in the notes following this table), assuming sales of 6,595,828 shares of our common stock in this offering at an offering price of $1.55 per share, which was the last reported sale price of our common stock on Nasdaq on November 24, 2023. The actual number of shares issued will vary depending on the sales price under this offering.</w:t>
      </w:r>
    </w:p>
    <w:p>
      <w:pPr>
        <w:spacing w:after="0" w:line="7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“At the market offering” that may be made from time to time through our sales agent, TD Cowen. See “</w:t>
      </w:r>
      <w:r>
        <w:rPr>
          <w:rFonts w:ascii="Times New Roman" w:cs="Times New Roman" w:eastAsia="Times New Roman" w:hAnsi="Times New Roman"/>
          <w:sz w:val="17"/>
          <w:szCs w:val="17"/>
          <w:u w:val="single" w:color="auto"/>
          <w:color w:val="0000FF"/>
        </w:rPr>
        <w:t>Plan of Distribution</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FF"/>
        </w:rPr>
        <w:t>S-12</w:t>
      </w:r>
      <w:r>
        <w:rPr>
          <w:rFonts w:ascii="Times New Roman" w:cs="Times New Roman" w:eastAsia="Times New Roman" w:hAnsi="Times New Roman"/>
          <w:sz w:val="17"/>
          <w:szCs w:val="17"/>
          <w:color w:val="auto"/>
        </w:rPr>
        <w:t xml:space="preserve"> of this prospectus supplement.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general</w:t>
      </w:r>
    </w:p>
    <w:p>
      <w:pPr>
        <w:spacing w:after="0" w:line="2"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18"/>
          <w:szCs w:val="18"/>
          <w:color w:val="auto"/>
        </w:rPr>
        <w:t>corporate purposes, including working capital and other general and administrative purposes. See “</w:t>
      </w:r>
      <w:r>
        <w:rPr>
          <w:rFonts w:ascii="Times New Roman" w:cs="Times New Roman" w:eastAsia="Times New Roman" w:hAnsi="Times New Roman"/>
          <w:sz w:val="18"/>
          <w:szCs w:val="18"/>
          <w:u w:val="single" w:color="auto"/>
          <w:color w:val="0000FF"/>
        </w:rPr>
        <w:t>Use of Proceeds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FF"/>
        </w:rPr>
        <w:t>S-9</w:t>
      </w:r>
      <w:r>
        <w:rPr>
          <w:rFonts w:ascii="Times New Roman" w:cs="Times New Roman" w:eastAsia="Times New Roman" w:hAnsi="Times New Roman"/>
          <w:sz w:val="18"/>
          <w:szCs w:val="18"/>
          <w:color w:val="auto"/>
        </w:rPr>
        <w:t xml:space="preserve"> of this prospectus supplement.</w:t>
      </w:r>
    </w:p>
    <w:p>
      <w:pPr>
        <w:spacing w:after="0" w:line="6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and other information included in this prospectus supplement and the documents incorporated by reference herein and in the accompanying prospectus for a discussion of factors you should carefully consider before deciding to invest in shares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“XGN”</w:t>
      </w:r>
    </w:p>
    <w:p>
      <w:pPr>
        <w:spacing w:after="0" w:line="200" w:lineRule="exact"/>
        <w:rPr>
          <w:sz w:val="20"/>
          <w:szCs w:val="20"/>
          <w:color w:val="auto"/>
        </w:rPr>
      </w:pPr>
    </w:p>
    <w:p>
      <w:pPr>
        <w:sectPr>
          <w:pgSz w:w="11900" w:h="16838" w:orient="portrait"/>
          <w:cols w:equalWidth="0" w:num="2">
            <w:col w:w="3280" w:space="240"/>
            <w:col w:w="6380"/>
          </w:cols>
          <w:pgMar w:left="1000" w:top="1440" w:right="999" w:bottom="1440" w:gutter="0" w:footer="0" w:header="0"/>
        </w:sectPr>
      </w:pPr>
    </w:p>
    <w:p>
      <w:pPr>
        <w:spacing w:after="0" w:line="9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this offering set forth above is based on 16,931,894 shares of our common stock outstanding as of September 30, 2023. This number excludes:</w:t>
      </w:r>
    </w:p>
    <w:p>
      <w:pPr>
        <w:spacing w:after="0" w:line="108" w:lineRule="exact"/>
        <w:rPr>
          <w:sz w:val="20"/>
          <w:szCs w:val="20"/>
          <w:color w:val="auto"/>
        </w:rPr>
      </w:pPr>
    </w:p>
    <w:p>
      <w:pPr>
        <w:ind w:left="640" w:hanging="322"/>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1,004,855 shares of our common stock issuable upon the exercise of stock options outstanding as of September 30, 2023 under our equity incentive plans at a weighted-average exercise price of $11.88 per share;</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1,568,112 restricted stock units, or RSUs, outstanding as of September 30, 2023 under our equity incentive plans;</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449,332 shares of our common stock reserved as of September 30, 2023 for future issuance under our 2019 Employee Stock Purchase Plan, or the ESPP;</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1,746,478 shares of our common stock reserved as of September 30, 2023 for future issuance under our 2019 Incentive Award Plan, or the 2019 Plan; and</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1,214,059 shares of our common stock issuable upon the exercise of warrants outstanding as of September 30, 2023 at a weighted-average exercise price of $1.70 per share.</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stock options or warrants subsequent to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9900"/>
          </w:cols>
          <w:pgMar w:left="1000" w:top="1440" w:right="999" w:bottom="1440" w:gutter="0" w:footer="0" w:header="0"/>
          <w:type w:val="continuous"/>
        </w:sectPr>
      </w:pPr>
    </w:p>
    <w:bookmarkStart w:id="44" w:name="page45"/>
    <w:bookmarkEnd w:id="4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review the risks and uncertainties described below and in the section titled “Risk Factors” in our Annual Report on Form 10-K for the year ended December 31, 2022 and Quarterly Report on Form 10-Q for the quarters ended March 30, 2023, June 30, 2023 and September 30, 2023, as updated by our subsequent filings under the Exchange Act, each of which are incorporated by reference into this prospectus supplement in their entirety, together with all of the other information contained in or incorporated by reference into this prospectus supplement, the accompanying prospectus and any free writing prospectus that we have authorized for use in connection with this offering, before deciding whether to purchase any of the securities being registered pursuant to the registration statement of which this prospectus supplement and the accompanying prospectus is a part. The risks and uncertainties described in these risk factors are not the only ones facing us. Additional risks and uncertainties of which we are currently unaware or that we currently consider to be immaterial may also become important factors that affect us. If any of these risks occur, our business, financial condition or results of operations could be materially and adversely affected. In that case, the value of our common stock could decline, and you may lose some or all of your investment. Please also carefully read the section below titled “Cautionary Note Regarding Forward-Looking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this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immediate and substantial dilution.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common stock outstanding prior to this offering. Assuming that an aggregate of 6,595,828 shares of our common stock are sold at a price of $1.55 per share, the last reported sale price of our common stock on Nasdaq on November 24, 2023, for aggregate gross proceeds of $10.2 million, and after deducting estimated offering commissions and offering expenses payable by us, you would experience immediate accretion of $0.03 per share, representing the difference between our as adjusted net tangible book value per share as of September 30, 2023 after giving effect to this offering and the assumed offering price. The exercise of outstanding stock options, vesting of RSUs and exercise of warrants would result in further dilution of your investment. See the section below titled “Dilution” for a more detailed illustration of the dilution you will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future dilution as a result of future equity offerings.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Until the funds are used as described above,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intend to invest any net proceeds from this offering in interest bearing, investment grade securities. Our management will have broad discretion in applying any net proceeds of this offering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common shares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w:t>
      </w:r>
    </w:p>
    <w:p>
      <w:pPr>
        <w:spacing w:after="0" w:line="1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common stock offered hereby will be sold in “at the market offerings,” and investors who buy shares of our common stock at different times will likely pay different prices.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Investors who purchase shares of our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of our common stock sold in this offering. In addition, subject to the final determination by our board of directors, there is no minimum or maximum sales price for shares of our common stock to be sold in this offering. Investors may experience a decline in the value of the shares of common stock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1417" w:right="339" w:bottom="1440" w:gutter="0" w:footer="0" w:header="0"/>
        </w:sectPr>
      </w:pPr>
    </w:p>
    <w:bookmarkStart w:id="46" w:name="page47"/>
    <w:bookmarkEnd w:id="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spacing w:after="0" w:line="138"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expect to incur net losses in the future and we may not be able to generate sufficient revenue to achieve and maintain profitability;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manage our ongoing growth effectively, which could make it difficult to execute our business strategy;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attaining and maintaining significant market acceptance of our testing products and promoted therapeutics among rheumatologists, patients, third-party payors and others in the medical community;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sole suppliers for some of the reagents, equipment and other materials used in our testing products, and we may not be able to fund replacements or transition to alternative suppliers;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support demand for our current testing products or any of our future testing products or solutions, our business could suffer;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or achieve profitability;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testing products involves a lengthy and complex process, and we may not be able to commercialize on a timely basis, or at all, other testing products we are developing;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40"/>
          </w:cols>
          <w:pgMar w:left="320" w:top="1440" w:right="339" w:bottom="1440" w:gutter="0" w:footer="0" w:header="0"/>
        </w:sectPr>
      </w:pPr>
    </w:p>
    <w:bookmarkStart w:id="47" w:name="page48"/>
    <w:bookmarkEnd w:id="47"/>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intellectual property protection our competitive position could be harmed;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above factors and other future events on the market price of our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this offering, if any.</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17" w:right="339" w:bottom="1440" w:gutter="0" w:footer="0" w:header="0"/>
        </w:sectPr>
      </w:pPr>
    </w:p>
    <w:bookmarkStart w:id="48" w:name="page49"/>
    <w:bookmarkEnd w:id="4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$10.2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Our management will have broad discretion in applying any net proceeds of this offering. Until the funds are used as described above, we intend to invest any net proceeds from this offering in interest bearing, investment grade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September 30, 2023 was approximately $27.5 million, or $1.62 per share. Net tangible book value per share is determined by dividing our total tangible assets, less total liabilities, by the number of shares of our common stock outstanding as of September 30, 2023. Dilution with respect to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6,595,828 shares of our common stock in this offering at an assumed offering price of $1.55 per share, the last reported sale price of our common stock on Nasdaq on November 24, 2023, and after deducting estimated offering commissions and offering expenses payable by us, our as adjusted net tangible book value as of September 30, 2023 would have been approximately $37.1 million, or $1.58 per share. This represents an immediate decrease in net tangible book value of $0.04 per share to existing stockholders and immediate accretion of $0.03 per share to investors purchasing our common stock in this offering at the public offering price. The following table illustrates this dilution on a per share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8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of as September 30, 2023</w:t>
            </w:r>
          </w:p>
        </w:tc>
        <w:tc>
          <w:tcPr>
            <w:tcW w:w="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1.62</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this offering</w:t>
            </w:r>
          </w:p>
        </w:tc>
        <w:tc>
          <w:tcPr>
            <w:tcW w:w="8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0.04</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2023, after giving effect to this offering</w:t>
            </w:r>
          </w:p>
        </w:tc>
        <w:tc>
          <w:tcPr>
            <w:tcW w:w="8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per share to investors purchasing our common stock in this offering</w:t>
            </w:r>
          </w:p>
        </w:tc>
        <w:tc>
          <w:tcPr>
            <w:tcW w:w="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this offering is based on 16,931,894 shares of our common stock outstanding as of September 30, 2023. This number excludes:</w:t>
      </w:r>
    </w:p>
    <w:p>
      <w:pPr>
        <w:spacing w:after="0" w:line="108" w:lineRule="exact"/>
        <w:rPr>
          <w:sz w:val="20"/>
          <w:szCs w:val="20"/>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1,004,855 shares of our common stock issuable upon the exercise of stock options outstanding as of September 30, 2023 under our equity incentive plans at a weighted-average exercise price of $11.88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1,568,112 restricted stock units, or RSUs, outstanding as of September 30, 2023 under our equity incentive plans;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449,332 shares of our common stock reserved as of September 30, 2023 for future issuance under our 2019 Employee Stock Purchase Plan, or the ESPP;</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1,746,478 shares of our common stock reserved as of September 30, 2023 for future issuance under our 2019 Incentive Award Plan, or the 2019 Plan;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1,214,059 shares of our common stock issuable upon the exercise of warrants outstanding as of September 30, 2023 at a weighted-average exercise price of $1.70 per share.</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6,595,828 shares of our common stock are sold during the term of the sales agreement with TD Cowen at a price of $1.55 per share, the last reported sale price of our common stock on Nasdaq on November 24, 2023, for aggregate gross proceeds of $10.2 million. The shares subject to the sales agreement with TD Cowen may be sold from time to time at various prices. An increase of $1.00 per share in the price at which the shares are sold from the assumed offering price of $1.55 per share shown in the table above, assuming all of our common stock in the aggregate amount of $10.2 million during the term of the sales agreement with TD Cowen is sold at that price, would increase our adjusted net tangible book value per share after the offering to $1.85 per share and would result in an immediate dilution in as adjusted net tangible book value per share of approximately $0.70 per share to new investors in this offering, after deducting estimated offering commissions and offering expenses payable by us. A decrease of $1.00 per share in the price at which the shares are sold from the assumed offering price of $1.55 per share shown in the table above, assuming all of our common stock in the aggregate amount of $10.2 million during the term of the sales agreement with TD Cowen is sold at that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would decrease our adjusted net tangible book value per share after the offering to $1.31 per share and would result in an immediate accretion in net tangible book value per share of approximately $0.76 per share to new investors in this offering, after deducting estimated offering commissions and offering expenses payable by us. This information is supplied for illustrative purposes only.</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outstanding as of September 30, 2023 have been or may be exercised, RSUs outstanding as of September 30, 2023 have been or may be vested, or we issue additional options, RSUs, warrants or shares of our common stock,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1417" w:right="339" w:bottom="1440" w:gutter="0" w:footer="0" w:header="0"/>
        </w:sectPr>
      </w:pPr>
    </w:p>
    <w:bookmarkStart w:id="51" w:name="page52"/>
    <w:bookmarkEnd w:id="5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up to $50.0 million of our common stock through TD Cowen as our sales agent, of which $10.2 million of common stock may be offered, issued and sold under this prospectus supplement and is included in the $150.0 million of securities that may be offered, issued and sold by us pursuant to our shelf registration statement. Sales of our common stock, if any, will be made at market prices by any method that is deemed to be an “at the market offering” as defined in Rule 415(a)(4) under the Securities Act, including sales made directly on Nasdaq or any other trading market for our common stock.</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is equal to 3.0% of the gross sales price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$0.3 million.</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the net proceeds to us and the compensation paid by us to TD Cowen in connection with the sales of common stock.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 that stabilizes our common stock.</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and trades under the symbol “XGN.” The transfer agent of our common stock is Computershare Trust Company, N.A.</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the issuance of the shares offered by this prospectus supplement and the accompanying prospectus will be passed upon for us by Mintz, Levin, Cohn, Ferris, Glovsky and Popeo, P.C., San Diego, California. Duane Morris LLP, New York, New York, is counsel to TD Cowen in connection with this offering.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2022 and 2021 and for the years then ended incorporated by reference in this prospectus supplement have been so incorporated in reliance on the report of BDO USA, LLP (n/k/a BDO USA, P.C.), an independent registered public accounting firm, incorporated herein by reference, given on the authority of said firm as experts in auditing and accounting.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u w:val="single" w:color="auto"/>
          <w:color w:val="auto"/>
        </w:rPr>
        <w:t>http://www.sec.gov</w:t>
      </w:r>
      <w:r>
        <w:rPr>
          <w:rFonts w:ascii="Times New Roman" w:cs="Times New Roman" w:eastAsia="Times New Roman" w:hAnsi="Times New Roman"/>
          <w:sz w:val="18"/>
          <w:szCs w:val="18"/>
          <w:i w:val="1"/>
          <w:iCs w:val="1"/>
          <w:color w:val="auto"/>
        </w:rPr>
        <w:t>.</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http://www.exagen.com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This prospectus and any accompanying prospectus supplement incorporate by reference the documents set forth below that have previously been filed with the SEC:</w:t>
      </w:r>
    </w:p>
    <w:p>
      <w:pPr>
        <w:spacing w:after="0" w:line="126" w:lineRule="exact"/>
        <w:rPr>
          <w:sz w:val="20"/>
          <w:szCs w:val="20"/>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19">
        <w:r>
          <w:rPr>
            <w:rFonts w:ascii="Times New Roman" w:cs="Times New Roman" w:eastAsia="Times New Roman" w:hAnsi="Times New Roman"/>
            <w:sz w:val="18"/>
            <w:szCs w:val="18"/>
            <w:u w:val="single" w:color="auto"/>
            <w:color w:val="0000FF"/>
          </w:rPr>
          <w:t>March 20, 2023</w:t>
        </w:r>
      </w:hyperlink>
      <w:r>
        <w:rPr>
          <w:rFonts w:ascii="Times New Roman" w:cs="Times New Roman" w:eastAsia="Times New Roman" w:hAnsi="Times New Roman"/>
          <w:sz w:val="18"/>
          <w:szCs w:val="18"/>
          <w:color w:val="auto"/>
        </w:rPr>
        <w:t>, including the information incorporated by reference into our Annual Report on Form 10-K from our definitive proxy statement for our 2023 Annual Meeting of Stockholders;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auto"/>
          </w:rPr>
          <w:t xml:space="preserve">our Quarterly Report on Form 10-Q for the quarter ended March 31, 2023, June 30, 2023 and September 30, 2023 filed with the SEC on </w:t>
        </w:r>
        <w:r>
          <w:rPr>
            <w:rFonts w:ascii="Times New Roman" w:cs="Times New Roman" w:eastAsia="Times New Roman" w:hAnsi="Times New Roman"/>
            <w:sz w:val="18"/>
            <w:szCs w:val="18"/>
            <w:u w:val="single" w:color="auto"/>
            <w:color w:val="0000FF"/>
          </w:rPr>
          <w:t>May 15,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1">
        <w:r>
          <w:rPr>
            <w:rFonts w:ascii="Times New Roman" w:cs="Times New Roman" w:eastAsia="Times New Roman" w:hAnsi="Times New Roman"/>
            <w:sz w:val="18"/>
            <w:szCs w:val="18"/>
            <w:u w:val="single" w:color="auto"/>
            <w:color w:val="0000FF"/>
          </w:rPr>
          <w:t xml:space="preserve">August 7, 2023 </w:t>
        </w:r>
      </w:hyperlink>
      <w:hyperlink r:id="rId2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22">
        <w:r>
          <w:rPr>
            <w:rFonts w:ascii="Times New Roman" w:cs="Times New Roman" w:eastAsia="Times New Roman" w:hAnsi="Times New Roman"/>
            <w:sz w:val="18"/>
            <w:szCs w:val="18"/>
            <w:u w:val="single" w:color="auto"/>
            <w:color w:val="0000FF"/>
          </w:rPr>
          <w:t>November 13, 2023</w:t>
        </w:r>
      </w:hyperlink>
      <w:hyperlink r:id="rId20">
        <w:r>
          <w:rPr>
            <w:rFonts w:ascii="Times New Roman" w:cs="Times New Roman" w:eastAsia="Times New Roman" w:hAnsi="Times New Roman"/>
            <w:sz w:val="18"/>
            <w:szCs w:val="18"/>
            <w:color w:val="000000"/>
          </w:rPr>
          <w:t>, respectively;</w:t>
        </w:r>
      </w:hyperlink>
    </w:p>
    <w:p>
      <w:pPr>
        <w:spacing w:after="0" w:line="107" w:lineRule="exact"/>
        <w:rPr>
          <w:rFonts w:ascii="Times New Roman" w:cs="Times New Roman" w:eastAsia="Times New Roman" w:hAnsi="Times New Roman"/>
          <w:sz w:val="18"/>
          <w:szCs w:val="18"/>
          <w:color w:val="0000FF"/>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FF"/>
          </w:rPr>
          <w:t>January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14,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4">
        <w:r>
          <w:rPr>
            <w:rFonts w:ascii="Times New Roman" w:cs="Times New Roman" w:eastAsia="Times New Roman" w:hAnsi="Times New Roman"/>
            <w:sz w:val="18"/>
            <w:szCs w:val="18"/>
            <w:u w:val="single" w:color="auto"/>
            <w:color w:val="0000FF"/>
          </w:rPr>
          <w:t xml:space="preserve">October 26, 2023 </w:t>
        </w:r>
      </w:hyperlink>
      <w:hyperlink r:id="rId2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25">
        <w:r>
          <w:rPr>
            <w:rFonts w:ascii="Times New Roman" w:cs="Times New Roman" w:eastAsia="Times New Roman" w:hAnsi="Times New Roman"/>
            <w:sz w:val="18"/>
            <w:szCs w:val="18"/>
            <w:u w:val="single" w:color="auto"/>
            <w:color w:val="0000FF"/>
          </w:rPr>
          <w:t>November 17, 2023</w:t>
        </w:r>
      </w:hyperlink>
      <w:hyperlink r:id="rId23">
        <w:r>
          <w:rPr>
            <w:rFonts w:ascii="Times New Roman" w:cs="Times New Roman" w:eastAsia="Times New Roman" w:hAnsi="Times New Roman"/>
            <w:sz w:val="18"/>
            <w:szCs w:val="18"/>
            <w:color w:val="000000"/>
          </w:rPr>
          <w:t>; and</w:t>
        </w:r>
      </w:hyperlink>
    </w:p>
    <w:p>
      <w:pPr>
        <w:spacing w:after="0" w:line="107" w:lineRule="exact"/>
        <w:rPr>
          <w:rFonts w:ascii="Times New Roman" w:cs="Times New Roman" w:eastAsia="Times New Roman" w:hAnsi="Times New Roman"/>
          <w:sz w:val="18"/>
          <w:szCs w:val="18"/>
          <w:color w:val="0000FF"/>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description of our common stock set forth in the Registrant's registration statement on Form 8-A12B (Registration No. 001-39049), filed by </w:t>
      </w:r>
      <w:hyperlink r:id="rId26">
        <w:r>
          <w:rPr>
            <w:rFonts w:ascii="Times New Roman" w:cs="Times New Roman" w:eastAsia="Times New Roman" w:hAnsi="Times New Roman"/>
            <w:sz w:val="18"/>
            <w:szCs w:val="18"/>
            <w:color w:val="auto"/>
          </w:rPr>
          <w:t xml:space="preserve">the Registrant with the SEC under Section 12(b) of the Securities Exchange Act of 1934, as amended, or the Exchange Act, on </w:t>
        </w:r>
        <w:r>
          <w:rPr>
            <w:rFonts w:ascii="Times New Roman" w:cs="Times New Roman" w:eastAsia="Times New Roman" w:hAnsi="Times New Roman"/>
            <w:sz w:val="18"/>
            <w:szCs w:val="18"/>
            <w:u w:val="single" w:color="auto"/>
            <w:color w:val="0000FF"/>
          </w:rPr>
          <w:t>September 13,</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2019</w:t>
        </w:r>
        <w:r>
          <w:rPr>
            <w:rFonts w:ascii="Times New Roman" w:cs="Times New Roman" w:eastAsia="Times New Roman" w:hAnsi="Times New Roman"/>
            <w:sz w:val="18"/>
            <w:szCs w:val="18"/>
            <w:color w:val="000000"/>
          </w:rPr>
          <w:t>, including any amendments or reports filed for the purpose of updating such description.</w:t>
        </w:r>
      </w:hyperlink>
    </w:p>
    <w:p>
      <w:pPr>
        <w:spacing w:after="0" w:line="122" w:lineRule="exact"/>
        <w:rPr>
          <w:rFonts w:ascii="Times New Roman" w:cs="Times New Roman" w:eastAsia="Times New Roman" w:hAnsi="Times New Roman"/>
          <w:sz w:val="18"/>
          <w:szCs w:val="18"/>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our Compensation Committee report and performance graph or any information furnished pursuant to Items 2.02 or 7.01 of Form 8-K or related exhibits furnished pursuant to Item 9.01 of Form 8-K.</w:t>
      </w:r>
    </w:p>
    <w:p>
      <w:pPr>
        <w:spacing w:after="0" w:line="129"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Exagen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1261 Liberty Way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 California 92081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(760) 560-1501</w:t>
      </w:r>
    </w:p>
    <w:p>
      <w:pPr>
        <w:spacing w:after="0" w:line="153"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144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5"/>
          <w:szCs w:val="25"/>
          <w:b w:val="1"/>
          <w:bCs w:val="1"/>
          <w:color w:val="auto"/>
        </w:rPr>
        <w:t>$10,223,534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161290</wp:posOffset>
            </wp:positionV>
            <wp:extent cx="2468880" cy="908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246888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178435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213995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9019"/>
          </w:cols>
          <w:pgMar w:left="1440" w:top="1407" w:right="1440" w:bottom="1440" w:gutter="0" w:footer="0" w:header="0"/>
        </w:sectPr>
      </w:pPr>
    </w:p>
    <w:bookmarkStart w:id="55" w:name="page56"/>
    <w:bookmarkEnd w:id="55"/>
    <w:p>
      <w:pPr>
        <w:ind w:left="56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an estimate of expenses (all of which are to be paid by the registrant) that we may incur in connection with the securities being registered hereby. Each item listed is estimated, except for the SEC registration fee and the Financial Industry Regulatory Authority, Inc., or FINRA, filing fee.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10,206</w:t>
            </w:r>
          </w:p>
        </w:tc>
        <w:tc>
          <w:tcPr>
            <w:tcW w:w="0" w:type="dxa"/>
            <w:vAlign w:val="bottom"/>
          </w:tcPr>
          <w:p>
            <w:pPr>
              <w:spacing w:after="0"/>
              <w:rPr>
                <w:sz w:val="1"/>
                <w:szCs w:val="1"/>
                <w:color w:val="auto"/>
              </w:rPr>
            </w:pPr>
          </w:p>
        </w:tc>
      </w:tr>
      <w:tr>
        <w:trPr>
          <w:trHeight w:val="150"/>
        </w:trPr>
        <w:tc>
          <w:tcPr>
            <w:tcW w:w="9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3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4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3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40" w:type="dxa"/>
            <w:vAlign w:val="bottom"/>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9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40" w:type="dxa"/>
            <w:vAlign w:val="bottom"/>
            <w:vMerge w:val="continue"/>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 of 1933, as amended.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2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Pr>
          <w:p>
            <w:pPr>
              <w:spacing w:after="0"/>
              <w:rPr>
                <w:sz w:val="13"/>
                <w:szCs w:val="13"/>
                <w:color w:val="auto"/>
              </w:rPr>
            </w:pPr>
          </w:p>
        </w:tc>
        <w:tc>
          <w:tcPr>
            <w:tcW w:w="18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620" w:type="dxa"/>
            <w:vAlign w:val="bottom"/>
            <w:gridSpan w:val="10"/>
            <w:vMerge w:val="continue"/>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4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12"/>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Sales Agreement, dated as of September 15, 2022, by and between the</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9-15-2022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Company and Cowen and Company, LLC</w:t>
              </w:r>
              <w:r>
                <w:rPr>
                  <w:rFonts w:ascii="Times New Roman" w:cs="Times New Roman" w:eastAsia="Times New Roman" w:hAnsi="Times New Roman"/>
                  <w:sz w:val="18"/>
                  <w:szCs w:val="18"/>
                  <w:color w:val="000000"/>
                </w:rPr>
                <w:t>.</w:t>
              </w:r>
            </w:hyperlink>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2"/>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Amendment No. 1, dated November 17, 2023, to the Sales Agreement, dated as</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7"/>
              </w:rPr>
              <w:t>11-17-2023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of September 15, 2022, by and between Exagen Inc. and Cowen and Company,</w:t>
              </w:r>
            </w:hyperlink>
          </w:p>
        </w:tc>
        <w:tc>
          <w:tcPr>
            <w:tcW w:w="2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LLC.</w:t>
              </w:r>
            </w:hyperlink>
          </w:p>
        </w:tc>
        <w:tc>
          <w:tcPr>
            <w:tcW w:w="22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Amended and Restated Certificate of Incorporation.</w:t>
              </w:r>
            </w:hyperlink>
          </w:p>
        </w:tc>
        <w:tc>
          <w:tcPr>
            <w:tcW w:w="2180" w:type="dxa"/>
            <w:vAlign w:val="bottom"/>
            <w:gridSpan w:val="8"/>
          </w:tcPr>
          <w:p>
            <w:pPr>
              <w:spacing w:after="0"/>
              <w:rPr>
                <w:sz w:val="22"/>
                <w:szCs w:val="22"/>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9-23-2019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Amended and Restated Bylaws.</w:t>
              </w:r>
            </w:hyperlink>
          </w:p>
        </w:tc>
        <w:tc>
          <w:tcPr>
            <w:tcW w:w="3620" w:type="dxa"/>
            <w:vAlign w:val="bottom"/>
            <w:gridSpan w:val="10"/>
          </w:tcPr>
          <w:p>
            <w:pPr>
              <w:spacing w:after="0"/>
              <w:rPr>
                <w:sz w:val="22"/>
                <w:szCs w:val="22"/>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3-22-2021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20" w:type="dxa"/>
            <w:vAlign w:val="bottom"/>
            <w:gridSpan w:val="12"/>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Amended and Restated Bylaws, dated January 19, 2023</w:t>
              </w:r>
            </w:hyperlink>
            <w:r>
              <w:rPr>
                <w:rFonts w:ascii="Times New Roman" w:cs="Times New Roman" w:eastAsia="Times New Roman" w:hAnsi="Times New Roman"/>
                <w:sz w:val="18"/>
                <w:szCs w:val="18"/>
                <w:color w:val="000000"/>
              </w:rPr>
              <w:t>.</w:t>
            </w: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1-23-2023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20" w:type="dxa"/>
            <w:vAlign w:val="bottom"/>
            <w:gridSpan w:val="12"/>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Specimen stock certificate evidencing the shares of common stock.</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9-9-2019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20" w:type="dxa"/>
            <w:vAlign w:val="bottom"/>
            <w:gridSpan w:val="12"/>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Investors’ Rights Agreement, dated July 12, 2019, by</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9-9-2019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and among the Registrant and certain of its stockholders.</w:t>
              </w:r>
            </w:hyperlink>
          </w:p>
        </w:tc>
        <w:tc>
          <w:tcPr>
            <w:tcW w:w="36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1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20" w:type="dxa"/>
            <w:vAlign w:val="bottom"/>
            <w:gridSpan w:val="1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tcPr>
          <w:p>
            <w:pPr>
              <w:spacing w:after="0"/>
              <w:rPr>
                <w:sz w:val="13"/>
                <w:szCs w:val="13"/>
                <w:color w:val="auto"/>
              </w:rPr>
            </w:pPr>
          </w:p>
        </w:tc>
        <w:tc>
          <w:tcPr>
            <w:tcW w:w="18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20" w:type="dxa"/>
            <w:vAlign w:val="bottom"/>
            <w:gridSpan w:val="13"/>
            <w:vMerge w:val="continue"/>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20" w:type="dxa"/>
            <w:vAlign w:val="bottom"/>
            <w:gridSpan w:val="17"/>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Stockholders' Agreement, dated July 12, 2019, by and</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9-9-2019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among the Company and certain of its stockholders.</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Form of Common Stock Purchase Warrant issued to investors by the Registrant</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9-9-2019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 connection with private placement financings.</w:t>
              </w:r>
            </w:hyperlink>
          </w:p>
        </w:tc>
        <w:tc>
          <w:tcPr>
            <w:tcW w:w="1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Common Stock Purchase Warrant to purchase common stock issued to</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9-9-2019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investors by the Registrant in 2016.</w:t>
              </w:r>
            </w:hyperlink>
          </w:p>
        </w:tc>
        <w:tc>
          <w:tcPr>
            <w:tcW w:w="3160" w:type="dxa"/>
            <w:vAlign w:val="bottom"/>
            <w:tcBorders>
              <w:top w:val="single" w:sz="8" w:color="0000FF"/>
            </w:tcBorders>
            <w:gridSpan w:val="9"/>
          </w:tcPr>
          <w:p>
            <w:pPr>
              <w:spacing w:after="0"/>
              <w:rPr>
                <w:sz w:val="13"/>
                <w:szCs w:val="13"/>
                <w:color w:val="auto"/>
              </w:rPr>
            </w:pPr>
          </w:p>
        </w:tc>
        <w:tc>
          <w:tcPr>
            <w:tcW w:w="2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Form of Warrant to Purchase Stock issued to Innovatus Life Sciences Lending</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9-9-2019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Fund I. LP in connection with the Registrant’s 2018 loan agreement.</w:t>
              </w:r>
            </w:hyperlink>
          </w:p>
        </w:tc>
        <w:tc>
          <w:tcPr>
            <w:tcW w:w="2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Form of Exchange Warrant.</w:t>
              </w:r>
            </w:hyperlink>
          </w:p>
        </w:tc>
        <w:tc>
          <w:tcPr>
            <w:tcW w:w="1000" w:type="dxa"/>
            <w:vAlign w:val="bottom"/>
            <w:gridSpan w:val="8"/>
          </w:tcPr>
          <w:p>
            <w:pPr>
              <w:spacing w:after="0"/>
              <w:rPr>
                <w:sz w:val="24"/>
                <w:szCs w:val="24"/>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10-Q</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17"/>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Indenture.</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S-3</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333-250015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Opinion of Mintz, Levin Cohn, Ferris, Glovsky and Popeo, P.C.</w:t>
              </w:r>
            </w:hyperlink>
          </w:p>
        </w:tc>
        <w:tc>
          <w:tcPr>
            <w:tcW w:w="1320" w:type="dxa"/>
            <w:vAlign w:val="bottom"/>
            <w:gridSpan w:val="9"/>
          </w:tcPr>
          <w:p>
            <w:pPr>
              <w:spacing w:after="0"/>
              <w:rPr>
                <w:sz w:val="21"/>
                <w:szCs w:val="21"/>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S-3</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333-275632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BDO USA, P.C., independent registered public accounting firm.</w:t>
            </w: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gridSpan w:val="4"/>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20" w:type="dxa"/>
            <w:vAlign w:val="bottom"/>
            <w:gridSpan w:val="17"/>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Consent of Mintz, Levin Cohn, Ferris, Glovsky and Popeo, P.C. (included in</w:t>
              </w:r>
            </w:hyperlink>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S-3</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333-275632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Exhibit 5.1).</w:t>
              </w:r>
            </w:hyperlink>
          </w:p>
        </w:tc>
        <w:tc>
          <w:tcPr>
            <w:tcW w:w="42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2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Power of Attorney (included in signature page).</w:t>
            </w:r>
          </w:p>
        </w:tc>
        <w:tc>
          <w:tcPr>
            <w:tcW w:w="2420" w:type="dxa"/>
            <w:vAlign w:val="bottom"/>
            <w:gridSpan w:val="11"/>
          </w:tcPr>
          <w:p>
            <w:pPr>
              <w:spacing w:after="0"/>
              <w:rPr>
                <w:sz w:val="24"/>
                <w:szCs w:val="24"/>
                <w:color w:val="auto"/>
              </w:rPr>
            </w:pPr>
          </w:p>
        </w:tc>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S-3</w:t>
            </w:r>
          </w:p>
        </w:tc>
        <w:tc>
          <w:tcPr>
            <w:tcW w:w="16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333-275632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Statement of Eligibility of Trustee on Form T-1 under the Trust Indenture Act of</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1939, as amended.</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4700" w:type="dxa"/>
            <w:vAlign w:val="bottom"/>
            <w:gridSpan w:val="15"/>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9" w:lineRule="auto"/>
        <w:tabs>
          <w:tab w:leader="none" w:pos="33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subsequently filed, if applicable, by an amendment to this registration statement or as an exhibit to a report on Form 10-K, Form 10-Q or Form 8-K and incorporated herein by reference.</w:t>
      </w:r>
    </w:p>
    <w:p>
      <w:pPr>
        <w:spacing w:after="0" w:line="174"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the requirements of Section 305(b)(2) of the Trust Indenture Act of 1939, as amended, and the applicable rules thereunder.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(“Securities Act”);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439" w:right="339" w:bottom="1440" w:gutter="0" w:footer="0" w:header="0"/>
        </w:sectPr>
      </w:pPr>
    </w:p>
    <w:bookmarkStart w:id="58" w:name="page59"/>
    <w:bookmarkEnd w:id="58"/>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6" w:lineRule="exact"/>
        <w:rPr>
          <w:sz w:val="20"/>
          <w:szCs w:val="20"/>
          <w:color w:val="auto"/>
        </w:rPr>
      </w:pPr>
    </w:p>
    <w:p>
      <w:pPr>
        <w:jc w:val="both"/>
        <w:ind w:left="644" w:hanging="320"/>
        <w:spacing w:after="0" w:line="256" w:lineRule="auto"/>
        <w:tabs>
          <w:tab w:leader="none" w:pos="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(“Exchange Act”), that are incorporated by reference in the registration statement, or is contained in a form of prospectus filed pursuant to Rule 424(b) that is part of the registration statement;</w:t>
      </w:r>
    </w:p>
    <w:p>
      <w:pPr>
        <w:spacing w:after="0" w:line="133"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324" w:hanging="324"/>
        <w:spacing w:after="0" w:line="282" w:lineRule="auto"/>
        <w:tabs>
          <w:tab w:leader="none" w:pos="3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71" w:lineRule="exact"/>
        <w:rPr>
          <w:rFonts w:ascii="Times New Roman" w:cs="Times New Roman" w:eastAsia="Times New Roman" w:hAnsi="Times New Roman"/>
          <w:sz w:val="18"/>
          <w:szCs w:val="18"/>
          <w:color w:val="auto"/>
        </w:rPr>
      </w:pPr>
    </w:p>
    <w:p>
      <w:pPr>
        <w:ind w:left="644" w:hanging="320"/>
        <w:spacing w:after="0" w:line="282" w:lineRule="auto"/>
        <w:tabs>
          <w:tab w:leader="none" w:pos="6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jc w:val="both"/>
        <w:ind w:left="644" w:hanging="320"/>
        <w:spacing w:after="0" w:line="253" w:lineRule="auto"/>
        <w:tabs>
          <w:tab w:leader="none" w:pos="63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584"/>
          </w:cols>
          <w:pgMar w:left="976" w:top="1417" w:right="339" w:bottom="1440" w:gutter="0" w:footer="0" w:header="0"/>
        </w:sectPr>
      </w:pPr>
    </w:p>
    <w:bookmarkStart w:id="59" w:name="page60"/>
    <w:bookmarkEnd w:id="59"/>
    <w:p>
      <w:pPr>
        <w:ind w:left="324"/>
        <w:spacing w:after="0"/>
        <w:rPr>
          <w:sz w:val="20"/>
          <w:szCs w:val="20"/>
          <w:color w:val="auto"/>
        </w:rPr>
      </w:pPr>
      <w:r>
        <w:rPr>
          <w:rFonts w:ascii="Times New Roman" w:cs="Times New Roman" w:eastAsia="Times New Roman" w:hAnsi="Times New Roman"/>
          <w:sz w:val="18"/>
          <w:szCs w:val="18"/>
          <w:color w:val="auto"/>
        </w:rPr>
        <w:t>registrant will be a seller to the purchaser and will be considered to offer or sell such securities to such purchaser:</w:t>
      </w:r>
    </w:p>
    <w:p>
      <w:pPr>
        <w:spacing w:after="0" w:line="171" w:lineRule="exact"/>
        <w:rPr>
          <w:sz w:val="20"/>
          <w:szCs w:val="20"/>
          <w:color w:val="auto"/>
        </w:rPr>
      </w:pPr>
    </w:p>
    <w:p>
      <w:pPr>
        <w:ind w:left="644" w:hanging="320"/>
        <w:spacing w:after="0"/>
        <w:tabs>
          <w:tab w:leader="none" w:pos="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644" w:hanging="320"/>
        <w:spacing w:after="0" w:line="282" w:lineRule="auto"/>
        <w:tabs>
          <w:tab w:leader="none" w:pos="6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7"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and</w:t>
      </w:r>
    </w:p>
    <w:p>
      <w:pPr>
        <w:spacing w:after="0" w:line="12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584"/>
          </w:cols>
          <w:pgMar w:left="976" w:top="1417" w:right="339" w:bottom="1440" w:gutter="0" w:footer="0" w:header="0"/>
        </w:sectPr>
      </w:pPr>
    </w:p>
    <w:bookmarkStart w:id="60" w:name="page61"/>
    <w:bookmarkEnd w:id="6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Vista, State of California, on the 27th day of November, 2023.</w:t>
      </w:r>
    </w:p>
    <w:p>
      <w:pPr>
        <w:spacing w:after="0" w:line="16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EXAGEN INC.</w:t>
      </w:r>
    </w:p>
    <w:p>
      <w:pPr>
        <w:spacing w:after="0" w:line="293" w:lineRule="exact"/>
        <w:rPr>
          <w:sz w:val="20"/>
          <w:szCs w:val="20"/>
          <w:color w:val="auto"/>
        </w:rPr>
      </w:pPr>
    </w:p>
    <w:tbl>
      <w:tblPr>
        <w:tblLayout w:type="fixed"/>
        <w:tblInd w:w="598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Aballi</w:t>
            </w:r>
          </w:p>
        </w:tc>
      </w:tr>
      <w:tr>
        <w:trPr>
          <w:trHeight w:val="218"/>
        </w:trPr>
        <w:tc>
          <w:tcPr>
            <w:tcW w:w="92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Aballi</w:t>
            </w:r>
          </w:p>
        </w:tc>
      </w:tr>
      <w:tr>
        <w:trPr>
          <w:trHeight w:val="234"/>
        </w:trPr>
        <w:tc>
          <w:tcPr>
            <w:tcW w:w="9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040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0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John Aballi</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Kamal Adawi</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Tina S. Nova, Ph.D.</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Ana Hooker</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Wendy S. Johnson</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Frank Stokes</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Brian Birk</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Ebetuel Pallares, Ph.D.</w:t>
      </w:r>
    </w:p>
    <w:p>
      <w:pPr>
        <w:spacing w:after="0" w:line="12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Bruce C. Robertson</w:t>
      </w:r>
    </w:p>
    <w:p>
      <w:pPr>
        <w:spacing w:after="0" w:line="1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0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Paul Kim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power of attorney.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5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50"/>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236"/>
        </w:trPr>
        <w:tc>
          <w:tcPr>
            <w:tcW w:w="5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300" w:type="dxa"/>
            <w:vAlign w:val="bottom"/>
          </w:tcPr>
          <w:p>
            <w:pPr>
              <w:spacing w:after="0"/>
              <w:rPr>
                <w:sz w:val="20"/>
                <w:szCs w:val="20"/>
                <w:color w:val="auto"/>
              </w:rPr>
            </w:pPr>
          </w:p>
        </w:tc>
      </w:tr>
      <w:tr>
        <w:trPr>
          <w:trHeight w:val="331"/>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236"/>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p>
        </w:tc>
        <w:tc>
          <w:tcPr>
            <w:tcW w:w="2300" w:type="dxa"/>
            <w:vAlign w:val="bottom"/>
          </w:tcPr>
          <w:p>
            <w:pPr>
              <w:spacing w:after="0"/>
              <w:rPr>
                <w:sz w:val="20"/>
                <w:szCs w:val="20"/>
                <w:color w:val="auto"/>
              </w:rPr>
            </w:pPr>
          </w:p>
        </w:tc>
      </w:tr>
      <w:tr>
        <w:trPr>
          <w:trHeight w:val="344"/>
        </w:trPr>
        <w:tc>
          <w:tcPr>
            <w:tcW w:w="5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Executive Chairperson of the Board of Directors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5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5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5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5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5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5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r>
        <w:trPr>
          <w:trHeight w:val="567"/>
        </w:trPr>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27, 2023</w:t>
            </w:r>
          </w:p>
        </w:tc>
      </w:tr>
    </w:tbl>
    <w:p>
      <w:pPr>
        <w:spacing w:after="0" w:line="899" w:lineRule="exact"/>
        <w:rPr>
          <w:sz w:val="20"/>
          <w:szCs w:val="20"/>
          <w:color w:val="auto"/>
        </w:rPr>
      </w:pPr>
    </w:p>
    <w:p>
      <w:pPr>
        <w:sectPr>
          <w:pgSz w:w="11900" w:h="16838" w:orient="portrait"/>
          <w:cols w:equalWidth="0" w:num="2">
            <w:col w:w="2600" w:space="720"/>
            <w:col w:w="7920"/>
          </w:cols>
          <w:pgMar w:left="320" w:top="1440" w:right="339" w:bottom="1440" w:gutter="0" w:footer="0" w:header="0"/>
          <w:type w:val="continuous"/>
        </w:sectPr>
      </w:pPr>
    </w:p>
    <w:tbl>
      <w:tblPr>
        <w:tblLayout w:type="fixed"/>
        <w:tblInd w:w="4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Aballi</w:t>
            </w:r>
          </w:p>
        </w:tc>
      </w:tr>
      <w:tr>
        <w:trPr>
          <w:trHeight w:val="216"/>
        </w:trPr>
        <w:tc>
          <w:tcPr>
            <w:tcW w:w="6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Aballi</w:t>
            </w:r>
          </w:p>
        </w:tc>
      </w:tr>
      <w:tr>
        <w:trPr>
          <w:trHeight w:val="236"/>
        </w:trPr>
        <w:tc>
          <w:tcPr>
            <w:tcW w:w="6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440" w:right="339" w:bottom="1440" w:gutter="0" w:footer="0" w:header="0"/>
          <w:type w:val="continuous"/>
        </w:sectPr>
      </w:pPr>
    </w:p>
    <w:bookmarkStart w:id="61" w:name="page62"/>
    <w:bookmarkEnd w:id="61"/>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Form S-3/A</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Exagen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1: Newly Registered and Carryforward Securities</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7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0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102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 Fee Paid</w:t>
            </w:r>
          </w:p>
        </w:tc>
        <w:tc>
          <w:tcPr>
            <w:tcW w:w="0" w:type="dxa"/>
            <w:vAlign w:val="bottom"/>
          </w:tcPr>
          <w:p>
            <w:pPr>
              <w:spacing w:after="0"/>
              <w:rPr>
                <w:sz w:val="1"/>
                <w:szCs w:val="1"/>
                <w:color w:val="auto"/>
              </w:rPr>
            </w:pPr>
          </w:p>
        </w:tc>
      </w:tr>
      <w:tr>
        <w:trPr>
          <w:trHeight w:val="148"/>
        </w:trPr>
        <w:tc>
          <w:tcPr>
            <w:tcW w:w="9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Connection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64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with Unsold</w:t>
            </w:r>
          </w:p>
        </w:tc>
        <w:tc>
          <w:tcPr>
            <w:tcW w:w="0" w:type="dxa"/>
            <w:vAlign w:val="bottom"/>
          </w:tcPr>
          <w:p>
            <w:pPr>
              <w:spacing w:after="0"/>
              <w:rPr>
                <w:sz w:val="1"/>
                <w:szCs w:val="1"/>
                <w:color w:val="auto"/>
              </w:rPr>
            </w:pPr>
          </w:p>
        </w:tc>
      </w:tr>
      <w:tr>
        <w:trPr>
          <w:trHeight w:val="148"/>
        </w:trPr>
        <w:tc>
          <w:tcPr>
            <w:tcW w:w="9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6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48"/>
        </w:trPr>
        <w:tc>
          <w:tcPr>
            <w:tcW w:w="9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 File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96"/>
        </w:trPr>
        <w:tc>
          <w:tcPr>
            <w:tcW w:w="9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760" w:type="dxa"/>
            <w:vAlign w:val="bottom"/>
            <w:tcBorders>
              <w:bottom w:val="single" w:sz="8" w:color="auto"/>
              <w:right w:val="single" w:sz="8" w:color="auto"/>
            </w:tcBorders>
            <w:vMerge w:val="continue"/>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92"/>
        </w:trPr>
        <w:tc>
          <w:tcPr>
            <w:tcW w:w="980" w:type="dxa"/>
            <w:vAlign w:val="bottom"/>
            <w:tcBorders>
              <w:lef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80" w:type="dxa"/>
            <w:vAlign w:val="bottom"/>
            <w:tcBorders>
              <w:left w:val="single" w:sz="8" w:color="auto"/>
              <w:right w:val="single" w:sz="8" w:color="auto"/>
            </w:tcBorders>
          </w:tcPr>
          <w:p>
            <w:pPr>
              <w:spacing w:after="0"/>
              <w:rPr>
                <w:sz w:val="13"/>
                <w:szCs w:val="13"/>
                <w:color w:val="auto"/>
              </w:rPr>
            </w:pP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457(o)</w:t>
            </w:r>
          </w:p>
        </w:tc>
        <w:tc>
          <w:tcPr>
            <w:tcW w:w="7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$0.001 par value</w:t>
            </w: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8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8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Borders>
              <w:left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80" w:type="dxa"/>
            <w:vAlign w:val="bottom"/>
            <w:tcBorders>
              <w:left w:val="single" w:sz="8" w:color="auto"/>
              <w:right w:val="single" w:sz="8" w:color="auto"/>
            </w:tcBorders>
          </w:tcPr>
          <w:p>
            <w:pPr>
              <w:spacing w:after="0"/>
              <w:rPr>
                <w:sz w:val="13"/>
                <w:szCs w:val="13"/>
                <w:color w:val="auto"/>
              </w:rPr>
            </w:pP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Preferred Stock,</w:t>
            </w:r>
          </w:p>
        </w:tc>
        <w:tc>
          <w:tcPr>
            <w:tcW w:w="8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457(o)</w:t>
            </w:r>
          </w:p>
        </w:tc>
        <w:tc>
          <w:tcPr>
            <w:tcW w:w="7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$0.001 par value</w:t>
            </w: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Newly</w:t>
            </w:r>
          </w:p>
        </w:tc>
        <w:tc>
          <w:tcPr>
            <w:tcW w:w="8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88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980" w:type="dxa"/>
            <w:vAlign w:val="bottom"/>
            <w:tcBorders>
              <w:left w:val="single" w:sz="8" w:color="auto"/>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 Securities</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457(o)</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8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980" w:type="dxa"/>
            <w:vAlign w:val="bottom"/>
            <w:tcBorders>
              <w:left w:val="single" w:sz="8" w:color="auto"/>
              <w:right w:val="single" w:sz="8" w:color="auto"/>
            </w:tcBorders>
            <w:vMerge w:val="continue"/>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98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457(o)</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980" w:type="dxa"/>
            <w:vAlign w:val="bottom"/>
            <w:tcBorders>
              <w:left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8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Units</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457(o)</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Borders>
              <w:left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80" w:type="dxa"/>
            <w:vAlign w:val="bottom"/>
            <w:tcBorders>
              <w:left w:val="single" w:sz="8" w:color="auto"/>
              <w:right w:val="single" w:sz="8" w:color="auto"/>
            </w:tcBorders>
          </w:tcPr>
          <w:p>
            <w:pPr>
              <w:spacing w:after="0"/>
              <w:rPr>
                <w:sz w:val="13"/>
                <w:szCs w:val="13"/>
                <w:color w:val="auto"/>
              </w:rPr>
            </w:pP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Unallocated</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457(o)</w:t>
            </w:r>
          </w:p>
        </w:tc>
        <w:tc>
          <w:tcPr>
            <w:tcW w:w="7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$69,143,750.00</w:t>
            </w:r>
          </w:p>
        </w:tc>
        <w:tc>
          <w:tcPr>
            <w:tcW w:w="760" w:type="dxa"/>
            <w:vAlign w:val="bottom"/>
            <w:tcBorders>
              <w:right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0.00014760</w:t>
            </w:r>
          </w:p>
        </w:tc>
        <w:tc>
          <w:tcPr>
            <w:tcW w:w="9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$10,205.62 (3)</w:t>
            </w:r>
          </w:p>
        </w:tc>
        <w:tc>
          <w:tcPr>
            <w:tcW w:w="6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(Universal)</w:t>
            </w:r>
          </w:p>
        </w:tc>
        <w:tc>
          <w:tcPr>
            <w:tcW w:w="10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8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4" w:right="319" w:bottom="1440" w:gutter="0" w:footer="0" w:header="0"/>
        </w:sectPr>
      </w:pPr>
    </w:p>
    <w:bookmarkStart w:id="62" w:name="page63"/>
    <w:bookmarkEnd w:id="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000" w:type="dxa"/>
            <w:vAlign w:val="bottom"/>
            <w:tcBorders>
              <w:top w:val="single" w:sz="8" w:color="auto"/>
              <w:left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tcBorders>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415(a)(6)</w:t>
            </w:r>
          </w:p>
        </w:tc>
        <w:tc>
          <w:tcPr>
            <w:tcW w:w="54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Form S-3</w:t>
            </w:r>
          </w:p>
        </w:tc>
        <w:tc>
          <w:tcPr>
            <w:tcW w:w="860" w:type="dxa"/>
            <w:vAlign w:val="bottom"/>
            <w:tcBorders>
              <w:right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333-250015</w:t>
            </w: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November</w:t>
            </w: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$0.001 par value</w:t>
            </w:r>
          </w:p>
        </w:tc>
        <w:tc>
          <w:tcPr>
            <w:tcW w:w="7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19, 2020</w:t>
            </w: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Preferred Stock,</w:t>
            </w:r>
          </w:p>
        </w:tc>
        <w:tc>
          <w:tcPr>
            <w:tcW w:w="780" w:type="dxa"/>
            <w:vAlign w:val="bottom"/>
            <w:tcBorders>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415(a)(6)</w:t>
            </w:r>
          </w:p>
        </w:tc>
        <w:tc>
          <w:tcPr>
            <w:tcW w:w="54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Form S-3</w:t>
            </w:r>
          </w:p>
        </w:tc>
        <w:tc>
          <w:tcPr>
            <w:tcW w:w="860" w:type="dxa"/>
            <w:vAlign w:val="bottom"/>
            <w:tcBorders>
              <w:right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333-250015</w:t>
            </w: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November</w:t>
            </w: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$0.001 par value</w:t>
            </w:r>
          </w:p>
        </w:tc>
        <w:tc>
          <w:tcPr>
            <w:tcW w:w="7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19, 2020</w:t>
            </w: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 Forward</w:t>
            </w:r>
          </w:p>
        </w:tc>
        <w:tc>
          <w:tcPr>
            <w:tcW w:w="8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Debt</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Debt Securities</w:t>
            </w:r>
          </w:p>
        </w:tc>
        <w:tc>
          <w:tcPr>
            <w:tcW w:w="780" w:type="dxa"/>
            <w:vAlign w:val="bottom"/>
            <w:tcBorders>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415(a)(6)</w:t>
            </w:r>
          </w:p>
        </w:tc>
        <w:tc>
          <w:tcPr>
            <w:tcW w:w="54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Form S-3</w:t>
            </w:r>
          </w:p>
        </w:tc>
        <w:tc>
          <w:tcPr>
            <w:tcW w:w="860" w:type="dxa"/>
            <w:vAlign w:val="bottom"/>
            <w:tcBorders>
              <w:right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333-250015</w:t>
            </w: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November</w:t>
            </w: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19, 2020</w:t>
            </w: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8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right w:val="single" w:sz="8" w:color="auto"/>
            </w:tcBorders>
            <w:vMerge w:val="continue"/>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1000" w:type="dxa"/>
            <w:vAlign w:val="bottom"/>
            <w:tcBorders>
              <w:left w:val="single" w:sz="8" w:color="auto"/>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tcBorders>
              <w:right w:val="single" w:sz="8" w:color="auto"/>
            </w:tcBorders>
            <w:vMerge w:val="restart"/>
          </w:tcPr>
          <w:p>
            <w:pPr>
              <w:ind w:left="100"/>
              <w:spacing w:after="0" w:line="160" w:lineRule="exact"/>
              <w:rPr>
                <w:sz w:val="20"/>
                <w:szCs w:val="20"/>
                <w:color w:val="auto"/>
              </w:rPr>
            </w:pPr>
            <w:r>
              <w:rPr>
                <w:rFonts w:ascii="Times New Roman" w:cs="Times New Roman" w:eastAsia="Times New Roman" w:hAnsi="Times New Roman"/>
                <w:sz w:val="14"/>
                <w:szCs w:val="14"/>
                <w:color w:val="auto"/>
              </w:rPr>
              <w:t>415(a)(6)</w:t>
            </w:r>
          </w:p>
        </w:tc>
        <w:tc>
          <w:tcPr>
            <w:tcW w:w="540" w:type="dxa"/>
            <w:vAlign w:val="bottom"/>
            <w:vMerge w:val="restart"/>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vMerge w:val="restart"/>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vMerge w:val="restart"/>
          </w:tcPr>
          <w:p>
            <w:pPr>
              <w:ind w:left="40"/>
              <w:spacing w:after="0" w:line="160" w:lineRule="exact"/>
              <w:rPr>
                <w:sz w:val="20"/>
                <w:szCs w:val="20"/>
                <w:color w:val="auto"/>
              </w:rPr>
            </w:pPr>
            <w:r>
              <w:rPr>
                <w:rFonts w:ascii="Times New Roman" w:cs="Times New Roman" w:eastAsia="Times New Roman" w:hAnsi="Times New Roman"/>
                <w:sz w:val="14"/>
                <w:szCs w:val="14"/>
                <w:color w:val="auto"/>
              </w:rPr>
              <w:t>Form S-3</w:t>
            </w:r>
          </w:p>
        </w:tc>
        <w:tc>
          <w:tcPr>
            <w:tcW w:w="860" w:type="dxa"/>
            <w:vAlign w:val="bottom"/>
            <w:tcBorders>
              <w:right w:val="single" w:sz="8" w:color="auto"/>
            </w:tcBorders>
            <w:vMerge w:val="restart"/>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333-250015</w:t>
            </w:r>
          </w:p>
        </w:tc>
        <w:tc>
          <w:tcPr>
            <w:tcW w:w="88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color w:val="auto"/>
              </w:rPr>
              <w:t>November</w:t>
            </w: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00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19, 2020</w:t>
            </w: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Units</w:t>
            </w:r>
          </w:p>
        </w:tc>
        <w:tc>
          <w:tcPr>
            <w:tcW w:w="780" w:type="dxa"/>
            <w:vAlign w:val="bottom"/>
            <w:tcBorders>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415(a)(6)</w:t>
            </w:r>
          </w:p>
        </w:tc>
        <w:tc>
          <w:tcPr>
            <w:tcW w:w="54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Form S-3</w:t>
            </w:r>
          </w:p>
        </w:tc>
        <w:tc>
          <w:tcPr>
            <w:tcW w:w="860" w:type="dxa"/>
            <w:vAlign w:val="bottom"/>
            <w:tcBorders>
              <w:right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333-250015</w:t>
            </w: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November</w:t>
            </w: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19, 2020</w:t>
            </w: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Unallocated</w:t>
            </w: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415(a)(6)</w:t>
            </w:r>
          </w:p>
        </w:tc>
        <w:tc>
          <w:tcPr>
            <w:tcW w:w="54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right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$80,856,250.00</w:t>
            </w:r>
          </w:p>
        </w:tc>
        <w:tc>
          <w:tcPr>
            <w:tcW w:w="760" w:type="dxa"/>
            <w:vAlign w:val="bottom"/>
            <w:tcBorders>
              <w:right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0.0001091</w:t>
            </w:r>
          </w:p>
        </w:tc>
        <w:tc>
          <w:tcPr>
            <w:tcW w:w="9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Form S-3</w:t>
            </w:r>
          </w:p>
        </w:tc>
        <w:tc>
          <w:tcPr>
            <w:tcW w:w="860" w:type="dxa"/>
            <w:vAlign w:val="bottom"/>
            <w:tcBorders>
              <w:right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color w:val="auto"/>
              </w:rPr>
              <w:t>333-250015</w:t>
            </w:r>
          </w:p>
        </w:tc>
        <w:tc>
          <w:tcPr>
            <w:tcW w:w="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November</w:t>
            </w:r>
          </w:p>
        </w:tc>
        <w:tc>
          <w:tcPr>
            <w:tcW w:w="1020" w:type="dxa"/>
            <w:vAlign w:val="bottom"/>
            <w:tcBorders>
              <w:right w:val="single" w:sz="8" w:color="auto"/>
            </w:tcBorders>
          </w:tcPr>
          <w:p>
            <w:pPr>
              <w:jc w:val="right"/>
              <w:ind w:right="168"/>
              <w:spacing w:after="0" w:line="160" w:lineRule="exact"/>
              <w:rPr>
                <w:sz w:val="20"/>
                <w:szCs w:val="20"/>
                <w:color w:val="auto"/>
              </w:rPr>
            </w:pPr>
            <w:r>
              <w:rPr>
                <w:rFonts w:ascii="Times New Roman" w:cs="Times New Roman" w:eastAsia="Times New Roman" w:hAnsi="Times New Roman"/>
                <w:sz w:val="14"/>
                <w:szCs w:val="14"/>
                <w:color w:val="auto"/>
              </w:rPr>
              <w:t>$8,821.47</w:t>
            </w: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right w:val="single" w:sz="8" w:color="auto"/>
            </w:tcBorders>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(Universal)</w:t>
            </w:r>
          </w:p>
        </w:tc>
        <w:tc>
          <w:tcPr>
            <w:tcW w:w="1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19, 2020</w:t>
            </w: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10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Total Offering</w:t>
            </w:r>
          </w:p>
        </w:tc>
        <w:tc>
          <w:tcPr>
            <w:tcW w:w="7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$150,000,000.00</w:t>
            </w: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$10,205.62</w:t>
            </w:r>
          </w:p>
        </w:tc>
        <w:tc>
          <w:tcPr>
            <w:tcW w:w="6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Amounts</w:t>
            </w: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Total Fees</w:t>
            </w:r>
          </w:p>
        </w:tc>
        <w:tc>
          <w:tcPr>
            <w:tcW w:w="7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$10,205.62 (4)</w:t>
            </w:r>
          </w:p>
        </w:tc>
        <w:tc>
          <w:tcPr>
            <w:tcW w:w="6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Previously Paid</w:t>
            </w: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Total Fee Offset</w:t>
            </w: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Net Fee Due</w:t>
            </w:r>
          </w:p>
        </w:tc>
        <w:tc>
          <w:tcPr>
            <w:tcW w:w="7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right="20" w:hanging="332"/>
        <w:spacing w:after="0" w:line="260"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being registered hereunder such indeterminate number of shares of common stock and preferred stock, such indeterminate principal amount of debt securities, such indeterminate number of warrants to purchase common stock, preferred stock or debt securities, and such indeterminate number of units, as shall have an aggregate initial offering price not to exceed $150,000,000.00. If any debt securities are issued at an original issue discount, then the offering price of such debt securities shall be in such greater principal amount as shall result in an aggregate initial offering price not to exceed $150,000,000.00,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$150,000,000 of securities registered hereunder includes $10,822,402 of shares of common stock that may be offered, issued and sold pursuant to that certain sales agreement, as amended, by and between the registrant and Cowen and Company, LLC.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registrant previously paid registration fees in the aggregate of $26,307 with respect to the Registration Statement on Form S-3 (Commission File No. 333-250015) (the “Prior Registration Statement”) of which $8,821.47 was paid in connection with the registration of the primary offering of securities that remain unsold as of the date hereof. Pursuant to Rule 415(a)(6) under the Securities Act the registration fee of $8,821.47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w:t>
      </w:r>
    </w:p>
    <w:p>
      <w:pPr>
        <w:spacing w:after="0" w:line="151"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Item 16(b) of Form S-3 under the Securities Act.</w:t>
      </w:r>
    </w:p>
    <w:p>
      <w:pPr>
        <w:spacing w:after="0" w:line="12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457(o) under the Securities Act.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Paid in prior filing.</w:t>
      </w:r>
    </w:p>
    <w:p>
      <w:pPr>
        <w:sectPr>
          <w:pgSz w:w="11900" w:h="16838" w:orient="portrait"/>
          <w:cols w:equalWidth="0" w:num="1">
            <w:col w:w="11260"/>
          </w:cols>
          <w:pgMar w:left="320" w:top="1440"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u w:val="single" w:color="auto"/>
          <w:color w:val="auto"/>
        </w:rPr>
        <w:t>Consent of Independent Registered Public Accounting Firm</w:t>
      </w:r>
    </w:p>
    <w:p>
      <w:pPr>
        <w:spacing w:after="0" w:line="139"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Exagen Inc.</w:t>
      </w:r>
    </w:p>
    <w:p>
      <w:pPr>
        <w:spacing w:after="0"/>
        <w:rPr>
          <w:sz w:val="20"/>
          <w:szCs w:val="20"/>
          <w:color w:val="auto"/>
        </w:rPr>
      </w:pPr>
      <w:r>
        <w:rPr>
          <w:rFonts w:ascii="Trebuchet MS" w:cs="Trebuchet MS" w:eastAsia="Trebuchet MS" w:hAnsi="Trebuchet MS"/>
          <w:sz w:val="19"/>
          <w:szCs w:val="19"/>
          <w:color w:val="auto"/>
        </w:rPr>
        <w:t>Vista, California</w:t>
      </w:r>
    </w:p>
    <w:p>
      <w:pPr>
        <w:spacing w:after="0" w:line="157" w:lineRule="exact"/>
        <w:rPr>
          <w:sz w:val="20"/>
          <w:szCs w:val="20"/>
          <w:color w:val="auto"/>
        </w:rPr>
      </w:pPr>
    </w:p>
    <w:p>
      <w:pPr>
        <w:jc w:val="both"/>
        <w:spacing w:after="0" w:line="218" w:lineRule="auto"/>
        <w:rPr>
          <w:sz w:val="20"/>
          <w:szCs w:val="20"/>
          <w:color w:val="auto"/>
        </w:rPr>
      </w:pPr>
      <w:r>
        <w:rPr>
          <w:rFonts w:ascii="Trebuchet MS" w:cs="Trebuchet MS" w:eastAsia="Trebuchet MS" w:hAnsi="Trebuchet MS"/>
          <w:sz w:val="19"/>
          <w:szCs w:val="19"/>
          <w:color w:val="auto"/>
        </w:rPr>
        <w:t>We hereby consent to the incorporation by reference in the Prospectus constituting a part of this Registration Statement of our report dated March 20, 2023, relating to the financial statements of Exagen Inc. appearing in the Company’s Annual Report on Form 10-K for the year ended December 31, 2022.</w:t>
      </w:r>
    </w:p>
    <w:p>
      <w:pPr>
        <w:spacing w:after="0" w:line="16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We also consent to the reference to us under the caption “Experts” in the Prospectus.</w:t>
      </w:r>
    </w:p>
    <w:p>
      <w:pPr>
        <w:spacing w:after="0" w:line="17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 BDO USA, P.C.</w:t>
      </w:r>
    </w:p>
    <w:p>
      <w:pPr>
        <w:spacing w:after="0" w:line="126"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San Diego, California</w:t>
      </w:r>
    </w:p>
    <w:p>
      <w:pPr>
        <w:spacing w:after="0"/>
        <w:rPr>
          <w:sz w:val="20"/>
          <w:szCs w:val="20"/>
          <w:color w:val="auto"/>
        </w:rPr>
      </w:pPr>
      <w:r>
        <w:rPr>
          <w:rFonts w:ascii="Trebuchet MS" w:cs="Trebuchet MS" w:eastAsia="Trebuchet MS" w:hAnsi="Trebuchet MS"/>
          <w:sz w:val="19"/>
          <w:szCs w:val="19"/>
          <w:color w:val="auto"/>
        </w:rPr>
        <w:t>November 27, 2023</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Roman"/>
      <w:start w:val="5"/>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Letter"/>
      <w:start w:val="1"/>
    </w:lvl>
    <w:lvl w:ilvl="1">
      <w:lvlJc w:val="left"/>
      <w:lvlText w:val="(%2)"/>
      <w:numFmt w:val="lowerRoman"/>
      <w:start w:val="1"/>
    </w:lvl>
  </w:abstractNum>
  <w:abstractNum w:abstractNumId="35">
    <w:nsid w:val="5C482A97"/>
    <w:multiLevelType w:val="hybridMultilevel"/>
    <w:lvl w:ilvl="0">
      <w:lvlJc w:val="left"/>
      <w:lvlText w:val="%1"/>
      <w:numFmt w:val="decimal"/>
      <w:start w:val="1"/>
    </w:lvl>
    <w:lvl w:ilvl="1">
      <w:lvlJc w:val="left"/>
      <w:lvlText w:val="(%2)"/>
      <w:numFmt w:val="lowerRoman"/>
      <w:start w:val="3"/>
    </w:lvl>
  </w:abstractNum>
  <w:abstractNum w:abstractNumId="36">
    <w:nsid w:val="2463B9EA"/>
    <w:multiLevelType w:val="hybridMultilevel"/>
    <w:lvl w:ilvl="0">
      <w:lvlJc w:val="left"/>
      <w:lvlText w:val="(%1)"/>
      <w:numFmt w:val="decimal"/>
      <w:start w:val="2"/>
    </w:lvl>
    <w:lvl w:ilvl="1">
      <w:lvlJc w:val="left"/>
      <w:lvlText w:val="(%2)"/>
      <w:numFmt w:val="lowerRoman"/>
      <w:start w:val="1"/>
    </w:lvl>
  </w:abstractNum>
  <w:abstractNum w:abstractNumId="37">
    <w:nsid w:val="5E884ADC"/>
    <w:multiLevelType w:val="hybridMultilevel"/>
    <w:lvl w:ilvl="0">
      <w:lvlJc w:val="left"/>
      <w:lvlText w:val="%1"/>
      <w:numFmt w:val="decimal"/>
      <w:start w:val="1"/>
    </w:lvl>
    <w:lvl w:ilvl="1">
      <w:lvlJc w:val="left"/>
      <w:lvlText w:val="(%2)"/>
      <w:numFmt w:val="lowerRoman"/>
      <w:start w:val="1"/>
    </w:lvl>
  </w:abstractNum>
  <w:abstractNum w:abstractNumId="38">
    <w:nsid w:val="51EAD36B"/>
    <w:multiLevelType w:val="hybridMultilevel"/>
    <w:lvl w:ilvl="0">
      <w:lvlJc w:val="left"/>
      <w:lvlText w:val="(%1)"/>
      <w:numFmt w:val="decimal"/>
      <w:start w:val="6"/>
    </w:lvl>
    <w:lvl w:ilvl="1">
      <w:lvlJc w:val="left"/>
      <w:lvlText w:val="%2"/>
      <w:numFmt w:val="lowerRoman"/>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jpeg"/><Relationship Id="rId37" Type="http://schemas.openxmlformats.org/officeDocument/2006/relationships/image" Target="media/image22.png"/><Relationship Id="rId38"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19" Type="http://schemas.openxmlformats.org/officeDocument/2006/relationships/hyperlink" Target="https://www.sec.gov/ix?doc=/Archives/edgar/data/0001274737/000127473723000019/exdx-20221231.htm" TargetMode="External"/><Relationship Id="rId20" Type="http://schemas.openxmlformats.org/officeDocument/2006/relationships/hyperlink" Target="https://www.sec.gov/ix?doc=/Archives/edgar/data/0001274737/000127473723000049/exdx-20230331.htm" TargetMode="External"/><Relationship Id="rId21" Type="http://schemas.openxmlformats.org/officeDocument/2006/relationships/hyperlink" Target="https://www.sec.gov/ix?doc=/Archives/edgar/data/1274737/000127473723000088/exdx-20230630.htm" TargetMode="External"/><Relationship Id="rId22" Type="http://schemas.openxmlformats.org/officeDocument/2006/relationships/hyperlink" Target="https://www.sec.gov/ix?doc=/Archives/edgar/data/1274737/000127473723000103/exdx-20230930.htm" TargetMode="External"/><Relationship Id="rId23" Type="http://schemas.openxmlformats.org/officeDocument/2006/relationships/hyperlink" Target="https://www.sec.gov/ix?doc=/Archives/edgar/data/1274737/000127473723000074/exdx-20230724.htm" TargetMode="External"/><Relationship Id="rId24" Type="http://schemas.openxmlformats.org/officeDocument/2006/relationships/hyperlink" Target="https://www.sec.gov/ix?doc=/Archives/edgar/data/1274737/000127473723000096/exdx-20231024.htm" TargetMode="External"/><Relationship Id="rId25" Type="http://schemas.openxmlformats.org/officeDocument/2006/relationships/hyperlink" Target="https://www.sec.gov/ix?doc=/Archives/edgar/data/1274737/000127473723000105/exdx-20231117.htm" TargetMode="External"/><Relationship Id="rId26" Type="http://schemas.openxmlformats.org/officeDocument/2006/relationships/hyperlink" Target="https://www.sec.gov/Archives/edgar/data/1274737/000119312519244881/d756255d8a12b.htm" TargetMode="External"/><Relationship Id="rId39" Type="http://schemas.openxmlformats.org/officeDocument/2006/relationships/hyperlink" Target="https://www.sec.gov/Archives/edgar/data/1274737/000127473722000064/ex11-xgnxsalesagreement.htm" TargetMode="External"/><Relationship Id="rId40" Type="http://schemas.openxmlformats.org/officeDocument/2006/relationships/hyperlink" Target="https://www.sec.gov/Archives/edgar/data/1274737/000127473723000105/amendmentno1toatmsalesagre.htm" TargetMode="External"/><Relationship Id="rId41" Type="http://schemas.openxmlformats.org/officeDocument/2006/relationships/hyperlink" Target="https://www.sec.gov/Archives/edgar/data/1274737/000119312519252366/d769261dex31.htm" TargetMode="External"/><Relationship Id="rId42" Type="http://schemas.openxmlformats.org/officeDocument/2006/relationships/hyperlink" Target="https://www.sec.gov/Archives/edgar/data/1274737/000127473721000017/ex31-amendedandrestatedbyl.htm" TargetMode="External"/><Relationship Id="rId43" Type="http://schemas.openxmlformats.org/officeDocument/2006/relationships/hyperlink" Target="https://www.sec.gov/Archives/edgar/data/1274737/000127473723000004/exhibit-exagenxamendmentto.htm" TargetMode="External"/><Relationship Id="rId44" Type="http://schemas.openxmlformats.org/officeDocument/2006/relationships/hyperlink" Target="https://www.sec.gov/Archives/edgar/data/1274737/000119312519240403/d692844dex41.htm" TargetMode="External"/><Relationship Id="rId45" Type="http://schemas.openxmlformats.org/officeDocument/2006/relationships/hyperlink" Target="https://www.sec.gov/Archives/edgar/data/1274737/000119312519228011/d692844dex42.htm" TargetMode="External"/><Relationship Id="rId46" Type="http://schemas.openxmlformats.org/officeDocument/2006/relationships/hyperlink" Target="http://www.sec.gov/Archives/edgar/data/1274737/000119312519228011/d692844dex43.htm" TargetMode="External"/><Relationship Id="rId47" Type="http://schemas.openxmlformats.org/officeDocument/2006/relationships/hyperlink" Target="https://www.sec.gov/Archives/edgar/data/1274737/000119312519228011/d692844dex44.htm" TargetMode="External"/><Relationship Id="rId48" Type="http://schemas.openxmlformats.org/officeDocument/2006/relationships/hyperlink" Target="https://www.sec.gov/Archives/edgar/data/1274737/000119312519228011/d692844dex48.htm" TargetMode="External"/><Relationship Id="rId49" Type="http://schemas.openxmlformats.org/officeDocument/2006/relationships/hyperlink" Target="https://www.sec.gov/Archives/edgar/data/1274737/000119312519228011/d692844dex49.htm" TargetMode="External"/><Relationship Id="rId50" Type="http://schemas.openxmlformats.org/officeDocument/2006/relationships/hyperlink" Target="http://www.sec.gov/Archives/edgar/data/1274737/000127473721000094/ex45-formofprexfundedwarra.htm" TargetMode="External"/><Relationship Id="rId51" Type="http://schemas.openxmlformats.org/officeDocument/2006/relationships/hyperlink" Target="https://www.sec.gov/Archives/edgar/data/1274737/000127473720000098/ex410-formofindenturet.htm" TargetMode="External"/><Relationship Id="rId52" Type="http://schemas.openxmlformats.org/officeDocument/2006/relationships/hyperlink" Target="https://www.sec.gov/Archives/edgar/data/1274737/000162828023039459/exhibit51-s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2023-11-27T15:23:05Z</dcterms:created>
  <dcterms:modified xsi:type="dcterms:W3CDTF">2023-11-27T15:23:05Z</dcterms:modified>
</cp:coreProperties>
</file>