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jc w:val="both"/>
        <w:ind w:left="580" w:right="9040" w:hanging="5"/>
        <w:spacing w:after="0" w:line="229" w:lineRule="exact"/>
        <w:tabs>
          <w:tab w:leader="none" w:pos="11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34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2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Hunt Holdings Limited Partnership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160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160" w:hanging="112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7"/>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3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HuntVest,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160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160" w:hanging="1125"/>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4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Hunt Guaranty, Inc.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16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160" w:hanging="112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5</w:t>
            </w: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6</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1680" w:type="dxa"/>
            <w:vAlign w:val="bottom"/>
            <w:tcBorders>
              <w:right w:val="single" w:sz="8" w:color="auto"/>
            </w:tcBorders>
            <w:gridSpan w:val="2"/>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6880" w:type="dxa"/>
            <w:vAlign w:val="bottom"/>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7</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8</w:t>
            </w:r>
          </w:p>
        </w:tc>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8" w:right="339" w:bottom="1440" w:gutter="0" w:footer="0" w:header="0"/>
        </w:sectPr>
      </w:pPr>
    </w:p>
    <w:bookmarkStart w:id="4" w:name="page5"/>
    <w:bookmarkEnd w:id="4"/>
    <w:p>
      <w:pPr>
        <w:spacing w:after="0" w:line="185" w:lineRule="auto"/>
        <w:framePr w:w="680" w:h="160" w:wrap="auto" w:vAnchor="page" w:hAnchor="page" w:x="2560" w:y="63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829,280</w:t>
      </w: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5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1"/>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Woody L. Hunt</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6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380" w:type="dxa"/>
            <w:vAlign w:val="bottom"/>
            <w:gridSpan w:val="3"/>
          </w:tcPr>
          <w:p>
            <w:pPr>
              <w:ind w:left="5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Pr>
          <w:p>
            <w:pPr>
              <w:ind w:left="1100"/>
              <w:spacing w:after="0" w:line="162"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2"/>
          </w:tcPr>
          <w:p>
            <w:pPr>
              <w:spacing w:after="0"/>
              <w:rPr>
                <w:sz w:val="16"/>
                <w:szCs w:val="16"/>
                <w:color w:val="auto"/>
              </w:rPr>
            </w:pPr>
          </w:p>
        </w:tc>
        <w:tc>
          <w:tcPr>
            <w:tcW w:w="46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5160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1160" w:hanging="1125"/>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11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87" w:lineRule="exact"/>
        <w:rPr>
          <w:rFonts w:ascii="Times New Roman" w:cs="Times New Roman" w:eastAsia="Times New Roman" w:hAnsi="Times New Roman"/>
          <w:sz w:val="18"/>
          <w:szCs w:val="18"/>
          <w:color w:val="auto"/>
        </w:rPr>
      </w:pPr>
    </w:p>
    <w:p>
      <w:pPr>
        <w:ind w:left="2280"/>
        <w:spacing w:after="0"/>
        <w:rPr>
          <w:sz w:val="20"/>
          <w:szCs w:val="20"/>
          <w:color w:val="auto"/>
        </w:rPr>
      </w:pPr>
      <w:r>
        <w:rPr>
          <w:rFonts w:ascii="Times New Roman" w:cs="Times New Roman" w:eastAsia="Times New Roman" w:hAnsi="Times New Roman"/>
          <w:sz w:val="18"/>
          <w:szCs w:val="18"/>
          <w:color w:val="auto"/>
        </w:rPr>
        <w:t>829,280</w:t>
      </w:r>
    </w:p>
    <w:p>
      <w:pPr>
        <w:ind w:left="460"/>
        <w:spacing w:after="0" w:line="184" w:lineRule="auto"/>
        <w:tabs>
          <w:tab w:leader="none" w:pos="1940" w:val="left"/>
          <w:tab w:leader="none" w:pos="2260" w:val="left"/>
        </w:tabs>
        <w:rPr>
          <w:sz w:val="20"/>
          <w:szCs w:val="20"/>
          <w:color w:val="auto"/>
        </w:rPr>
      </w:pPr>
      <w:r>
        <w:rPr>
          <w:rFonts w:ascii="Times New Roman" w:cs="Times New Roman" w:eastAsia="Times New Roman" w:hAnsi="Times New Roman"/>
          <w:sz w:val="25"/>
          <w:szCs w:val="25"/>
          <w:color w:val="auto"/>
          <w:vertAlign w:val="superscript"/>
        </w:rPr>
        <w:t>NUMBER OF</w:t>
      </w:r>
      <w:r>
        <w:rPr>
          <w:sz w:val="20"/>
          <w:szCs w:val="20"/>
          <w:color w:val="auto"/>
        </w:rPr>
        <w:tab/>
      </w:r>
      <w:r>
        <w:rPr>
          <w:rFonts w:ascii="Times New Roman" w:cs="Times New Roman" w:eastAsia="Times New Roman" w:hAnsi="Times New Roman"/>
          <w:sz w:val="16"/>
          <w:szCs w:val="16"/>
          <w:color w:val="auto"/>
        </w:rPr>
        <w:t>6</w:t>
        <w:tab/>
        <w:t>SHARED VOTING POWER</w:t>
      </w:r>
    </w:p>
    <w:p>
      <w:pPr>
        <w:ind w:left="640"/>
        <w:spacing w:after="0"/>
        <w:rPr>
          <w:sz w:val="20"/>
          <w:szCs w:val="20"/>
          <w:color w:val="auto"/>
        </w:rPr>
      </w:pPr>
      <w:r>
        <w:rPr>
          <w:rFonts w:ascii="Times New Roman" w:cs="Times New Roman" w:eastAsia="Times New Roman" w:hAnsi="Times New Roman"/>
          <w:sz w:val="18"/>
          <w:szCs w:val="18"/>
          <w:color w:val="auto"/>
        </w:rPr>
        <w:t>SHARES</w:t>
      </w:r>
    </w:p>
    <w:p>
      <w:pPr>
        <w:ind w:left="340"/>
        <w:spacing w:after="0" w:line="180" w:lineRule="auto"/>
        <w:tabs>
          <w:tab w:leader="none" w:pos="2260" w:val="left"/>
        </w:tabs>
        <w:rPr>
          <w:sz w:val="20"/>
          <w:szCs w:val="20"/>
          <w:color w:val="auto"/>
        </w:rPr>
      </w:pPr>
      <w:r>
        <w:rPr>
          <w:rFonts w:ascii="Times New Roman" w:cs="Times New Roman" w:eastAsia="Times New Roman" w:hAnsi="Times New Roman"/>
          <w:sz w:val="15"/>
          <w:szCs w:val="15"/>
          <w:color w:val="auto"/>
        </w:rPr>
        <w:t>BENEFICIALLY</w:t>
      </w:r>
      <w:r>
        <w:rPr>
          <w:sz w:val="20"/>
          <w:szCs w:val="20"/>
          <w:color w:val="auto"/>
        </w:rPr>
        <w:tab/>
      </w:r>
      <w:r>
        <w:rPr>
          <w:rFonts w:ascii="Times New Roman" w:cs="Times New Roman" w:eastAsia="Times New Roman" w:hAnsi="Times New Roman"/>
          <w:sz w:val="26"/>
          <w:szCs w:val="26"/>
          <w:color w:val="auto"/>
          <w:vertAlign w:val="subscript"/>
        </w:rPr>
        <w:t>0</w:t>
      </w:r>
    </w:p>
    <w:p>
      <w:pPr>
        <w:ind w:left="640"/>
        <w:spacing w:after="0" w:line="196" w:lineRule="auto"/>
        <w:rPr>
          <w:sz w:val="20"/>
          <w:szCs w:val="20"/>
          <w:color w:val="auto"/>
        </w:rPr>
      </w:pPr>
      <w:r>
        <w:rPr>
          <w:rFonts w:ascii="Times New Roman" w:cs="Times New Roman" w:eastAsia="Times New Roman" w:hAnsi="Times New Roman"/>
          <w:sz w:val="13"/>
          <w:szCs w:val="13"/>
          <w:color w:val="auto"/>
        </w:rPr>
        <w:t>OWNED</w:t>
      </w:r>
    </w:p>
    <w:p>
      <w:pPr>
        <w:ind w:left="60"/>
        <w:spacing w:after="0"/>
        <w:tabs>
          <w:tab w:leader="none" w:pos="2260" w:val="left"/>
        </w:tabs>
        <w:rPr>
          <w:sz w:val="20"/>
          <w:szCs w:val="20"/>
          <w:color w:val="auto"/>
        </w:rPr>
      </w:pPr>
      <w:r>
        <w:rPr>
          <w:rFonts w:ascii="Times New Roman" w:cs="Times New Roman" w:eastAsia="Times New Roman" w:hAnsi="Times New Roman"/>
          <w:sz w:val="35"/>
          <w:szCs w:val="35"/>
          <w:color w:val="auto"/>
          <w:vertAlign w:val="subscript"/>
        </w:rPr>
        <w:t>BY EACH REPORTING</w:t>
      </w:r>
      <w:r>
        <w:rPr>
          <w:rFonts w:ascii="Times New Roman" w:cs="Times New Roman" w:eastAsia="Times New Roman" w:hAnsi="Times New Roman"/>
          <w:sz w:val="18"/>
          <w:szCs w:val="18"/>
          <w:color w:val="auto"/>
        </w:rPr>
        <w:t xml:space="preserve"> 7</w:t>
      </w:r>
      <w:r>
        <w:rPr>
          <w:sz w:val="20"/>
          <w:szCs w:val="20"/>
          <w:color w:val="auto"/>
        </w:rPr>
        <w:tab/>
      </w:r>
      <w:r>
        <w:rPr>
          <w:rFonts w:ascii="Times New Roman" w:cs="Times New Roman" w:eastAsia="Times New Roman" w:hAnsi="Times New Roman"/>
          <w:sz w:val="17"/>
          <w:szCs w:val="17"/>
          <w:color w:val="auto"/>
        </w:rPr>
        <w:t>SOLE DISPOSITIVE POWER</w:t>
      </w:r>
    </w:p>
    <w:p>
      <w:pPr>
        <w:ind w:left="640"/>
        <w:spacing w:after="0"/>
        <w:rPr>
          <w:sz w:val="20"/>
          <w:szCs w:val="20"/>
          <w:color w:val="auto"/>
        </w:rPr>
      </w:pPr>
      <w:r>
        <w:rPr>
          <w:rFonts w:ascii="Times New Roman" w:cs="Times New Roman" w:eastAsia="Times New Roman" w:hAnsi="Times New Roman"/>
          <w:sz w:val="18"/>
          <w:szCs w:val="18"/>
          <w:color w:val="auto"/>
        </w:rPr>
        <w:t>PERSON</w:t>
      </w:r>
    </w:p>
    <w:p>
      <w:pPr>
        <w:ind w:left="740"/>
        <w:spacing w:after="0" w:line="184" w:lineRule="auto"/>
        <w:rPr>
          <w:sz w:val="20"/>
          <w:szCs w:val="20"/>
          <w:color w:val="auto"/>
        </w:rPr>
      </w:pPr>
      <w:r>
        <w:rPr>
          <w:rFonts w:ascii="Times New Roman" w:cs="Times New Roman" w:eastAsia="Times New Roman" w:hAnsi="Times New Roman"/>
          <w:sz w:val="18"/>
          <w:szCs w:val="18"/>
          <w:color w:val="auto"/>
        </w:rPr>
        <w:t>WITH</w:t>
      </w:r>
    </w:p>
    <w:p>
      <w:pPr>
        <w:ind w:left="2280" w:right="6420" w:hanging="328"/>
        <w:spacing w:after="0" w:line="386" w:lineRule="auto"/>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060" w:type="dxa"/>
            <w:vAlign w:val="bottom"/>
            <w:tcBorders>
              <w:top w:val="single" w:sz="8" w:color="auto"/>
            </w:tcBorders>
          </w:tcPr>
          <w:p>
            <w:pPr>
              <w:spacing w:after="0"/>
              <w:rPr>
                <w:sz w:val="19"/>
                <w:szCs w:val="19"/>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829,280</w:t>
            </w:r>
          </w:p>
        </w:tc>
        <w:tc>
          <w:tcPr>
            <w:tcW w:w="2060" w:type="dxa"/>
            <w:vAlign w:val="bottom"/>
            <w:tcBorders>
              <w:bottom w:val="single" w:sz="8" w:color="auto"/>
            </w:tcBorders>
          </w:tcPr>
          <w:p>
            <w:pPr>
              <w:spacing w:after="0"/>
              <w:rPr>
                <w:sz w:val="24"/>
                <w:szCs w:val="24"/>
                <w:color w:val="auto"/>
              </w:rPr>
            </w:pPr>
          </w:p>
        </w:tc>
      </w:tr>
      <w:tr>
        <w:trPr>
          <w:trHeight w:val="303"/>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5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4.7%</w:t>
            </w:r>
          </w:p>
        </w:tc>
        <w:tc>
          <w:tcPr>
            <w:tcW w:w="2060" w:type="dxa"/>
            <w:vAlign w:val="bottom"/>
            <w:tcBorders>
              <w:bottom w:val="single" w:sz="8" w:color="auto"/>
            </w:tcBorders>
          </w:tcPr>
          <w:p>
            <w:pPr>
              <w:spacing w:after="0"/>
              <w:rPr>
                <w:sz w:val="24"/>
                <w:szCs w:val="24"/>
                <w:color w:val="auto"/>
              </w:rPr>
            </w:pPr>
          </w:p>
        </w:tc>
      </w:tr>
      <w:tr>
        <w:trPr>
          <w:trHeight w:val="234"/>
        </w:trPr>
        <w:tc>
          <w:tcPr>
            <w:tcW w:w="1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60" w:type="dxa"/>
            <w:vAlign w:val="bottom"/>
          </w:tcPr>
          <w:p>
            <w:pPr>
              <w:spacing w:after="0"/>
              <w:rPr>
                <w:sz w:val="20"/>
                <w:szCs w:val="20"/>
                <w:color w:val="auto"/>
              </w:rPr>
            </w:pPr>
          </w:p>
        </w:tc>
      </w:tr>
      <w:tr>
        <w:trPr>
          <w:trHeight w:val="421"/>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2060" w:type="dxa"/>
            <w:vAlign w:val="bottom"/>
            <w:tcBorders>
              <w:bottom w:val="single" w:sz="8" w:color="auto"/>
            </w:tcBorders>
          </w:tcPr>
          <w:p>
            <w:pPr>
              <w:spacing w:after="0"/>
              <w:rPr>
                <w:sz w:val="24"/>
                <w:szCs w:val="24"/>
                <w:color w:val="auto"/>
              </w:rPr>
            </w:pPr>
          </w:p>
        </w:tc>
      </w:tr>
      <w:tr>
        <w:trPr>
          <w:trHeight w:val="601"/>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6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1660" w:type="dxa"/>
            <w:vAlign w:val="bottom"/>
          </w:tcPr>
          <w:p>
            <w:pPr>
              <w:spacing w:after="0"/>
              <w:rPr>
                <w:sz w:val="21"/>
                <w:szCs w:val="21"/>
                <w:color w:val="auto"/>
              </w:rPr>
            </w:pPr>
          </w:p>
        </w:tc>
        <w:tc>
          <w:tcPr>
            <w:tcW w:w="510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6 of 9</w:t>
            </w:r>
          </w:p>
        </w:tc>
      </w:tr>
      <w:tr>
        <w:trPr>
          <w:trHeight w:val="70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    Name of Issuer:</w:t>
            </w:r>
          </w:p>
        </w:tc>
        <w:tc>
          <w:tcPr>
            <w:tcW w:w="51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Exagen Inc.</w:t>
      </w:r>
    </w:p>
    <w:p>
      <w:pPr>
        <w:spacing w:after="0" w:line="221" w:lineRule="exact"/>
        <w:rPr>
          <w:sz w:val="20"/>
          <w:szCs w:val="20"/>
          <w:color w:val="auto"/>
        </w:rPr>
      </w:pPr>
    </w:p>
    <w:p>
      <w:pPr>
        <w:ind w:left="1680" w:hanging="552"/>
        <w:spacing w:after="0"/>
        <w:tabs>
          <w:tab w:leader="none" w:pos="1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1261 Liberty Way, Suite C</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Vista, California 92081</w:t>
      </w:r>
    </w:p>
    <w:p>
      <w:pPr>
        <w:spacing w:after="0" w:line="203" w:lineRule="exact"/>
        <w:rPr>
          <w:sz w:val="20"/>
          <w:szCs w:val="20"/>
          <w:color w:val="auto"/>
        </w:rPr>
      </w:pPr>
    </w:p>
    <w:p>
      <w:pPr>
        <w:spacing w:after="0"/>
        <w:tabs>
          <w:tab w:leader="none" w:pos="1100" w:val="left"/>
          <w:tab w:leader="none" w:pos="1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229" w:lineRule="exact"/>
        <w:rPr>
          <w:sz w:val="20"/>
          <w:szCs w:val="20"/>
          <w:color w:val="auto"/>
        </w:rPr>
      </w:pPr>
    </w:p>
    <w:p>
      <w:pPr>
        <w:ind w:left="1120" w:right="600"/>
        <w:spacing w:after="0" w:line="282" w:lineRule="auto"/>
        <w:rPr>
          <w:sz w:val="20"/>
          <w:szCs w:val="20"/>
          <w:color w:val="auto"/>
        </w:rPr>
      </w:pPr>
      <w:r>
        <w:rPr>
          <w:rFonts w:ascii="Times New Roman" w:cs="Times New Roman" w:eastAsia="Times New Roman" w:hAnsi="Times New Roman"/>
          <w:sz w:val="18"/>
          <w:szCs w:val="18"/>
          <w:color w:val="auto"/>
        </w:rPr>
        <w:t>This statement is being filed on behalf of each of the following persons (each, a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340" w:hanging="658"/>
        <w:spacing w:after="0"/>
        <w:tabs>
          <w:tab w:leader="none" w:pos="2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 Holdings Limited Partnership (“</w:t>
      </w:r>
      <w:r>
        <w:rPr>
          <w:rFonts w:ascii="Times New Roman" w:cs="Times New Roman" w:eastAsia="Times New Roman" w:hAnsi="Times New Roman"/>
          <w:sz w:val="18"/>
          <w:szCs w:val="18"/>
          <w:u w:val="single" w:color="auto"/>
          <w:color w:val="auto"/>
        </w:rPr>
        <w:t>Hunt Holdings LP</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2360" w:hanging="678"/>
        <w:spacing w:after="0"/>
        <w:tabs>
          <w:tab w:leader="none" w:pos="2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HuntVest, LLC (“</w:t>
      </w:r>
      <w:r>
        <w:rPr>
          <w:rFonts w:ascii="Times New Roman" w:cs="Times New Roman" w:eastAsia="Times New Roman" w:hAnsi="Times New Roman"/>
          <w:sz w:val="18"/>
          <w:szCs w:val="18"/>
          <w:u w:val="single" w:color="auto"/>
          <w:color w:val="auto"/>
        </w:rPr>
        <w:t>HuntVest</w:t>
      </w:r>
      <w:r>
        <w:rPr>
          <w:rFonts w:ascii="Times New Roman" w:cs="Times New Roman" w:eastAsia="Times New Roman" w:hAnsi="Times New Roman"/>
          <w:sz w:val="18"/>
          <w:szCs w:val="18"/>
          <w:color w:val="auto"/>
        </w:rPr>
        <w:t>”), the general partner of Hunt Holdings LP;</w:t>
      </w:r>
    </w:p>
    <w:p>
      <w:pPr>
        <w:spacing w:after="0" w:line="9" w:lineRule="exact"/>
        <w:rPr>
          <w:rFonts w:ascii="Times New Roman" w:cs="Times New Roman" w:eastAsia="Times New Roman" w:hAnsi="Times New Roman"/>
          <w:sz w:val="18"/>
          <w:szCs w:val="18"/>
          <w:color w:val="auto"/>
        </w:rPr>
      </w:pPr>
    </w:p>
    <w:p>
      <w:pPr>
        <w:ind w:left="2360" w:hanging="678"/>
        <w:spacing w:after="0"/>
        <w:tabs>
          <w:tab w:leader="none" w:pos="23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Hunt Guaranty, Inc. (“</w:t>
      </w:r>
      <w:r>
        <w:rPr>
          <w:rFonts w:ascii="Times New Roman" w:cs="Times New Roman" w:eastAsia="Times New Roman" w:hAnsi="Times New Roman"/>
          <w:sz w:val="18"/>
          <w:szCs w:val="18"/>
          <w:u w:val="single" w:color="auto"/>
          <w:color w:val="auto"/>
        </w:rPr>
        <w:t>Hunt Guaranty</w:t>
      </w:r>
      <w:r>
        <w:rPr>
          <w:rFonts w:ascii="Times New Roman" w:cs="Times New Roman" w:eastAsia="Times New Roman" w:hAnsi="Times New Roman"/>
          <w:sz w:val="18"/>
          <w:szCs w:val="18"/>
          <w:color w:val="auto"/>
        </w:rPr>
        <w:t>”), the sole member of HuntVest; and</w:t>
      </w:r>
    </w:p>
    <w:p>
      <w:pPr>
        <w:spacing w:after="0" w:line="9" w:lineRule="exact"/>
        <w:rPr>
          <w:rFonts w:ascii="Times New Roman" w:cs="Times New Roman" w:eastAsia="Times New Roman" w:hAnsi="Times New Roman"/>
          <w:sz w:val="18"/>
          <w:szCs w:val="18"/>
          <w:color w:val="auto"/>
        </w:rPr>
      </w:pPr>
    </w:p>
    <w:p>
      <w:pPr>
        <w:ind w:left="2340" w:hanging="658"/>
        <w:spacing w:after="0"/>
        <w:tabs>
          <w:tab w:leader="none" w:pos="2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Woody L. Hunt (“</w:t>
      </w:r>
      <w:r>
        <w:rPr>
          <w:rFonts w:ascii="Times New Roman" w:cs="Times New Roman" w:eastAsia="Times New Roman" w:hAnsi="Times New Roman"/>
          <w:sz w:val="18"/>
          <w:szCs w:val="18"/>
          <w:u w:val="single" w:color="auto"/>
          <w:color w:val="auto"/>
        </w:rPr>
        <w:t>Mr.Hunt</w:t>
      </w:r>
      <w:r>
        <w:rPr>
          <w:rFonts w:ascii="Times New Roman" w:cs="Times New Roman" w:eastAsia="Times New Roman" w:hAnsi="Times New Roman"/>
          <w:sz w:val="18"/>
          <w:szCs w:val="18"/>
          <w:color w:val="auto"/>
        </w:rPr>
        <w:t>”), the majority shareholder of Hunt Guaranty.</w:t>
      </w:r>
    </w:p>
    <w:p>
      <w:pPr>
        <w:spacing w:after="0" w:line="202" w:lineRule="exact"/>
        <w:rPr>
          <w:rFonts w:ascii="Times New Roman" w:cs="Times New Roman" w:eastAsia="Times New Roman" w:hAnsi="Times New Roman"/>
          <w:sz w:val="18"/>
          <w:szCs w:val="18"/>
          <w:color w:val="auto"/>
        </w:rPr>
      </w:pPr>
    </w:p>
    <w:p>
      <w:pPr>
        <w:ind w:left="1680" w:hanging="552"/>
        <w:spacing w:after="0"/>
        <w:tabs>
          <w:tab w:leader="none" w:pos="1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1680" w:right="7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601 N. Mesa Street, Suite 1900 El Paso, TX 79901</w:t>
      </w:r>
    </w:p>
    <w:p>
      <w:pPr>
        <w:spacing w:after="0" w:line="157" w:lineRule="exact"/>
        <w:rPr>
          <w:rFonts w:ascii="Times New Roman" w:cs="Times New Roman" w:eastAsia="Times New Roman" w:hAnsi="Times New Roman"/>
          <w:sz w:val="18"/>
          <w:szCs w:val="18"/>
          <w:b w:val="1"/>
          <w:bCs w:val="1"/>
          <w:color w:val="auto"/>
        </w:rPr>
      </w:pPr>
    </w:p>
    <w:p>
      <w:pPr>
        <w:ind w:left="1680" w:hanging="552"/>
        <w:spacing w:after="0"/>
        <w:tabs>
          <w:tab w:leader="none" w:pos="1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rFonts w:ascii="Times New Roman" w:cs="Times New Roman" w:eastAsia="Times New Roman" w:hAnsi="Times New Roman"/>
          <w:sz w:val="18"/>
          <w:szCs w:val="18"/>
          <w:b w:val="1"/>
          <w:bCs w:val="1"/>
          <w:color w:val="auto"/>
        </w:rPr>
      </w:pPr>
    </w:p>
    <w:p>
      <w:pPr>
        <w:ind w:left="1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row 4 of the cover page of each Reporting Person.</w:t>
      </w:r>
    </w:p>
    <w:p>
      <w:pPr>
        <w:spacing w:after="0" w:line="221" w:lineRule="exact"/>
        <w:rPr>
          <w:rFonts w:ascii="Times New Roman" w:cs="Times New Roman" w:eastAsia="Times New Roman" w:hAnsi="Times New Roman"/>
          <w:sz w:val="18"/>
          <w:szCs w:val="18"/>
          <w:b w:val="1"/>
          <w:bCs w:val="1"/>
          <w:color w:val="auto"/>
        </w:rPr>
      </w:pPr>
    </w:p>
    <w:p>
      <w:pPr>
        <w:ind w:left="1680" w:right="7500" w:hanging="552"/>
        <w:spacing w:after="0" w:line="500" w:lineRule="auto"/>
        <w:tabs>
          <w:tab w:leader="none" w:pos="1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See cover page.</w:t>
      </w:r>
    </w:p>
    <w:p>
      <w:pPr>
        <w:spacing w:after="0" w:line="1" w:lineRule="exact"/>
        <w:rPr>
          <w:rFonts w:ascii="Times New Roman" w:cs="Times New Roman" w:eastAsia="Times New Roman" w:hAnsi="Times New Roman"/>
          <w:sz w:val="18"/>
          <w:szCs w:val="18"/>
          <w:b w:val="1"/>
          <w:bCs w:val="1"/>
          <w:color w:val="auto"/>
        </w:rPr>
      </w:pPr>
    </w:p>
    <w:p>
      <w:pPr>
        <w:ind w:left="1680" w:right="8280" w:hanging="552"/>
        <w:spacing w:after="0" w:line="530" w:lineRule="auto"/>
        <w:tabs>
          <w:tab w:leader="none" w:pos="16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See cover page.</w:t>
      </w:r>
    </w:p>
    <w:p>
      <w:pPr>
        <w:spacing w:after="0" w:line="1" w:lineRule="exact"/>
        <w:rPr>
          <w:sz w:val="20"/>
          <w:szCs w:val="20"/>
          <w:color w:val="auto"/>
        </w:rPr>
      </w:pPr>
    </w:p>
    <w:p>
      <w:pPr>
        <w:ind w:left="1120" w:right="100" w:hanging="1119"/>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1340" w:type="dxa"/>
            <w:vAlign w:val="bottom"/>
          </w:tcPr>
          <w:p>
            <w:pPr>
              <w:spacing w:after="0"/>
              <w:rPr>
                <w:sz w:val="21"/>
                <w:szCs w:val="21"/>
                <w:color w:val="auto"/>
              </w:rPr>
            </w:pPr>
          </w:p>
        </w:tc>
        <w:tc>
          <w:tcPr>
            <w:tcW w:w="54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7 of 9</w:t>
            </w:r>
          </w:p>
        </w:tc>
      </w:tr>
      <w:tr>
        <w:trPr>
          <w:trHeight w:val="46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54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98" w:lineRule="exact"/>
        <w:rPr>
          <w:sz w:val="20"/>
          <w:szCs w:val="20"/>
          <w:color w:val="auto"/>
        </w:rPr>
      </w:pPr>
    </w:p>
    <w:p>
      <w:pPr>
        <w:ind w:left="1700" w:hanging="558"/>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9 of the cover page of each Reporting Person.</w:t>
      </w:r>
    </w:p>
    <w:p>
      <w:pPr>
        <w:spacing w:after="0" w:line="225" w:lineRule="exact"/>
        <w:rPr>
          <w:rFonts w:ascii="Times New Roman" w:cs="Times New Roman" w:eastAsia="Times New Roman" w:hAnsi="Times New Roman"/>
          <w:sz w:val="18"/>
          <w:szCs w:val="18"/>
          <w:color w:val="auto"/>
        </w:rPr>
      </w:pPr>
    </w:p>
    <w:p>
      <w:pPr>
        <w:ind w:left="170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Hunt Holdings LP directly owns 829,280 shares of common stock, par value $0.001 per share (“Common Stock”) of the Issuer. Woody L. Hunt is the majority shareholder of Hunt Guaranty, which is the sole member of HuntVest, which is the general partner of Hunt Holdings LP. As a result, Mr. Hunt and each of the foregoing entities may be deemed to have an indirect beneficial ownership of the shares directly beneficially owned by Hunt Holdings LP.</w:t>
      </w:r>
    </w:p>
    <w:p>
      <w:pPr>
        <w:spacing w:after="0" w:line="179" w:lineRule="exact"/>
        <w:rPr>
          <w:rFonts w:ascii="Times New Roman" w:cs="Times New Roman" w:eastAsia="Times New Roman" w:hAnsi="Times New Roman"/>
          <w:sz w:val="18"/>
          <w:szCs w:val="18"/>
          <w:color w:val="auto"/>
        </w:rPr>
      </w:pPr>
    </w:p>
    <w:p>
      <w:pPr>
        <w:ind w:left="17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183"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70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beneficial ownership percentage is based on 17,637,278 shares of Common Stock outstanding as of November 8, 2024, as reported by the Issuer in its Form 10-Q filed with the Securities and Exchange Commission for the quarter ended September 30, 2024.</w:t>
      </w:r>
    </w:p>
    <w:p>
      <w:pPr>
        <w:spacing w:after="0" w:line="175"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5 of the cover page of each Reporting Person.</w:t>
      </w:r>
    </w:p>
    <w:p>
      <w:pPr>
        <w:spacing w:after="0" w:line="225" w:lineRule="exact"/>
        <w:rPr>
          <w:rFonts w:ascii="Times New Roman" w:cs="Times New Roman" w:eastAsia="Times New Roman" w:hAnsi="Times New Roman"/>
          <w:sz w:val="18"/>
          <w:szCs w:val="18"/>
          <w:color w:val="auto"/>
        </w:rPr>
      </w:pPr>
    </w:p>
    <w:p>
      <w:pPr>
        <w:ind w:left="2260" w:hanging="551"/>
        <w:spacing w:after="0"/>
        <w:tabs>
          <w:tab w:leader="none" w:pos="2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 6 of the cover page of each Reporting Person.</w:t>
      </w:r>
    </w:p>
    <w:p>
      <w:pPr>
        <w:spacing w:after="0" w:line="225" w:lineRule="exact"/>
        <w:rPr>
          <w:rFonts w:ascii="Times New Roman" w:cs="Times New Roman" w:eastAsia="Times New Roman" w:hAnsi="Times New Roman"/>
          <w:sz w:val="18"/>
          <w:szCs w:val="18"/>
          <w:color w:val="auto"/>
        </w:rPr>
      </w:pPr>
    </w:p>
    <w:p>
      <w:pPr>
        <w:ind w:left="2260" w:right="5060" w:hanging="551"/>
        <w:spacing w:after="0" w:line="530" w:lineRule="auto"/>
        <w:tabs>
          <w:tab w:leader="none" w:pos="22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the cover page of each Reporting Person.</w:t>
      </w:r>
    </w:p>
    <w:p>
      <w:pPr>
        <w:jc w:val="both"/>
        <w:ind w:left="2260" w:right="5040" w:hanging="551"/>
        <w:spacing w:after="0" w:line="578" w:lineRule="auto"/>
        <w:tabs>
          <w:tab w:leader="none" w:pos="22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dispose or to direct the disposition of: See row 8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8 of 9</w:t>
            </w:r>
          </w:p>
        </w:tc>
      </w:tr>
      <w:tr>
        <w:trPr>
          <w:trHeight w:val="70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2220" w:type="dxa"/>
            <w:vAlign w:val="bottom"/>
          </w:tcPr>
          <w:p>
            <w:pPr>
              <w:spacing w:after="0"/>
              <w:rPr>
                <w:sz w:val="24"/>
                <w:szCs w:val="24"/>
                <w:color w:val="auto"/>
              </w:rPr>
            </w:pPr>
          </w:p>
        </w:tc>
      </w:tr>
    </w:tbl>
    <w:p>
      <w:pPr>
        <w:spacing w:after="0" w:line="198" w:lineRule="exact"/>
        <w:rPr>
          <w:sz w:val="20"/>
          <w:szCs w:val="20"/>
          <w:color w:val="auto"/>
        </w:rPr>
      </w:pPr>
    </w:p>
    <w:p>
      <w:pPr>
        <w:ind w:left="1140"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140" w:right="9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00" w:lineRule="exact"/>
        <w:rPr>
          <w:sz w:val="20"/>
          <w:szCs w:val="20"/>
          <w:color w:val="auto"/>
        </w:rPr>
      </w:pPr>
    </w:p>
    <w:p>
      <w:pPr>
        <w:spacing w:after="0" w:line="262" w:lineRule="exact"/>
        <w:rPr>
          <w:sz w:val="20"/>
          <w:szCs w:val="20"/>
          <w:color w:val="auto"/>
        </w:rPr>
      </w:pPr>
    </w:p>
    <w:p>
      <w:pPr>
        <w:ind w:left="1140" w:right="10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Exhibit 99.1</w:t>
        <w:tab/>
        <w:t>Joint Filing Agreement, dated as of February 7, 2020, among Hunt Holdings Limited Partnership, HuntVest, LLC, Hunt Guaranty, Inc. and Woody L. Hunt.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30068X103</w:t>
            </w:r>
          </w:p>
        </w:tc>
        <w:tc>
          <w:tcPr>
            <w:tcW w:w="676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w w:val="98"/>
              </w:rPr>
              <w:t>Page 9 of 9</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12, 2024</w:t>
      </w:r>
    </w:p>
    <w:p>
      <w:pPr>
        <w:spacing w:after="0" w:line="200" w:lineRule="exact"/>
        <w:rPr>
          <w:sz w:val="20"/>
          <w:szCs w:val="20"/>
          <w:color w:val="auto"/>
        </w:rPr>
      </w:pPr>
    </w:p>
    <w:p>
      <w:pPr>
        <w:spacing w:after="0" w:line="2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HUNT HOLDINGS LIMITED PARTNERSHIP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HuntVest, LLC, its general partner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Hunt Guaranty, Inc., its sole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D. Hunt</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Matthew D. Hunt</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Partner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HUNTVEST,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Hunt Guaranty, Inc., its sole member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D. Hunt</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Matthew D. Hunt</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Partner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HUNT GUARANTY, INC.</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D. Hunt</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Matthew D. Hunt</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Partner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Paul D.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Paul D. Donnelly, attorney-in-fact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2"/>
    </w:lvl>
    <w:lvl w:ilvl="1">
      <w:lvlJc w:val="left"/>
      <w:lvlText w:val="%2"/>
      <w:numFmt w:val="lowerRoman"/>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2024-12-12T16:07:58Z</dcterms:created>
  <dcterms:modified xsi:type="dcterms:W3CDTF">2024-12-12T16:07:58Z</dcterms:modified>
</cp:coreProperties>
</file>