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fiscal year ended December 31, 2022</w:t>
      </w:r>
    </w:p>
    <w:p>
      <w:pPr>
        <w:spacing w:after="0" w:line="56"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 .</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113030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490"/>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6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70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California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10"/>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83"/>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2"/>
        </w:trPr>
        <w:tc>
          <w:tcPr>
            <w:tcW w:w="3020" w:type="dxa"/>
            <w:vAlign w:val="bottom"/>
            <w:tcBorders>
              <w:bottom w:val="single" w:sz="8" w:color="auto"/>
            </w:tcBorders>
          </w:tcPr>
          <w:p>
            <w:pPr>
              <w:jc w:val="center"/>
              <w:ind w:left="1108"/>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374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Common Stock, par value $0.001 per share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XGN</w:t>
            </w:r>
          </w:p>
        </w:tc>
        <w:tc>
          <w:tcPr>
            <w:tcW w:w="3680" w:type="dxa"/>
            <w:vAlign w:val="bottom"/>
          </w:tcPr>
          <w:p>
            <w:pPr>
              <w:jc w:val="center"/>
              <w:ind w:right="44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4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"emerging growth company" in Rule 12b-2 of the Securities Exchange Act of 1934.</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3"/>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0"/>
          <w:szCs w:val="20"/>
          <w:color w:val="auto"/>
        </w:rPr>
      </w:pPr>
    </w:p>
    <w:p>
      <w:pPr>
        <w:spacing w:after="0" w:line="300" w:lineRule="exact"/>
        <w:rPr>
          <w:sz w:val="20"/>
          <w:szCs w:val="20"/>
          <w:color w:val="auto"/>
        </w:rPr>
      </w:pPr>
    </w:p>
    <w:p>
      <w:pPr>
        <w:ind w:right="2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9" w:lineRule="exact"/>
        <w:rPr>
          <w:sz w:val="20"/>
          <w:szCs w:val="20"/>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9" w:lineRule="exact"/>
        <w:rPr>
          <w:sz w:val="20"/>
          <w:szCs w:val="20"/>
          <w:color w:val="auto"/>
        </w:rPr>
      </w:pPr>
    </w:p>
    <w:p>
      <w:pPr>
        <w:ind w:right="52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9" w:lineRule="exact"/>
        <w:rPr>
          <w:sz w:val="20"/>
          <w:szCs w:val="20"/>
          <w:color w:val="auto"/>
        </w:rPr>
      </w:pPr>
    </w:p>
    <w:p>
      <w:pPr>
        <w:ind w:right="360"/>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registrant's common stock held by non-affiliates of the registrant was approximately $61.5 million, based on the closing price of the registrant's common stock on the Nasdaq Global Market of $5.74 per share.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16, 2023 was 16,825,696.</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9"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2023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4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1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780" w:type="dxa"/>
            <w:vAlign w:val="bottom"/>
          </w:tcPr>
          <w:p>
            <w:pPr>
              <w:spacing w:after="0" w:line="189" w:lineRule="exact"/>
              <w:rPr>
                <w:sz w:val="20"/>
                <w:szCs w:val="20"/>
                <w:color w:val="auto"/>
              </w:rPr>
            </w:pPr>
            <w:r>
              <w:rPr>
                <w:rFonts w:ascii="Arial" w:cs="Arial" w:eastAsia="Arial" w:hAnsi="Arial"/>
                <w:sz w:val="18"/>
                <w:szCs w:val="18"/>
                <w:color w:val="0000FF"/>
                <w:w w:val="97"/>
              </w:rPr>
              <w:t>Business.</w:t>
            </w:r>
          </w:p>
        </w:tc>
        <w:tc>
          <w:tcPr>
            <w:tcW w:w="7780" w:type="dxa"/>
            <w:vAlign w:val="bottom"/>
            <w:gridSpan w:val="19"/>
          </w:tcPr>
          <w:p>
            <w:pPr>
              <w:spacing w:after="0"/>
              <w:rPr>
                <w:sz w:val="16"/>
                <w:szCs w:val="16"/>
                <w:color w:val="auto"/>
              </w:rPr>
            </w:pPr>
          </w:p>
        </w:tc>
        <w:tc>
          <w:tcPr>
            <w:tcW w:w="1260" w:type="dxa"/>
            <w:vAlign w:val="bottom"/>
            <w:gridSpan w:val="3"/>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5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2300" w:type="dxa"/>
            <w:vAlign w:val="bottom"/>
            <w:gridSpan w:val="9"/>
          </w:tcPr>
          <w:p>
            <w:pPr>
              <w:spacing w:after="0"/>
              <w:rPr>
                <w:sz w:val="20"/>
                <w:szCs w:val="20"/>
                <w:color w:val="auto"/>
              </w:rPr>
            </w:pPr>
            <w:r>
              <w:rPr>
                <w:rFonts w:ascii="Arial" w:cs="Arial" w:eastAsia="Arial" w:hAnsi="Arial"/>
                <w:sz w:val="18"/>
                <w:szCs w:val="18"/>
                <w:color w:val="0000FF"/>
                <w:w w:val="99"/>
              </w:rPr>
              <w:t>Unresolved Staff Comments.</w:t>
            </w:r>
          </w:p>
        </w:tc>
        <w:tc>
          <w:tcPr>
            <w:tcW w:w="6260" w:type="dxa"/>
            <w:vAlign w:val="bottom"/>
            <w:gridSpan w:val="11"/>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 w:type="dxa"/>
            <w:vAlign w:val="bottom"/>
            <w:gridSpan w:val="3"/>
          </w:tcPr>
          <w:p>
            <w:pPr>
              <w:spacing w:after="0"/>
              <w:rPr>
                <w:sz w:val="20"/>
                <w:szCs w:val="20"/>
                <w:color w:val="auto"/>
              </w:rPr>
            </w:pPr>
            <w:r>
              <w:rPr>
                <w:rFonts w:ascii="Arial" w:cs="Arial" w:eastAsia="Arial" w:hAnsi="Arial"/>
                <w:sz w:val="18"/>
                <w:szCs w:val="18"/>
                <w:color w:val="0000FF"/>
                <w:w w:val="94"/>
              </w:rPr>
              <w:t>Properties.</w:t>
            </w:r>
          </w:p>
        </w:tc>
        <w:tc>
          <w:tcPr>
            <w:tcW w:w="1440" w:type="dxa"/>
            <w:vAlign w:val="bottom"/>
            <w:gridSpan w:val="6"/>
          </w:tcPr>
          <w:p>
            <w:pPr>
              <w:spacing w:after="0"/>
              <w:rPr>
                <w:sz w:val="18"/>
                <w:szCs w:val="18"/>
                <w:color w:val="auto"/>
              </w:rPr>
            </w:pPr>
          </w:p>
        </w:tc>
        <w:tc>
          <w:tcPr>
            <w:tcW w:w="6260" w:type="dxa"/>
            <w:vAlign w:val="bottom"/>
            <w:gridSpan w:val="11"/>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1540" w:type="dxa"/>
            <w:vAlign w:val="bottom"/>
            <w:gridSpan w:val="6"/>
          </w:tcPr>
          <w:p>
            <w:pPr>
              <w:spacing w:after="0"/>
              <w:rPr>
                <w:sz w:val="20"/>
                <w:szCs w:val="20"/>
                <w:color w:val="auto"/>
              </w:rPr>
            </w:pPr>
            <w:r>
              <w:rPr>
                <w:rFonts w:ascii="Arial" w:cs="Arial" w:eastAsia="Arial" w:hAnsi="Arial"/>
                <w:sz w:val="18"/>
                <w:szCs w:val="18"/>
                <w:color w:val="0000FF"/>
                <w:w w:val="98"/>
              </w:rPr>
              <w:t>Legal Proceedings.</w:t>
            </w:r>
          </w:p>
        </w:tc>
        <w:tc>
          <w:tcPr>
            <w:tcW w:w="7020" w:type="dxa"/>
            <w:vAlign w:val="bottom"/>
            <w:gridSpan w:val="1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56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8560" w:type="dxa"/>
            <w:vAlign w:val="bottom"/>
            <w:gridSpan w:val="20"/>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160" w:type="dxa"/>
            <w:vAlign w:val="bottom"/>
            <w:gridSpan w:val="2"/>
            <w:vMerge w:val="restart"/>
          </w:tcPr>
          <w:p>
            <w:pPr>
              <w:spacing w:after="0"/>
              <w:rPr>
                <w:sz w:val="16"/>
                <w:szCs w:val="16"/>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7200" w:type="dxa"/>
            <w:vAlign w:val="bottom"/>
            <w:tcBorders>
              <w:top w:val="single" w:sz="8" w:color="0000FF"/>
            </w:tcBorders>
            <w:gridSpan w:val="16"/>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gridSpan w:val="3"/>
            <w:shd w:val="clear" w:color="auto" w:fill="0000FF"/>
          </w:tcPr>
          <w:p>
            <w:pPr>
              <w:spacing w:after="0"/>
              <w:rPr>
                <w:sz w:val="2"/>
                <w:szCs w:val="2"/>
                <w:color w:val="auto"/>
              </w:rPr>
            </w:pPr>
          </w:p>
        </w:tc>
        <w:tc>
          <w:tcPr>
            <w:tcW w:w="5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6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7700" w:type="dxa"/>
            <w:vAlign w:val="bottom"/>
            <w:gridSpan w:val="1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5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4760" w:type="dxa"/>
            <w:vAlign w:val="bottom"/>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476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3800" w:type="dxa"/>
            <w:vAlign w:val="bottom"/>
            <w:gridSpan w:val="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7120" w:type="dxa"/>
            <w:vAlign w:val="bottom"/>
            <w:gridSpan w:val="18"/>
          </w:tcPr>
          <w:p>
            <w:pPr>
              <w:spacing w:after="0"/>
              <w:rPr>
                <w:sz w:val="20"/>
                <w:szCs w:val="20"/>
                <w:color w:val="auto"/>
              </w:rPr>
            </w:pPr>
            <w:r>
              <w:rPr>
                <w:rFonts w:ascii="Arial" w:cs="Arial" w:eastAsia="Arial" w:hAnsi="Arial"/>
                <w:sz w:val="18"/>
                <w:szCs w:val="18"/>
                <w:color w:val="0000FF"/>
                <w:w w:val="98"/>
              </w:rPr>
              <w:t>Changes in and Disagreements with Accountants on Accounting and Financial Disclosure.</w:t>
            </w:r>
          </w:p>
        </w:tc>
        <w:tc>
          <w:tcPr>
            <w:tcW w:w="14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2040" w:type="dxa"/>
            <w:vAlign w:val="bottom"/>
            <w:gridSpan w:val="8"/>
          </w:tcPr>
          <w:p>
            <w:pPr>
              <w:spacing w:after="0"/>
              <w:rPr>
                <w:sz w:val="20"/>
                <w:szCs w:val="20"/>
                <w:color w:val="auto"/>
              </w:rPr>
            </w:pPr>
            <w:r>
              <w:rPr>
                <w:rFonts w:ascii="Arial" w:cs="Arial" w:eastAsia="Arial" w:hAnsi="Arial"/>
                <w:sz w:val="18"/>
                <w:szCs w:val="18"/>
                <w:color w:val="0000FF"/>
                <w:w w:val="97"/>
              </w:rPr>
              <w:t>Controls and Procedures.</w:t>
            </w:r>
          </w:p>
        </w:tc>
        <w:tc>
          <w:tcPr>
            <w:tcW w:w="5080" w:type="dxa"/>
            <w:vAlign w:val="bottom"/>
            <w:gridSpan w:val="10"/>
          </w:tcPr>
          <w:p>
            <w:pPr>
              <w:spacing w:after="0"/>
              <w:rPr>
                <w:sz w:val="18"/>
                <w:szCs w:val="18"/>
                <w:color w:val="auto"/>
              </w:rPr>
            </w:pPr>
          </w:p>
        </w:tc>
        <w:tc>
          <w:tcPr>
            <w:tcW w:w="14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20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52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9C.</w:t>
            </w:r>
          </w:p>
        </w:tc>
        <w:tc>
          <w:tcPr>
            <w:tcW w:w="856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10.</w:t>
            </w:r>
          </w:p>
        </w:tc>
        <w:tc>
          <w:tcPr>
            <w:tcW w:w="8560" w:type="dxa"/>
            <w:vAlign w:val="bottom"/>
            <w:gridSpan w:val="20"/>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3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2040" w:type="dxa"/>
            <w:vAlign w:val="bottom"/>
            <w:gridSpan w:val="8"/>
          </w:tcPr>
          <w:p>
            <w:pPr>
              <w:spacing w:after="0"/>
              <w:rPr>
                <w:sz w:val="20"/>
                <w:szCs w:val="20"/>
                <w:color w:val="auto"/>
              </w:rPr>
            </w:pPr>
            <w:r>
              <w:rPr>
                <w:rFonts w:ascii="Arial" w:cs="Arial" w:eastAsia="Arial" w:hAnsi="Arial"/>
                <w:sz w:val="18"/>
                <w:szCs w:val="18"/>
                <w:color w:val="0000FF"/>
                <w:w w:val="97"/>
              </w:rPr>
              <w:t>Executive Compensation.</w:t>
            </w:r>
          </w:p>
        </w:tc>
        <w:tc>
          <w:tcPr>
            <w:tcW w:w="2500" w:type="dxa"/>
            <w:vAlign w:val="bottom"/>
            <w:gridSpan w:val="6"/>
          </w:tcPr>
          <w:p>
            <w:pPr>
              <w:spacing w:after="0"/>
              <w:rPr>
                <w:sz w:val="18"/>
                <w:szCs w:val="18"/>
                <w:color w:val="auto"/>
              </w:rPr>
            </w:pPr>
          </w:p>
        </w:tc>
        <w:tc>
          <w:tcPr>
            <w:tcW w:w="4020" w:type="dxa"/>
            <w:vAlign w:val="bottom"/>
            <w:gridSpan w:val="6"/>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060" w:type="dxa"/>
            <w:vAlign w:val="bottom"/>
            <w:gridSpan w:val="19"/>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6120" w:type="dxa"/>
            <w:vAlign w:val="bottom"/>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120" w:type="dxa"/>
            <w:vAlign w:val="bottom"/>
            <w:gridSpan w:val="17"/>
          </w:tcPr>
          <w:p>
            <w:pPr>
              <w:spacing w:after="0"/>
              <w:rPr>
                <w:sz w:val="20"/>
                <w:szCs w:val="20"/>
                <w:color w:val="auto"/>
              </w:rPr>
            </w:pPr>
            <w:r>
              <w:rPr>
                <w:rFonts w:ascii="Arial" w:cs="Arial" w:eastAsia="Arial" w:hAnsi="Arial"/>
                <w:sz w:val="18"/>
                <w:szCs w:val="18"/>
                <w:color w:val="0000FF"/>
              </w:rPr>
              <w:t>Principal Accountant Fees and Services.</w:t>
            </w:r>
          </w:p>
        </w:tc>
        <w:tc>
          <w:tcPr>
            <w:tcW w:w="244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15.</w:t>
            </w:r>
          </w:p>
        </w:tc>
        <w:tc>
          <w:tcPr>
            <w:tcW w:w="3560" w:type="dxa"/>
            <w:vAlign w:val="bottom"/>
            <w:gridSpan w:val="12"/>
          </w:tcPr>
          <w:p>
            <w:pPr>
              <w:spacing w:after="0" w:line="189" w:lineRule="exact"/>
              <w:rPr>
                <w:sz w:val="20"/>
                <w:szCs w:val="20"/>
                <w:color w:val="auto"/>
              </w:rPr>
            </w:pPr>
            <w:r>
              <w:rPr>
                <w:rFonts w:ascii="Arial" w:cs="Arial" w:eastAsia="Arial" w:hAnsi="Arial"/>
                <w:sz w:val="18"/>
                <w:szCs w:val="18"/>
                <w:color w:val="0000FF"/>
                <w:w w:val="99"/>
              </w:rPr>
              <w:t>Exhibits and Financial Statement Schedules.</w:t>
            </w:r>
          </w:p>
        </w:tc>
        <w:tc>
          <w:tcPr>
            <w:tcW w:w="5000" w:type="dxa"/>
            <w:vAlign w:val="bottom"/>
            <w:gridSpan w:val="8"/>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60" w:type="dxa"/>
            <w:vAlign w:val="bottom"/>
            <w:gridSpan w:val="12"/>
          </w:tcPr>
          <w:p>
            <w:pPr>
              <w:spacing w:after="0"/>
              <w:rPr>
                <w:sz w:val="20"/>
                <w:szCs w:val="20"/>
                <w:color w:val="auto"/>
              </w:rPr>
            </w:pPr>
            <w:r>
              <w:rPr>
                <w:rFonts w:ascii="Arial" w:cs="Arial" w:eastAsia="Arial" w:hAnsi="Arial"/>
                <w:sz w:val="18"/>
                <w:szCs w:val="18"/>
                <w:color w:val="0000FF"/>
              </w:rPr>
              <w:t>Form 10-K Summary.</w:t>
            </w:r>
          </w:p>
        </w:tc>
        <w:tc>
          <w:tcPr>
            <w:tcW w:w="5000" w:type="dxa"/>
            <w:vAlign w:val="bottom"/>
            <w:gridSpan w:val="8"/>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w w:val="95"/>
              </w:rPr>
              <w:t>Signatures</w:t>
            </w:r>
          </w:p>
        </w:tc>
        <w:tc>
          <w:tcPr>
            <w:tcW w:w="840" w:type="dxa"/>
            <w:vAlign w:val="bottom"/>
            <w:gridSpan w:val="4"/>
          </w:tcPr>
          <w:p>
            <w:pPr>
              <w:spacing w:after="0"/>
              <w:rPr>
                <w:sz w:val="18"/>
                <w:szCs w:val="18"/>
                <w:color w:val="auto"/>
              </w:rPr>
            </w:pPr>
          </w:p>
        </w:tc>
        <w:tc>
          <w:tcPr>
            <w:tcW w:w="6860" w:type="dxa"/>
            <w:vAlign w:val="bottom"/>
            <w:gridSpan w:val="1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92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Consolidated Financial Statements</w:t>
            </w:r>
          </w:p>
        </w:tc>
        <w:tc>
          <w:tcPr>
            <w:tcW w:w="11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0000FF"/>
                <w:w w:val="81"/>
              </w:rPr>
              <w:t>F-1</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(the Annual Report), contains forward-looking statements within the meaning of Section 21E of the Securities Exchange Act of 1934, as amended (the Exchange Act). All statements other than statements of historical facts contained in this Annual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62"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153"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 xml:space="preserve">We use our trademarks in this Annual Report as well as trademarks, tradenames and service marks that are the property of other organizations. Solely for convenience, certain trademarks and tradenames referred to in this Annual Report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incorporate Cell-Bound Complement Activation Products (CB-CAPs) technology. CB-CAPs assess the activation of the complement system, a biological pathway that is widely implicated across many autoimmune and autoimmune-related diseases, including systemic lupus erythematosus (SLE). Our goal is to enable healthcare providers to improve care for patients through the differential diagnosis, prognosis and monitoring of complex autoimmune and autoimmune-related diseases, including SLE and rheumatoid arthritis (RA).</w:t>
      </w:r>
    </w:p>
    <w:p>
      <w:pPr>
        <w:spacing w:after="0" w:line="140"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We market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may provide clinical utility for over 24 million patients in the United States suffering from these diseases, which include SLE, RA, Sjögren’s syndrome, antiphospholipid syndrome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49" w:lineRule="exact"/>
        <w:rPr>
          <w:sz w:val="20"/>
          <w:szCs w:val="20"/>
          <w:color w:val="auto"/>
        </w:rPr>
      </w:pPr>
    </w:p>
    <w:p>
      <w:pPr>
        <w:ind w:right="320"/>
        <w:spacing w:after="0" w:line="213"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leverages CB-CAPs technology to enable the differential diagnosis of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rheumatologists to accurately diagnose other overlapping autoimmune and autoimmune-related diseases, including RA, with the same blood sample.</w:t>
      </w:r>
    </w:p>
    <w:p>
      <w:pPr>
        <w:spacing w:after="0" w:line="152"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also leverages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may be utilized by patients multiple times a year throughout their lives.</w:t>
      </w:r>
    </w:p>
    <w:p>
      <w:pPr>
        <w:spacing w:after="0" w:line="14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based on our proprietary methotrexate polyglutamate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the low-volume test sample collection method, is no longer offered for any of our testing products.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which measures anti-carbamylated protein antibody (anti-CarP), was developed by the Leiden University Medical Center, and we introduced it as a biomarker-driven RA prognostic test through a distribution agreement with Werfen USA, LLC with the goal of identifying patients prone to more severe disease.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Since the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through</w:t>
      </w:r>
    </w:p>
    <w:p>
      <w:pPr>
        <w:ind w:right="20"/>
        <w:spacing w:after="0" w:line="228" w:lineRule="auto"/>
        <w:rPr>
          <w:sz w:val="20"/>
          <w:szCs w:val="20"/>
          <w:color w:val="auto"/>
        </w:rPr>
      </w:pPr>
      <w:r>
        <w:rPr>
          <w:rFonts w:ascii="Arial" w:cs="Arial" w:eastAsia="Arial" w:hAnsi="Arial"/>
          <w:sz w:val="18"/>
          <w:szCs w:val="18"/>
          <w:color w:val="auto"/>
        </w:rPr>
        <w:t>December 31, 2022, we have delivered approximately 750,000 of these tests. For the year ended December 31, 2022, 135,210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an approximate 5% increase over 2021. In the fourth quarter of 2022, the number of ordering healthcare providers reached a record 2,419 compared to 2,126 in the same period in 2021.</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we continue to populate a growing proprietary database of de-identified patient test results from our clinical studies and our clinical laboratory. We believe the insight emerging from these results has the potential to unlock value for pharmaceutical and biotechnology companies in the development and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5" w:name="page6"/>
    <w:bookmarkEnd w:id="5"/>
    <w:p>
      <w:pPr>
        <w:ind w:right="300"/>
        <w:spacing w:after="0" w:line="248" w:lineRule="auto"/>
        <w:rPr>
          <w:sz w:val="20"/>
          <w:szCs w:val="20"/>
          <w:color w:val="auto"/>
        </w:rPr>
      </w:pPr>
      <w:r>
        <w:rPr>
          <w:rFonts w:ascii="Arial" w:cs="Arial" w:eastAsia="Arial" w:hAnsi="Arial"/>
          <w:sz w:val="18"/>
          <w:szCs w:val="18"/>
          <w:color w:val="auto"/>
        </w:rPr>
        <w:t>We address the unmet needs of those suffering from debilitating and chronic autoimmune disorders through aiding in the differential diagnosis, prognosis, monitoring and therapeutic selection, to ultimately improve the continuum of care for patients. The key tenets of our business strategy include:</w:t>
      </w:r>
    </w:p>
    <w:p>
      <w:pPr>
        <w:spacing w:after="0" w:line="119" w:lineRule="exact"/>
        <w:rPr>
          <w:sz w:val="20"/>
          <w:szCs w:val="20"/>
          <w:color w:val="auto"/>
        </w:rPr>
      </w:pPr>
    </w:p>
    <w:p>
      <w:pPr>
        <w:ind w:left="660" w:right="260" w:hanging="328"/>
        <w:spacing w:after="0" w:line="239"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Focus on our flagship product,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CTD. </w:t>
      </w:r>
      <w:r>
        <w:rPr>
          <w:rFonts w:ascii="Arial" w:cs="Arial" w:eastAsia="Arial" w:hAnsi="Arial"/>
          <w:sz w:val="18"/>
          <w:szCs w:val="18"/>
          <w:color w:val="auto"/>
        </w:rPr>
        <w:t>We have demonstrated a solid track record of commercial growth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We believe we are uniquely positioned to continue expanding our commercial presence within the autoimmune disease market by leveraging our specialized sales force and expansive network of relationships with rheumatologists across the United States. Using our specialty laboratory focused on rheumatology, we plan to build upon industry-leading quality, service and technology to support strong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adoption and continue to grow our ordering physician base.</w:t>
      </w:r>
    </w:p>
    <w:p>
      <w:pPr>
        <w:spacing w:after="0" w:line="56" w:lineRule="exact"/>
        <w:rPr>
          <w:rFonts w:ascii="Arial" w:cs="Arial" w:eastAsia="Arial" w:hAnsi="Arial"/>
          <w:sz w:val="18"/>
          <w:szCs w:val="18"/>
          <w:color w:val="auto"/>
        </w:rPr>
      </w:pPr>
    </w:p>
    <w:p>
      <w:pPr>
        <w:ind w:left="660" w:right="80" w:hanging="328"/>
        <w:spacing w:after="0" w:line="244"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 developing innovative testing products, using clear criteria for R&amp;D projects and commercialization milestones. </w:t>
      </w:r>
      <w:r>
        <w:rPr>
          <w:rFonts w:ascii="Arial" w:cs="Arial" w:eastAsia="Arial" w:hAnsi="Arial"/>
          <w:sz w:val="18"/>
          <w:szCs w:val="18"/>
          <w:color w:val="auto"/>
        </w:rPr>
        <w:t>We intend to leverage our protein and molecular assay development capabilities, bioinformatic team and proprietary technologies to pursue the development of additional testing products designed to have superior clinical utility for CTDs. We undertake research projects that have the potential for impactful results and address the top consumer needs in the rheumatology space. The research projects we support will be those that we believe will have a competitive advantage (such as using proprietary technology), a pathway for reimbursement and an established evidence development plan with sufficient market size. Criteria for developed products that we ultimately commercialize include Medicare coverage (specific to patient population), proprietary value-based pricing, published clinical utility and a strategy for medical guideline inclusion.</w:t>
      </w:r>
    </w:p>
    <w:p>
      <w:pPr>
        <w:spacing w:after="0" w:line="125" w:lineRule="exact"/>
        <w:rPr>
          <w:rFonts w:ascii="Arial" w:cs="Arial" w:eastAsia="Arial" w:hAnsi="Arial"/>
          <w:sz w:val="18"/>
          <w:szCs w:val="18"/>
          <w:b w:val="1"/>
          <w:bCs w:val="1"/>
          <w:i w:val="1"/>
          <w:iCs w:val="1"/>
          <w:color w:val="auto"/>
        </w:rPr>
      </w:pPr>
    </w:p>
    <w:p>
      <w:pPr>
        <w:ind w:left="660" w:right="20" w:hanging="328"/>
        <w:spacing w:after="0" w:line="248"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Maintain meaningful margin. </w:t>
      </w:r>
      <w:r>
        <w:rPr>
          <w:rFonts w:ascii="Arial" w:cs="Arial" w:eastAsia="Arial" w:hAnsi="Arial"/>
          <w:sz w:val="18"/>
          <w:szCs w:val="18"/>
          <w:color w:val="auto"/>
        </w:rPr>
        <w:t>We seek to maintain meaningful margin by continuing to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internal initiatives, such as leveraging validation and reimbursement-oriented clinical studies to facilitate payor coverage of our testing products. We plan to increase our focus on long-term reimbursement and average sales price (ASP) growth, by optimizing revenue cycle practices, focusing managed care efforts on medical policy expansion and continuing to educate insurance payors on the published, real-world evidence of the clinical utility of our testing products, showing healthcare cost savings and reductions in time to diagnosis.</w:t>
      </w:r>
    </w:p>
    <w:p>
      <w:pPr>
        <w:spacing w:after="0" w:line="142" w:lineRule="exact"/>
        <w:rPr>
          <w:rFonts w:ascii="Arial" w:cs="Arial" w:eastAsia="Arial" w:hAnsi="Arial"/>
          <w:sz w:val="18"/>
          <w:szCs w:val="18"/>
          <w:b w:val="1"/>
          <w:bCs w:val="1"/>
          <w:i w:val="1"/>
          <w:iCs w:val="1"/>
          <w:color w:val="auto"/>
        </w:rPr>
      </w:pPr>
    </w:p>
    <w:p>
      <w:pPr>
        <w:ind w:left="660" w:right="40"/>
        <w:spacing w:after="0" w:line="230"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also seek to improve our per-test costs by focusing on profitable, core test offerings, reducing fixed costs and overhead, and focusing our laboratory resources 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optimization. Additionally, we employ a streamlined salesforce covering territories which are designed to achieve the most efficient and effective reach and frequency for the promotion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w:t>
      </w:r>
    </w:p>
    <w:p>
      <w:pPr>
        <w:spacing w:after="0" w:line="77"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are currently aligning the organization with this new focus to best accomplish our goals.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5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The National Institute of Environmental Health Sciences estimates that there are approximately 24 million patients in the United States with existing cases of autoimmune diseases. Of these patients, we estimate approximately seven million are potentially referable to rheumatologists and would be candidates for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representing a total addressable market of approximately $ 7.5 billion, based on the current Medicare allowable reimbursement rate.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$9.0 billion, based on estimated patient populations, the current Medicare allowable reimbursement rate and testing frequencies.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 w:name="page7"/>
    <w:bookmarkEnd w:id="6"/>
    <w:p>
      <w:pPr>
        <w:ind w:right="40"/>
        <w:spacing w:after="0"/>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(ANA), anti-double stranded DNA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(32 million people), indicating a significant need for a highly-specific test for this disease.</w:t>
      </w:r>
    </w:p>
    <w:p>
      <w:pPr>
        <w:spacing w:after="0" w:line="16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Anti-dsDNA are autoantibodies that target a person’s double-stranded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Many people with SLE have a negative anti-dsDNA antibody test, reaffirming the need for an effective testing product which adds clarity to the rheumatologist’s clinical assessment.</w:t>
      </w:r>
    </w:p>
    <w:p>
      <w:pPr>
        <w:spacing w:after="0" w:line="14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acute-phase reactants and produced during inflammation. As a result, many SLE patients have normal complement levels even when the disease is active. Although relatively specific for SLE, low complement levels can also be seen in certain chronic infections, including non-lupus-related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53"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In March 2011, the first new biologic targeting treatment of SLE in over 50 years, GSK’s Benlysta</w:t>
      </w:r>
      <w:r>
        <w:rPr>
          <w:rFonts w:ascii="Arial" w:cs="Arial" w:eastAsia="Arial" w:hAnsi="Arial"/>
          <w:sz w:val="23"/>
          <w:szCs w:val="23"/>
          <w:color w:val="auto"/>
          <w:vertAlign w:val="superscript"/>
        </w:rPr>
        <w:t>®</w:t>
      </w:r>
      <w:r>
        <w:rPr>
          <w:rFonts w:ascii="Arial" w:cs="Arial" w:eastAsia="Arial" w:hAnsi="Arial"/>
          <w:sz w:val="18"/>
          <w:szCs w:val="18"/>
          <w:color w:val="auto"/>
        </w:rPr>
        <w:t>, was approved by the U.S. Food and Drug Administration (the FDA), and in December 2020, the FDA approved this biologic drug for the treatment of adult patients with active lupus nephritis who are receiving standard therapy. Since Benlysta</w:t>
      </w:r>
      <w:r>
        <w:rPr>
          <w:rFonts w:ascii="Arial" w:cs="Arial" w:eastAsia="Arial" w:hAnsi="Arial"/>
          <w:sz w:val="23"/>
          <w:szCs w:val="23"/>
          <w:color w:val="auto"/>
          <w:vertAlign w:val="superscript"/>
        </w:rPr>
        <w:t>®</w:t>
      </w:r>
      <w:r>
        <w:rPr>
          <w:rFonts w:ascii="Arial" w:cs="Arial" w:eastAsia="Arial" w:hAnsi="Arial"/>
          <w:sz w:val="18"/>
          <w:szCs w:val="18"/>
          <w:color w:val="auto"/>
        </w:rPr>
        <w: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180"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135,000 and 1.5 million, respectively. Patients suffering from RA develop joint damage that is associated with painful inflammation and often progresses to irreversible damage of cartilage and bone, leading to significant disability and a reduction in quality of life and the ability to work. Early diagnosis and effective treatment of RA is critically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 w:name="page8"/>
    <w:bookmarkEnd w:id="7"/>
    <w:p>
      <w:pPr>
        <w:ind w:right="200"/>
        <w:spacing w:after="0" w:line="246" w:lineRule="auto"/>
        <w:rPr>
          <w:sz w:val="20"/>
          <w:szCs w:val="20"/>
          <w:color w:val="auto"/>
        </w:rPr>
      </w:pPr>
      <w:r>
        <w:rPr>
          <w:rFonts w:ascii="Arial" w:cs="Arial" w:eastAsia="Arial" w:hAnsi="Arial"/>
          <w:sz w:val="18"/>
          <w:szCs w:val="18"/>
          <w:color w:val="auto"/>
        </w:rPr>
        <w:t>important to prevent erosive bone or joint damage and disability. Rheumatologists are compelled to reach a definitive diagnosis quickly and administer effective treatment.</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(RF), anti-cyclic citrullinated peptide (CCP) antibodies and testing for general, nonspecific inflammation with erythrocyte sedimentation rate (the ESR) and C-reactive protein tests are used to assist in the diagnosis.</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(DMARDs) which have shown, in clinical studies, the ability to slow or stop disease progression. Methotrexate remains the most commonly used DMARD, due to its low cost, effectiveness, and the extensive clinical experience with its use. It is estimated that approximately 90% of RA patients in the United States, or 1.3 million patients, are treated with methotrexate, either as a monotherapy or in combination with another DMARD.</w:t>
      </w:r>
    </w:p>
    <w:p>
      <w:pPr>
        <w:spacing w:after="0" w:line="14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The anti-TNFs dominate the therapy for RA and generally are the first biologics chosen to augment methotrexate when patients are not achieving a satisfactory response.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9"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We market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CB-CAPs technology, which is a stable and reliable method for differentially diagnosing SLE. We are focused on leveraging our sales channel targeting the approximately 4,500 rheumatologists across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MTXPGs</w:t>
      </w:r>
    </w:p>
    <w:p>
      <w:pPr>
        <w:spacing w:after="0" w:line="176"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ind w:right="140"/>
        <w:spacing w:after="0" w:line="241" w:lineRule="auto"/>
        <w:rPr>
          <w:sz w:val="20"/>
          <w:szCs w:val="20"/>
          <w:color w:val="auto"/>
        </w:rPr>
      </w:pPr>
      <w:r>
        <w:rPr>
          <w:rFonts w:ascii="Arial" w:cs="Arial" w:eastAsia="Arial" w:hAnsi="Arial"/>
          <w:sz w:val="18"/>
          <w:szCs w:val="18"/>
          <w:color w:val="auto"/>
        </w:rPr>
        <w:t>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Products</w:t>
      </w:r>
    </w:p>
    <w:p>
      <w:pPr>
        <w:spacing w:after="0" w:line="18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$9 billion, based on estimated patient populations, the current Medicare allowable reimbursement rate and testing frequencies.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CTD</w:t>
      </w:r>
    </w:p>
    <w:p>
      <w:pPr>
        <w:spacing w:after="0" w:line="10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the differential diagnosis of SLE versus other common CTDs. The SLE portion of the test employs CB-CAPs technology and specifically measures activation of the complement system by quantifying the level of two CB-CAPs biomarkers in the patient’s blood, B-cell C4d (BC4d), and erythrocyte bound C4d (EC4d), which are higher in patients with SLE compared to patients with other CTDs. In addition,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testing for a series of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larger diagnostic process more efficient and accurate. The clinical performance of our proprietary biomarkers and the convenience of a single blood draw make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 attractive choice among rheumatologists.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Lupus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employs CB-CAPs technology and is the cornerstone of the SLE assessment within our more comprehensive</w:t>
      </w:r>
    </w:p>
    <w:p>
      <w:pPr>
        <w:ind w:right="20"/>
        <w:spacing w:after="0" w:line="210"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APS</w:t>
      </w:r>
    </w:p>
    <w:p>
      <w:pPr>
        <w:spacing w:after="0" w:line="110" w:lineRule="exact"/>
        <w:rPr>
          <w:sz w:val="20"/>
          <w:szCs w:val="20"/>
          <w:color w:val="auto"/>
        </w:rPr>
      </w:pPr>
    </w:p>
    <w:p>
      <w:pPr>
        <w:ind w:right="80"/>
        <w:spacing w:after="0" w:line="201"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consists of a specialized panel of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or in the management of patients experiencing a high-risk pregnancy.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Vasculitis AAV</w:t>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In September 2020, we launched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Vasculitis AAV which utilizes a testing panel of individual analytes designed to provide physicians with rapid and reliable results in the assessment and monitoring of anti-neutrophil cytoplasmic antibody (ANCA) associated vasculitis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Prognosis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Prognostic</w:t>
      </w:r>
    </w:p>
    <w:p>
      <w:pPr>
        <w:spacing w:after="0" w:line="10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is a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test to help tailor their treatment approach.</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-48895</wp:posOffset>
            </wp:positionV>
            <wp:extent cx="527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90"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which measures anti-CarP, was developed by the Leiden University Medical Center, and we introduced it as a biomarker-driven RA prognostic test through a distribution agreement with Werfen USA, LLC. with the goal of identifying patients prone to more severe disease. We were the first commercial laboratory to make testing for anti-CarP available in the United States with the introduction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PC4d</w:t>
      </w:r>
    </w:p>
    <w:p>
      <w:pPr>
        <w:spacing w:after="0" w:line="11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PC4d, introduced in 2018, reflects over 10 years of research efforts and employs CB-CAPs technology. This CB-CAP biomarker measures platelet-bound C4d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PC4d promises to be a valuable tool for SLE disease monitoring.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Monitor</w:t>
      </w:r>
    </w:p>
    <w:p>
      <w:pPr>
        <w:spacing w:after="0" w:line="11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is a blood test that employs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many healthcare providers are unaware of this bias.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demonstrates correlation to SLE disease activity and is therefore designed to enable rheumatologists to effectively assess and optimize therapeutic intervention in patients diagnosed with SLE. Additionally,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measures EC4d, anti-C1q, C3, C4 and anti-dsDNA which can assist physicians with managing their lupus nephritis patients. Depending on disease severity,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testing product may be utilized by patients multiple times a year and throughout their lives. We believe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SLE Monitor will play an increasingly important role in the management of SLE patients and further solidify the role and relationship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for these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MTX</w:t>
      </w:r>
    </w:p>
    <w:p>
      <w:pPr>
        <w:spacing w:after="0" w:line="10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patented and validated blood test that precisely measures blood levels of MTXPG, the active metabolite of methotrexate linked to disease control in RA patients. There is large variability in the way patients absorb and metabolize methotrexate, leaving rheumatologists unsure of what steps to take when a patient has an inadequate response. Methotrexate is the most widely prescribed drug by rheumatologists in the treatment of RA. Measuring MTXPGs allows rheumatologists to identify patients presenting with inadequate exposure to methotrexate enabling them to optimize dosing and achieve therapeutic levels commensurate with adequate disease control.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can allow rheumatologists to make more informed therapeutic decisions in their efforts to optimize methotrexate therapy and give patients their best chance at achieving an optimal response.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HCQ</w:t>
      </w:r>
    </w:p>
    <w:p>
      <w:pPr>
        <w:spacing w:after="0" w:line="100"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 blood test designed to help rheumatologists objectively monitor levels of hydroxychloroquine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0" w:name="page11"/>
    <w:bookmarkEnd w:id="10"/>
    <w:p>
      <w:pPr>
        <w:ind w:right="200"/>
        <w:spacing w:after="0" w:line="248" w:lineRule="auto"/>
        <w:rPr>
          <w:sz w:val="20"/>
          <w:szCs w:val="20"/>
          <w:color w:val="auto"/>
        </w:rPr>
      </w:pPr>
      <w:r>
        <w:rPr>
          <w:rFonts w:ascii="Arial" w:cs="Arial" w:eastAsia="Arial" w:hAnsi="Arial"/>
          <w:sz w:val="18"/>
          <w:szCs w:val="18"/>
          <w:color w:val="auto"/>
        </w:rPr>
        <w:t>helps to determine whether HCQ blood levels are adequate and consistent with clinical efficacy. The addition of new and costly biologic therapies approved for the treatment of SLE may drive interest by all healthcare stakeholders, especially payors, to adopt an approach that optimizes a generic drug before advancing to a costlier alternative.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Reports</w:t>
      </w:r>
    </w:p>
    <w:p>
      <w:pPr>
        <w:spacing w:after="0" w:line="180" w:lineRule="exact"/>
        <w:rPr>
          <w:sz w:val="20"/>
          <w:szCs w:val="20"/>
          <w:color w:val="auto"/>
        </w:rPr>
      </w:pPr>
    </w:p>
    <w:p>
      <w:pPr>
        <w:spacing w:after="0" w:line="197"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portion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AVISE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86995</wp:posOffset>
            </wp:positionV>
            <wp:extent cx="5863590" cy="7535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7535545"/>
                    </a:xfrm>
                    <a:prstGeom prst="rect">
                      <a:avLst/>
                    </a:prstGeom>
                    <a:noFill/>
                  </pic:spPr>
                </pic:pic>
              </a:graphicData>
            </a:graphic>
          </wp:anchor>
        </w:drawing>
      </w:r>
    </w:p>
    <w:p>
      <w:pPr>
        <w:sectPr>
          <w:pgSz w:w="11900" w:h="16838" w:orient="portrait"/>
          <w:cols w:equalWidth="0" w:num="1">
            <w:col w:w="10139"/>
          </w:cols>
          <w:pgMar w:left="320" w:top="10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6" w:right="1440"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766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66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8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regularly confer with national experts in the clinical management of rheumatic autoimmune diseases, including RA and lupus, to help guide the organization’s leadership team on the design and execution of research projects, as well as weigh-in on known and anticipated advances in technologies affecting clinical management of autoimmune diseases. We believe there is significant potential to capitalize on our proprietary technologies by integrating with commercially validated biomarkers to develop testing products with superior clinical utility. The complement pathway is widely implicated in the pathogenesis of a variety of conditions, including autoimmune diseases and organ transplant rejection. We believe that CB-CAPs technology, owing to its stability and reliability, will allow us to produce meaningful and differentiated proprietary solutions for rheumatologists. For example, we are developing assays that we believe may have high diagnostic, prognostic, monitoring and/or therapeutic response value in patients with Lupus, RA and additional autoimmune indications.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RADR Platform</w:t>
      </w:r>
    </w:p>
    <w:p>
      <w:pPr>
        <w:spacing w:after="0" w:line="12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RA is estimated to affect approximately 1.5 million patients in the United States and can be difficult to manage due to a well-defined treatment response ceiling for the spectrum of FDA-approved biological treatments for RA. Personalized therapeutic agent selection for RA patients remains a significant unmet need. RA patients often try multiple therapies empirically before they find one that lowers their disease activity. The placement of an RA patient on an ineffective therapy risks progression and worsening of the disease, further damage to the joints, and significant wasted spend on expensive therapeutic agents. There are currently no reliable assays for predicting positive patient response prior to the selection of commonly prescribed biological therapeutic agents. In collaboration with Queen Mary University of London (QMUL), we are aiming to develop a family of patented assays pertaining to RNA expression patterns used in the prediction of patient response to biological therapeutics for RA. The assays utilize minimally invasive synovial tissue biopsies as input, which are then processed for total RNA expression data. The resulting data is then run through proprietary artificial intelligence (AI) developed algorithms that provide actionable insights on predicted biological therapeutic response for RA patients based on an individual patient's RNA expression patterns.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SLE Monitor (2.0)</w:t>
      </w:r>
    </w:p>
    <w:p>
      <w:pPr>
        <w:spacing w:after="0" w:line="12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SLE is characterized by a chronic, systemic inflammatory burden, and disease progression is defined by the accumulation of irreversible organ damage typically resulting from chronic inflammation and/or chronic corticosteroid use. Among the challenges for rheumatologists responsible for the care of lupus patients is the unpredictability of the disease course defined by periods of waxing and waning episodes of inflammation. The unpredictable nature of SLE and the lack of reliable conventional biomarkers indicative of present and near-term disease activity results in a significant unmet need for a surrogate method to monitor disease activity. Our goal is to leverage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 Nephritis</w:t>
      </w:r>
    </w:p>
    <w:p>
      <w:pPr>
        <w:spacing w:after="0" w:line="13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Lupus nephritis (LN) is an autoimmune disease and a frequent complication in people who have SLE. It causes the immune system to produce proteins called autoantibodies that attack the body's own tissues and organs, including the kidneys. If left untreated, LN can lead to significant health problems, permanent kidney damage and even death. Early diagnosis and treatment are key to managing LN and to preventing it from escalating. Although early onset of LN is not typically noticeable by patients, nearly 40% of SLE patients go on to develop LN. Currently, urinary protein to creatine ratio measurement is the standard means of assessing kidney damage; however, it is not necessarily indicative of kidney prognosis or treatment response. We aim to develop a test for detecting protein analytes in urine that can aid rheumatologists in the ongoing management and risk stratification of patients suffering from lupus nephritis.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specialized sales force is focused on targeting the approximately 4,500 rheumatologists across the United States. Our sales representatives generally have extensive experience in healthcare sales with backgrounds in rheumatology, diagnostics and/or pharmaceutical sales. In addition, our sales representatives complete a comprehensive disease-level sales training program and are required to participate in regular, ongoing training activities and certifications.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goal is for our sales representative to be viewed as a collaborative resource to the rheumatologists and their practice.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 w:name="page15"/>
    <w:bookmarkEnd w:id="14"/>
    <w:p>
      <w:pPr>
        <w:spacing w:after="0" w:line="243" w:lineRule="auto"/>
        <w:rPr>
          <w:sz w:val="20"/>
          <w:szCs w:val="20"/>
          <w:color w:val="auto"/>
        </w:rPr>
      </w:pPr>
      <w:r>
        <w:rPr>
          <w:rFonts w:ascii="Arial" w:cs="Arial" w:eastAsia="Arial" w:hAnsi="Arial"/>
          <w:sz w:val="18"/>
          <w:szCs w:val="18"/>
          <w:color w:val="auto"/>
        </w:rPr>
        <w:t>Our field-based sales force is organized into 40 territories within the following four regions: West, Central, Northeast and Southeast. Our inside sales force helps further our brand awareness with, and access to, rheumatologists located in rural and outlying areas of the United States. We intend to continue to evaluate our sales force's reach and frequency of interactions with rheumatologists, including as we launch our pipeline products. To further support our promotional efforts, we have a centralized, dedicated client services department with a high level of technical training that augments our specialized sales force and marketing activities. This group enhances sales efficiency and customer satisfaction by providing personalized customer support.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and Growth through Quality Testing and Service</w:t>
      </w:r>
    </w:p>
    <w:p>
      <w:pPr>
        <w:spacing w:after="0" w:line="17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Our focus on quality allows for a dedicated sales approach which entails a commitment to understanding the needs of both provider and patient. Through raising awareness of the benefits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provides, our sales team is able to deliver quality testing and support services to providers, and ultimately, their patients. To ensure our marketing and sales efforts are reaching those that we believe could benefit most from AVISE</w:t>
      </w:r>
      <w:r>
        <w:rPr>
          <w:rFonts w:ascii="Arial" w:cs="Arial" w:eastAsia="Arial" w:hAnsi="Arial"/>
          <w:sz w:val="23"/>
          <w:szCs w:val="23"/>
          <w:color w:val="auto"/>
          <w:vertAlign w:val="superscript"/>
        </w:rPr>
        <w:t>®</w:t>
      </w:r>
      <w:r>
        <w:rPr>
          <w:rFonts w:ascii="Arial" w:cs="Arial" w:eastAsia="Arial" w:hAnsi="Arial"/>
          <w:sz w:val="18"/>
          <w:szCs w:val="18"/>
          <w:color w:val="auto"/>
        </w:rPr>
        <w:t>, we emphasize execution in three core areas: targeting, messaging and call frequency. We strategically target the highest-potential practices by utilizing various data sources (e.g., market analytics, demographic data, historical therapeutic usage and diagnostic product trends). Furthermore, we believe the increased access afforded by our testing products will allow for patient-focused messaging and the increased accuracy of our testing products over current standard of care diagnostic methodologies. Finally, we execute a high-frequency promotional strategy for our top-targeted rheumatologists and their office personnel to build knowledge, understanding and retention of the benefits of our testing products.</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and medical societies, such as the American College of Rheumatology (ACR). We have also established strong relationships with multiple rheumatology care management organizations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Super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8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primary source of revenue for our products is reimbursement from third-party payors and client bill arrangements. Third-party payors include government payors, such as Medicare and Medicaid, and commercial payors, such as insurance companies. Achieving and maintaining broad coverage and reimbursement of our current products by third-party payors, including Medicare, are key components that contribute to our revenue and financial results. Expanding coverage by government and commercial payors for our commercialized and pipeline tests is and will be important for our future growth.</w:t>
      </w:r>
    </w:p>
    <w:p>
      <w:pPr>
        <w:spacing w:after="0" w:line="14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are actively engaged in efforts to achieve broad commercial coverage and reimbursement for our current and future products, followed by contracting with commercial payors. Achieving positive coverage reduces the need for appeals and reduces failures to collect from the patient’s insurance. Additionally, achieving in-network contracts with commercial payors can shorten the time required to receive payments. Our approach to commercial payment is centered on impacting our standing in clinical guidelines and individual payor medical policies. We seek to accomplish this through continued evidence development and publication, medical director engagement and individual claim-based appeal efforts, detailed as follows:</w:t>
      </w:r>
    </w:p>
    <w:p>
      <w:pPr>
        <w:spacing w:after="0" w:line="129" w:lineRule="exact"/>
        <w:rPr>
          <w:sz w:val="20"/>
          <w:szCs w:val="20"/>
          <w:color w:val="auto"/>
        </w:rPr>
      </w:pPr>
    </w:p>
    <w:p>
      <w:pPr>
        <w:ind w:left="660" w:right="120" w:hanging="328"/>
        <w:spacing w:after="0" w:line="246"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payors’ coverage decisions. In order to change clinical guidelines, tests must carry a high level of published evidence demonstrating analytical validity, clinical validity, clinical utility and cost-effectiveness. When studies with such evidence are published in peer-reviewed journals, the authors of clinical guidelines may assess the level of evidence and determine whether modifying existing guidelines to include new technology is warranted.</w:t>
      </w:r>
    </w:p>
    <w:p>
      <w:pPr>
        <w:spacing w:after="0" w:line="140" w:lineRule="exact"/>
        <w:rPr>
          <w:rFonts w:ascii="Arial" w:cs="Arial" w:eastAsia="Arial" w:hAnsi="Arial"/>
          <w:sz w:val="18"/>
          <w:szCs w:val="18"/>
          <w:color w:val="auto"/>
        </w:rPr>
      </w:pPr>
    </w:p>
    <w:p>
      <w:pPr>
        <w:ind w:left="660" w:right="400" w:hanging="328"/>
        <w:spacing w:after="0" w:line="250"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to and anticipates the changing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5" w:name="page16"/>
    <w:bookmarkEnd w:id="15"/>
    <w:p>
      <w:pPr>
        <w:ind w:left="660"/>
        <w:spacing w:after="0" w:line="246" w:lineRule="auto"/>
        <w:rPr>
          <w:sz w:val="20"/>
          <w:szCs w:val="20"/>
          <w:color w:val="auto"/>
        </w:rPr>
      </w:pPr>
      <w:r>
        <w:rPr>
          <w:rFonts w:ascii="Arial" w:cs="Arial" w:eastAsia="Arial" w:hAnsi="Arial"/>
          <w:sz w:val="18"/>
          <w:szCs w:val="18"/>
          <w:color w:val="auto"/>
        </w:rPr>
        <w:t>needs of our customer base. Overall, we work to address payors at the national level in addition to high claim volume regional payors we have identified based on our current territory coverage.</w:t>
      </w:r>
    </w:p>
    <w:p>
      <w:pPr>
        <w:spacing w:after="0" w:line="138" w:lineRule="exact"/>
        <w:rPr>
          <w:sz w:val="20"/>
          <w:szCs w:val="20"/>
          <w:color w:val="auto"/>
        </w:rPr>
      </w:pPr>
    </w:p>
    <w:p>
      <w:pPr>
        <w:ind w:left="660" w:right="80" w:hanging="328"/>
        <w:spacing w:after="0" w:line="250"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While we have contracts for reimbursement with a limited number of commercial payors, we are actively pursuing additional commercial payor contracts. When we contract to serve as a participating provider, reimbursements are made pursuant to a percentage of our charges or a negotiated fee schedule amount. Where we are not reimbursed in full, or receive a claim denial, for in-network and out-of-network claims, we may elect to appeal the insurer’s underpayment or denial of payment or seek payment from the patient.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79" w:lineRule="exact"/>
        <w:rPr>
          <w:sz w:val="20"/>
          <w:szCs w:val="20"/>
          <w:color w:val="auto"/>
        </w:rPr>
      </w:pPr>
    </w:p>
    <w:p>
      <w:pPr>
        <w:ind w:right="360"/>
        <w:spacing w:after="0" w:line="208"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52" w:lineRule="exact"/>
        <w:rPr>
          <w:sz w:val="20"/>
          <w:szCs w:val="20"/>
          <w:color w:val="auto"/>
        </w:rPr>
      </w:pPr>
    </w:p>
    <w:p>
      <w:pPr>
        <w:ind w:right="20"/>
        <w:spacing w:after="0" w:line="201"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as a predictor of the 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 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65" w:lineRule="exact"/>
        <w:rPr>
          <w:sz w:val="20"/>
          <w:szCs w:val="20"/>
          <w:color w:val="auto"/>
        </w:rPr>
      </w:pPr>
    </w:p>
    <w:p>
      <w:pPr>
        <w:ind w:right="540"/>
        <w:spacing w:after="0" w:line="230" w:lineRule="auto"/>
        <w:rPr>
          <w:sz w:val="20"/>
          <w:szCs w:val="20"/>
          <w:color w:val="auto"/>
        </w:rPr>
      </w:pPr>
      <w:r>
        <w:rPr>
          <w:rFonts w:ascii="Arial" w:cs="Arial" w:eastAsia="Arial" w:hAnsi="Arial"/>
          <w:sz w:val="17"/>
          <w:szCs w:val="17"/>
          <w:color w:val="auto"/>
        </w:rPr>
        <w:t>We have collaborated with both academic and community clinicians to demonstrate the clinical utility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versus standard diagnostic tests in physician diagnosis, impact on patient management decisions, patient reported outcomes and health economics.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103" w:lineRule="exact"/>
        <w:rPr>
          <w:sz w:val="20"/>
          <w:szCs w:val="20"/>
          <w:color w:val="auto"/>
        </w:rPr>
      </w:pPr>
    </w:p>
    <w:p>
      <w:pPr>
        <w:ind w:right="20"/>
        <w:spacing w:after="0" w:line="207"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showed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whereas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(EQ5D-5L index score) from enrollment to visit 2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70"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In July 2021, a real-world retrospective analysis of patients tested with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tested patients from 12 rheumatology centers across the United States provided clinical outcome data on diagnosis and treatment decisions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The study findings revealed a 7 to 15-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6" w:name="page17"/>
    <w:bookmarkEnd w:id="16"/>
    <w:p>
      <w:pPr>
        <w:spacing w:after="0" w:line="199" w:lineRule="auto"/>
        <w:rPr>
          <w:sz w:val="20"/>
          <w:szCs w:val="20"/>
          <w:color w:val="auto"/>
        </w:rPr>
      </w:pPr>
      <w:r>
        <w:rPr>
          <w:rFonts w:ascii="Arial" w:cs="Arial" w:eastAsia="Arial" w:hAnsi="Arial"/>
          <w:sz w:val="18"/>
          <w:szCs w:val="18"/>
          <w:color w:val="auto"/>
        </w:rPr>
        <w:t>fold increased risk of Lupus diagnosis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relative to patients negative for both tests. In addition,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were at 3 to 4-fold increased odds relative to patients testing negative for both tests of starting a new hydroxychloroquine (cornerstone therapy for Lupus) prescription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Collectively, the study results affirm earlier study findings demonstrating the superior clinical utility and actionability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standard diagnostic testing for the differential diagnosis of Lupus.</w:t>
      </w:r>
    </w:p>
    <w:p>
      <w:pPr>
        <w:spacing w:after="0" w:line="153"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can enable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7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Systemic Lupus Erythematosus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$2.0 million ($1,991 per patient). In addition, the year one savings was $0.7 million ($655 per eligible patient), with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aligns with early benefit to health plans looking for savings in the first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8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 foot laboratory located in Vista, California.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California and all states requiring out-of-state licensure, including the New York State Department of Health (NYSDOH). Our clinical laboratory typically reports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7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believe that our existing laboratory facility is adequate to meet our business needs for at least the next 12 months and that additional laboratory space will be available on commercially reasonable terms, if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8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quality assurance function oversees the quality of our laboratory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3" w:lineRule="exact"/>
        <w:rPr>
          <w:sz w:val="20"/>
          <w:szCs w:val="20"/>
          <w:color w:val="auto"/>
        </w:rPr>
      </w:pPr>
    </w:p>
    <w:p>
      <w:pPr>
        <w:ind w:right="180"/>
        <w:spacing w:after="0" w:line="218"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is traditional methods used by healthcare providers to test patients with CTD-like symptoms. Such traditional methods include testing for a broad range of diagnostic,</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0" w:right="399" w:bottom="1440" w:gutter="0" w:footer="0" w:header="0"/>
        </w:sectPr>
      </w:pPr>
    </w:p>
    <w:bookmarkStart w:id="17" w:name="page18"/>
    <w:bookmarkEnd w:id="17"/>
    <w:p>
      <w:pPr>
        <w:spacing w:after="0" w:line="241" w:lineRule="auto"/>
        <w:rPr>
          <w:sz w:val="20"/>
          <w:szCs w:val="20"/>
          <w:color w:val="auto"/>
        </w:rPr>
      </w:pPr>
      <w:r>
        <w:rPr>
          <w:rFonts w:ascii="Arial" w:cs="Arial" w:eastAsia="Arial" w:hAnsi="Arial"/>
          <w:sz w:val="18"/>
          <w:szCs w:val="18"/>
          <w:color w:val="auto"/>
        </w:rPr>
        <w:t>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Progentec Diagnostics Inc., Scipher Medicine Corporation, Genalyte Inc., Oncimmune plc, DxTerity Diagnostics Inc., AMPEL BioSolutions, and Immunovia AB. In the future, we may also face competition from companies developing new products or technologies.</w:t>
      </w:r>
    </w:p>
    <w:p>
      <w:pPr>
        <w:spacing w:after="0" w:line="14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in addition to greater selling and marketing capabilities. Others may develop products with prices lower than ours or have preferred network status that could be viewed by rheumatologists and payors as functionally equivalent to our solution or offer solutions at prices designed to promote market penetration. This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GSK</w:t>
      </w:r>
    </w:p>
    <w:p>
      <w:pPr>
        <w:spacing w:after="0" w:line="18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January 2018, we entered into a collaboration agreement with GSK, pursuant to which we provided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testing products and extend the term of the agreement through December 31, 2019. The agreement was further amended in November 2019, November 2020, December 2021 and February 2022.</w:t>
      </w:r>
    </w:p>
    <w:p>
      <w:pPr>
        <w:spacing w:after="0" w:line="15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Under the agreement, we were required to deliver weekly de-identified data files to GSK covering all data obtained from the performance of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subject to applicable requirements under the Federal Health Insurance Portability and Accountability Act of 1996 (HIPAA) internal policy requirements and other applicable laws. During the term of the agreement and amendments through December 31, 2021, the data we provided to GSK could not be provided, directly or through a third party, to any other pharmaceutical company that was marketing or developing a product for the treatment of SLE, however, the February 2022 amendment eliminated that limitation. GSK made a single upfront payment in exchange for the right to receive the applicable data files. In addition, GSK agreed to create a joint steering committee to cooperate with us in order to raise awareness and physician support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was terminated, effective January 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p>
      <w:pPr>
        <w:ind w:right="380"/>
        <w:spacing w:after="0" w:line="246" w:lineRule="auto"/>
        <w:rPr>
          <w:sz w:val="20"/>
          <w:szCs w:val="20"/>
          <w:color w:val="auto"/>
        </w:rPr>
      </w:pPr>
      <w:r>
        <w:rPr>
          <w:rFonts w:ascii="Arial" w:cs="Arial" w:eastAsia="Arial" w:hAnsi="Arial"/>
          <w:sz w:val="18"/>
          <w:szCs w:val="18"/>
          <w:color w:val="auto"/>
        </w:rPr>
        <w:t>innovation and in-licensing opportunities to develop, strengthen, and maintain our proprietary position in the fields targeted by our testing products and services.</w:t>
      </w:r>
    </w:p>
    <w:p>
      <w:pPr>
        <w:spacing w:after="0" w:line="156"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25" w:lineRule="exact"/>
        <w:rPr>
          <w:sz w:val="20"/>
          <w:szCs w:val="20"/>
          <w:color w:val="auto"/>
        </w:rPr>
      </w:pPr>
    </w:p>
    <w:p>
      <w:pPr>
        <w:ind w:right="100"/>
        <w:spacing w:after="0" w:line="215"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summarized below in the section entitled “License Agreements.” As of February 22, 2023, our portfolio primarily consisted of the following: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(UPitt). We expect that these patent families (U.S. Patent Nos. 7,361,517, 7,390,631, 7,585,640, 7,588,905, 8,080,382, and 8,126,654) will expire in 2024 or 2025. A foreign patent corresponding to U.S. Patent No. 7,361,517 has issued in Europe (EP 1,756,571). Foreign patents corresponding to U.S. Patent No. 7,585,640 have issued in Australia (AU 2005242719) and Canada (CA 2,564,492). A foreign patent corresponding to U.S. Patent Nos. 7,588,905 and 8,126,654 has issued in Japan (JP 4550051). We own three issued patents (US 10,132,813, US 11,260,099, and 11,531,033), three pending U.S. nonprovisional patent applications, and seven pending foreign applications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products. Foreign patents corresponding to our issued U.S. patent and pending U.S. nonprovisional patent applications have issued in Europe (EP 2,673,644 and EP2972365), China (CN105229470), Japan (JP 5,990,542 and JP6453299) and Hong Kong (HK1192316).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76"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We own four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include U.S. Patent Nos. 6,921,667, 7,563,590, 7,582,282 and 7,695,908, which are expected to expire between 2023 and 2027.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8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(Cypress) in 2010 (the Cypress Purchase) and to obtain an exclusive license to UPitt’s patent rights in certain inventions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jc w:val="both"/>
        <w:ind w:right="260"/>
        <w:spacing w:after="0" w:line="248" w:lineRule="auto"/>
        <w:rPr>
          <w:sz w:val="20"/>
          <w:szCs w:val="20"/>
          <w:color w:val="auto"/>
        </w:rPr>
      </w:pPr>
      <w:r>
        <w:rPr>
          <w:rFonts w:ascii="Arial" w:cs="Arial" w:eastAsia="Arial" w:hAnsi="Arial"/>
          <w:sz w:val="18"/>
          <w:szCs w:val="18"/>
          <w:color w:val="auto"/>
        </w:rPr>
        <w:t>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U.S. government, if any, as set forth in 35 U.S.C. §200, et seq. Pursuant to this law, the U.S. government may have acquired a nonexclusive, nontransferable, paid-up license to practice or have practiced for or on behalf of the U.S. government the inventions described in the UPitt Patent Rights throughout the world.</w:t>
      </w:r>
    </w:p>
    <w:p>
      <w:pPr>
        <w:spacing w:after="0" w:line="14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15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16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17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(the ex-U.S.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7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14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6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sublicensed ex-U.S. UPitt Patent Rights and a low double-digit percentage of all non-royalty sublicensing income received by us.</w:t>
      </w:r>
    </w:p>
    <w:p>
      <w:pPr>
        <w:spacing w:after="0" w:line="15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Cypress (Royalty Pharma) and Proprius Pharmaceuticals, Inc.</w:t>
      </w:r>
    </w:p>
    <w:p>
      <w:pPr>
        <w:spacing w:after="0" w:line="176"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October 2010, we completed the Cypress Purchase pursuant to an asset purchase agreement with Cypress and its wholly-owned subsidiary, Proprius Pharmaceuticals, Inc., under which we obtained certain assets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 In 2011, Royalty Pharma Collection Trust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world-wide net sales of CB-CAPs products and a low double-digit royalty on the net sales of certain new products in each case, for a period of eight years, which eight-year period expired in January 2020.</w:t>
      </w:r>
    </w:p>
    <w:p>
      <w:pPr>
        <w:spacing w:after="0" w:line="16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Master Research Collaboration Agreement with Allegheny Health Network Research Institute</w:t>
      </w:r>
    </w:p>
    <w:p>
      <w:pPr>
        <w:spacing w:after="0" w:line="176"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In May 2021, we entered into an exclusive license agreement with Allegheny Health Network Research Institute (AHN), under which we obtained an exclusive, worldwide license to AHN's patent rights in certain inventions (the AHN Patent Rights) related to diagnostics for autoimmune rheumatic diseases.</w:t>
      </w:r>
    </w:p>
    <w:p>
      <w:pPr>
        <w:spacing w:after="0" w:line="14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U.S. government with respect to the AHN Patent Rights, including under a funding agreement between AHN and the U.S. government and under the Bayh-Dole Act (35 U.S.C. §200, et seq.). Pursuant to the Bayh-Dole Act, the U.S. government may acquire a nonexclusive, nontransferable, paid-up license to practice or have practiced for or on behalf of the U.S. government the inventions described in the AHN Patent Rights throughout the world.</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AHN to cover past patent expenses and agreed to pay future direct patent costs related to AHN Patent Rights. We are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commercialization, or the earlier termination of the agreement (excluding payment obligations accruing prior to such termination).</w:t>
      </w:r>
    </w:p>
    <w:p>
      <w:pPr>
        <w:spacing w:after="0" w:line="15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the event we sublicense any of the AHN Patent Rights, we are obligated to pay AHN a mid-double-digit percentage of any sublicense income, whether in the form of royalties or sub-license fees.</w:t>
      </w:r>
    </w:p>
    <w:p>
      <w:pPr>
        <w:spacing w:after="0" w:line="13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AHN Patent Rights. If, no earlier than May 2023,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4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may terminate the agreement upon 60 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addition, we entered into a master research collaboration agreement with AHN, focused on the development of novel patented biomarkers for diagnosis, prognosis and monitoring of autoimmune diseases, including SLE. The agreement has a three-year initial term, expiring May 2024, with renewals thereafter for successive one-year terms upon mutual agreement with AHN. Each party may terminate the agreement upon 60 days' notice to the other party. We are required to pay AHN a collaboration fee of $ 0.4 million for each year of the agreement and AHN is required to make an in-kind contribution equivalent of $0.3 million for the initial term and each subsequent one-year term, if 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Collaboration Agreement with Queen Mary University of London</w:t>
      </w:r>
    </w:p>
    <w:p>
      <w:pPr>
        <w:spacing w:after="0" w:line="18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In November 2021, we entered into an exclusive license agreement with QMUL, under which we obtained an exclusive license to QMUL's patent-pending inventions (the QMUL Patent Rights), related to diagnosis and/or development of diagnostic or companion diagnostics for rheumatoid arthritis.</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the agreement, we are permitted to make, use and sell products and services utilizing the QMUL Patent Rights and to sublicense such rights; provided, however, that any such sublicenses may only be granted with QMUL's consent. QMUL retained the right to practice under the QMUL Patent Rights and to use such rights for teaching, research, education, public service, clinical and other research-related purposes.</w:t>
      </w:r>
    </w:p>
    <w:p>
      <w:pPr>
        <w:spacing w:after="0" w:line="14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QMUL and payment of past patent expenses and ongoing patent expenses. We are required to make a $0.1 million milestone payment upon the first commercial sale of products utilizing the QMUL Patent Rights. In addition, after the first 18 months of commercial sales under the terms of the exclusive license agreement, we are required to pay royalties in the low to high single-digits on net sales of testing products using the assigned patents, pending approvals and commercialization.</w:t>
      </w:r>
    </w:p>
    <w:p>
      <w:pPr>
        <w:spacing w:after="0" w:line="1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event we sublicense any of the QMUL Patent Rights, we are obligated to pay QMUL a double-digit percentage of sublicensing income, whether in the form of royalties or sub-license fees.</w:t>
      </w:r>
    </w:p>
    <w:p>
      <w:pPr>
        <w:spacing w:after="0" w:line="14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QMUL Patent Rights. QMUL may terminate the agreement if we fail to develop the QMUL Patent Rights in the field of diagnosis and/or development of diagnostic or companion diagnostics for rheumatoid arthritis, QMUL may convert our license to non-exclusive.</w:t>
      </w:r>
    </w:p>
    <w:p>
      <w:pPr>
        <w:spacing w:after="0" w:line="14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may terminate the agreement upon six month written notice to QMUL. QMUL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for a period of 20 years after the first commercial sale of any licensed product utilizing the QMUL Patent Rights.</w:t>
      </w:r>
    </w:p>
    <w:p>
      <w:pPr>
        <w:spacing w:after="0" w:line="14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addition, we entered into a collaboration agreement with QMUL for a three-year term, expiring November 2024. The collaboration will focus on development and optimization of patent-pending precision medicine approaches, based on RNA expression signatures, to personalize therapeutic agent selection for RA patients. We or QMUL may terminate the master research collaboration agreement upon 30-day written notice.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7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As a clinical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4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4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7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Vista facility also holds a state license issued by the California Department of Public Health (DPH). California law and regulations establish standards for the day-to-day operation of a clinical laboratory, including the training 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61"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Because we receive specimens from New York, our Vista facility is also required to be licensed by the NYDOH New York laws and regulations establish standards in a variety of operational areas, including:</w:t>
      </w:r>
    </w:p>
    <w:p>
      <w:pPr>
        <w:spacing w:after="0" w:line="1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day-to-day operation of the laboratory, including training and skill levels required of laboratory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or outside of New York. If a laboratory is out of compliance with New York's statutory or regulatory standards, the NYDOH, may suspend, limit, revoke or annul the laboratory’s New York license, censure the holder of the license or assess civil money penalties. Statutory or regulatory noncompliance may result in a laboratory’s operator being found guilty of a misdemeanor under New York law. New York's law and regulations are more stringent than CLIA in certain respects. For example, NYDOH must approve a laboratory developed test (LDT) before it is offered in New York. We have received written approval from NYDOH to offer our products in New York.</w:t>
      </w:r>
    </w:p>
    <w:p>
      <w:pPr>
        <w:spacing w:after="0" w:line="16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 and Certain Devices</w:t>
      </w:r>
    </w:p>
    <w:p>
      <w:pPr>
        <w:spacing w:after="0" w:line="17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We perform our tests like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assays in our Vista, California clinical laboratory, and they are primarily regulated under CLIA, as administered by CMS, as well as by applicable state laws, as described above. 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ind w:right="40"/>
        <w:spacing w:after="0" w:line="241" w:lineRule="auto"/>
        <w:rPr>
          <w:sz w:val="20"/>
          <w:szCs w:val="20"/>
          <w:color w:val="auto"/>
        </w:rPr>
      </w:pPr>
      <w:r>
        <w:rPr>
          <w:rFonts w:ascii="Arial" w:cs="Arial" w:eastAsia="Arial" w:hAnsi="Arial"/>
          <w:sz w:val="18"/>
          <w:szCs w:val="18"/>
          <w:color w:val="auto"/>
        </w:rPr>
        <w:t>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 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4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Some low-risk Class II devices are exempted from this requirement. When a 510(k) premarket notification submission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w:t>
      </w:r>
    </w:p>
    <w:p>
      <w:pPr>
        <w:spacing w:after="0" w:line="1" w:lineRule="exact"/>
        <w:rPr>
          <w:sz w:val="20"/>
          <w:szCs w:val="20"/>
          <w:color w:val="auto"/>
        </w:rPr>
      </w:pPr>
    </w:p>
    <w:p>
      <w:pPr>
        <w:jc w:val="both"/>
        <w:ind w:right="160" w:firstLine="8"/>
        <w:spacing w:after="0" w:line="243"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III devices, are subject to general controls, such as registration and listing, quality system, labeling, and reporting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62"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generally exercised its enforcement discretion and not enforced applicable device regulations with respect to IVDs that are designed, manufactured and used within a single high-complexity CLIA-certified laboratory for use only in that laboratory. Such tests are referred to as LDTs.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 As a result, we believe our diagnostic services are currently subject to the FDA’s enforcement discretion and are not subject to the agency's direct oversight or enforcement of device regulations. However, reagents, instruments, software or components provided by third parties and used to perform LDTs may be subject to regulation.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several years, members of Congress have been working with stakeholders on a possible bill to regulate in vitro clinical tests including LDTs. Most recently, legislation called the Verifying Accurate, Leading-edge IVCT Development (VALID Act), has been garnering bipartisan and bicameral support. The VALID Act would codify into law the term "in vitro clinical test"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4" w:name="page25"/>
    <w:bookmarkEnd w:id="24"/>
    <w:p>
      <w:pPr>
        <w:ind w:right="40"/>
        <w:spacing w:after="0" w:line="241" w:lineRule="auto"/>
        <w:rPr>
          <w:sz w:val="20"/>
          <w:szCs w:val="20"/>
          <w:color w:val="auto"/>
        </w:rPr>
      </w:pPr>
      <w:r>
        <w:rPr>
          <w:rFonts w:ascii="Arial" w:cs="Arial" w:eastAsia="Arial" w:hAnsi="Arial"/>
          <w:sz w:val="18"/>
          <w:szCs w:val="18"/>
          <w:color w:val="auto"/>
        </w:rPr>
        <w:t>It is unclear whether the VALID Act would be passed by Congress in its current form or signed into law by the President. If the FDA finalizes its position on regulation of LDTs through formal notice-and-comment rulemaking, or the VALID Act or other federal legislation is passed reforming the government’s regulation of LDTs, or alternatively, if the FDA disagrees with our assessment that our tests fall within the definition of an LDT, we could be subject to enforcement of regulatory requirements such as registration and listing requirements, medical device reporting requirements and quality control requirements. Any new legislation or formal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following formal notice-and-comment rulemaking, we may be required to obtain premarket clearance for our tests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the FDA to obtain premarket clearance or approval. The FDA could also require that we label our tests as investigational or limit the labeling claims we are permitted to make.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176"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have also conducted and may in the future conduct research studies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and our other tests in development that involve clinical investigators and human subjects (or stored specimens from human subjects) at sites in the United States. We may need to conduct additional clinical trials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5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studies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of Laboratory Services or LDTs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Whether regulated by FDA as Class I or Class II devices or not directly subject to FDA’s device requirements as LDTs, advertising for our laboratory services and diagnostic testing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of 1933 (PORA), and other comparable state laws. The Stark Law generally prohibits us from billing Medicare or Medicaid for certain designated health services, including clinical laboratory services, when the physician ordering the service, or any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ind w:right="700"/>
        <w:spacing w:after="0" w:line="246" w:lineRule="auto"/>
        <w:rPr>
          <w:sz w:val="20"/>
          <w:szCs w:val="20"/>
          <w:color w:val="auto"/>
        </w:rPr>
      </w:pPr>
      <w:r>
        <w:rPr>
          <w:rFonts w:ascii="Arial" w:cs="Arial" w:eastAsia="Arial" w:hAnsi="Arial"/>
          <w:sz w:val="18"/>
          <w:szCs w:val="18"/>
          <w:color w:val="auto"/>
        </w:rPr>
        <w:t>member of such physician’s immediate family, has a financial relationship with us, unless the arrangement meets an exception to the prohibition. A financial relationship can be a compensation arrangement or an ownership or investment interest.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15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refunds of amounts collected in violation of the Stark Law;</w:t>
      </w:r>
    </w:p>
    <w:p>
      <w:pPr>
        <w:spacing w:after="0" w:line="171" w:lineRule="exact"/>
        <w:rPr>
          <w:rFonts w:ascii="Arial" w:cs="Arial" w:eastAsia="Arial" w:hAnsi="Arial"/>
          <w:sz w:val="18"/>
          <w:szCs w:val="18"/>
          <w:color w:val="auto"/>
        </w:rPr>
      </w:pPr>
    </w:p>
    <w:p>
      <w:pPr>
        <w:ind w:left="660" w:right="460" w:hanging="328"/>
        <w:spacing w:after="0"/>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penalties of up to three times the amounts assessed for each item or service wrongfully claimed;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Stark Law applies regardless of any intent by the parties to induce or reward referrals or the reasons for the financial relationship and the referral. In addition, violations of the Stark Law may also serve as the basis for liability under the federal False Claims Act, which can result in additional civil penalties.</w:t>
      </w:r>
    </w:p>
    <w:p>
      <w:pPr>
        <w:spacing w:after="0" w:line="14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Similarly, PORA makes it unlawful for a physician or certain other healing arts licensees to refer a person for certain healthcare services, including clinical laboratory services, if the licensee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of the scope of the Anti-Kickback Statute and generally have held that the statute may be violated if merely one purpose of a payment arrangement is to induce referrals.</w:t>
      </w:r>
    </w:p>
    <w:p>
      <w:pPr>
        <w:spacing w:after="0" w:line="15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pacing w:after="0" w:line="14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Failure to meet the requirements of an exception or the safe harbor does not render an arrangement illegal. Rather, the government may evaluate such arrangements on a case-by-case basis, taking into account all facts and circumstances.</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6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6" w:name="page27"/>
    <w:bookmarkEnd w:id="26"/>
    <w:p>
      <w:pPr>
        <w:spacing w:after="0" w:line="242" w:lineRule="auto"/>
        <w:rPr>
          <w:sz w:val="20"/>
          <w:szCs w:val="20"/>
          <w:color w:val="auto"/>
        </w:rPr>
      </w:pPr>
      <w:r>
        <w:rPr>
          <w:rFonts w:ascii="Arial" w:cs="Arial" w:eastAsia="Arial" w:hAnsi="Arial"/>
          <w:sz w:val="18"/>
          <w:szCs w:val="18"/>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Healthcare Laws</w:t>
      </w:r>
    </w:p>
    <w:p>
      <w:pPr>
        <w:spacing w:after="0" w:line="17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addition to the requirements discussed above, several other healthcare fraud and abuse laws could have an effect on our business. For example, federal law permits the Office of Inspector General for the Department of Health and Human Services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w:t>
      </w:r>
    </w:p>
    <w:p>
      <w:pPr>
        <w:spacing w:after="0" w:line="14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qui tam provisions. Because the complaint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Several states, including California, have enacted comparable false claims laws that may apply regardless of payor.</w:t>
      </w:r>
    </w:p>
    <w:p>
      <w:pPr>
        <w:spacing w:after="0" w:line="14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a state healthcare program,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noted, a person who offers or provides to a Medicare or Medicaid beneficiary any remuneration, including waivers of co-payments, co-insurance and deductible amounts (or any part thereof), that the person knows or should know is likely to influence the beneficiary’s selection of a particular provider, practitioner or supplier of Medicare or Medicaid payable items or services may be held liable under the CMP Law. Moreover, in certain cases, providers who routinely waive amounts owed by federal healthcare program beneficiaries can also be held liable under the Anti-Kickback Statute and the federal False Claims Act. One of the exceptions to the prohibition under the CMP Law covers non-routine, unadvertised waivers of copayments or deductible amounts based on individualized determinations of financial need or exhaustion of reasonable collection efforts, and the Anti-Kickback Statute has a safe harbor. The U.S. Department of Health and Human Services (HHS) Office of Inspector General (OIG), has emphasized in guidance documents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6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Federal criminal statutes prohibit, among other actions, knowingly and willfully executing, or attempting to execute, a scheme to defraud any healthcare benefit program, including those administered by commercial payors,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7" w:name="page28"/>
    <w:bookmarkEnd w:id="27"/>
    <w:p>
      <w:pPr>
        <w:spacing w:after="0" w:line="243" w:lineRule="auto"/>
        <w:rPr>
          <w:sz w:val="20"/>
          <w:szCs w:val="20"/>
          <w:color w:val="auto"/>
        </w:rPr>
      </w:pPr>
      <w:r>
        <w:rPr>
          <w:rFonts w:ascii="Arial" w:cs="Arial" w:eastAsia="Arial" w:hAnsi="Arial"/>
          <w:sz w:val="18"/>
          <w:szCs w:val="18"/>
          <w:color w:val="auto"/>
        </w:rPr>
        <w:t>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4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healthcare providers (such as nurse practitioners),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4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16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8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 also constitute a violation of the U.S. Foreign Corrupt Practices Act (FCPA), and/or other applicable anti-corruption laws.</w:t>
      </w:r>
    </w:p>
    <w:p>
      <w:pPr>
        <w:spacing w:after="0" w:line="14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8" w:name="page29"/>
    <w:bookmarkEnd w:id="28"/>
    <w:p>
      <w:pPr>
        <w:ind w:right="40"/>
        <w:spacing w:after="0" w:line="241" w:lineRule="auto"/>
        <w:rPr>
          <w:sz w:val="20"/>
          <w:szCs w:val="20"/>
          <w:color w:val="auto"/>
        </w:rPr>
      </w:pPr>
      <w:r>
        <w:rPr>
          <w:rFonts w:ascii="Arial" w:cs="Arial" w:eastAsia="Arial" w:hAnsi="Arial"/>
          <w:sz w:val="18"/>
          <w:szCs w:val="18"/>
          <w:color w:val="auto"/>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4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HIPAA security standards require the adoption of administrative, physical and technical safeguards and the adoption of written security policies and procedures to maintain the security of protected health information.</w:t>
      </w:r>
    </w:p>
    <w:p>
      <w:pPr>
        <w:spacing w:after="0" w:line="156"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w:t>
      </w:r>
    </w:p>
    <w:p>
      <w:pPr>
        <w:spacing w:after="0" w:line="14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Covered Entities must report breaches of PHI that has not been encrypted or otherwise secured in accordance with guidance from the Secretary of HHS (the Secretary). Breaches must be reported as soon as reasonably practicable, but no later than sixty days following discovery of the breach. Reports must be made to affected individuals, the HHS Secretary, and depending on the size of the breach, the local and national media. Covered Entities like us are also subject to the HHS HIPAA audit program and may be investigated in connection with a privacy or data security complaint.</w:t>
      </w:r>
    </w:p>
    <w:p>
      <w:pPr>
        <w:spacing w:after="0" w:line="14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Significant civil and criminal fines and other penalties may be imposed for violating HIPAA directly, and in connection with acts or omissions of any agents, including a downstream business associates, as determined according to the federal common law of agency. Civil penalties are adjusted for inflation on an annual basis and can exceed one million dollars per year for failure to comply with a HIPAA requirement. A single breach incident can violate multiple requirements. Additionally, a person who knowingly obtains or discloses PHI in violation of HIPAA may face a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5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4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Further, to the extent that we submit electronic healthcare claims and payment transactions that do not comply with the transaction standards established under HIPAA and HITECH, payments to us may be delayed or denied.</w:t>
      </w:r>
    </w:p>
    <w:p>
      <w:pPr>
        <w:spacing w:after="0" w:line="15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9" w:name="page30"/>
    <w:bookmarkEnd w:id="29"/>
    <w:p>
      <w:pPr>
        <w:ind w:right="260"/>
        <w:spacing w:after="0" w:line="246" w:lineRule="auto"/>
        <w:rPr>
          <w:sz w:val="20"/>
          <w:szCs w:val="20"/>
          <w:color w:val="auto"/>
        </w:rPr>
      </w:pPr>
      <w:r>
        <w:rPr>
          <w:rFonts w:ascii="Arial" w:cs="Arial" w:eastAsia="Arial" w:hAnsi="Arial"/>
          <w:sz w:val="18"/>
          <w:szCs w:val="18"/>
          <w:color w:val="auto"/>
        </w:rPr>
        <w:t>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amending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In addition to the CCPA, Virginia, Colorado, Connecticut, and Utah all enacted similar omnibus privacy laws that will also take effect in 2023, increasing the complexity of compliance and the risk of failures to comply.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Blocking Rules</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0" w:name="page31"/>
    <w:bookmarkEnd w:id="30"/>
    <w:p>
      <w:pPr>
        <w:ind w:right="160"/>
        <w:spacing w:after="0" w:line="248" w:lineRule="auto"/>
        <w:rPr>
          <w:sz w:val="20"/>
          <w:szCs w:val="20"/>
          <w:color w:val="auto"/>
        </w:rPr>
      </w:pPr>
      <w:r>
        <w:rPr>
          <w:rFonts w:ascii="Arial" w:cs="Arial" w:eastAsia="Arial" w:hAnsi="Arial"/>
          <w:sz w:val="18"/>
          <w:szCs w:val="18"/>
          <w:color w:val="auto"/>
        </w:rPr>
        <w:t>civil monetary penalties for violations of the Information Blocking Rule once the penalty regulations are finalized. The amount of such penalties is unknown, but the regulations for health industry numbers (HINs), health information exchanges (HIEs), and certified developers of health information technology allow for up to $1.0 million in penalties per violation.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United States, Europe and elsewhere are often uncertain, contradictory and in flux. In Europe, the General Data Protection Regulation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pseudonymized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(EU), and European Economic Area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 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Privacy Shield was invalidated in July 2020 by the Court of Justice of the EU.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In June of 2021, the European Commission granted the United Kingdom an adequacy decision with respect to data transfers under the GDPR. This adequacy decision is expected to last until June 27, 2025.</w:t>
      </w:r>
    </w:p>
    <w:p>
      <w:pPr>
        <w:spacing w:after="0" w:line="194" w:lineRule="exact"/>
        <w:rPr>
          <w:sz w:val="20"/>
          <w:szCs w:val="20"/>
          <w:color w:val="auto"/>
        </w:rPr>
      </w:pPr>
    </w:p>
    <w:p>
      <w:pPr>
        <w:ind w:right="5040"/>
        <w:spacing w:after="0" w:line="443" w:lineRule="auto"/>
        <w:rPr>
          <w:sz w:val="20"/>
          <w:szCs w:val="20"/>
          <w:color w:val="auto"/>
        </w:rPr>
      </w:pPr>
      <w:r>
        <w:rPr>
          <w:rFonts w:ascii="Arial" w:cs="Arial" w:eastAsia="Arial" w:hAnsi="Arial"/>
          <w:sz w:val="18"/>
          <w:szCs w:val="18"/>
          <w:b w:val="1"/>
          <w:bCs w:val="1"/>
          <w:color w:val="auto"/>
        </w:rPr>
        <w:t xml:space="preserve">Billing and Government Reimbursement for Clinical Laboratory Services </w:t>
      </w:r>
      <w:r>
        <w:rPr>
          <w:rFonts w:ascii="Arial" w:cs="Arial" w:eastAsia="Arial" w:hAnsi="Arial"/>
          <w:sz w:val="18"/>
          <w:szCs w:val="18"/>
          <w:i w:val="1"/>
          <w:iCs w:val="1"/>
          <w:color w:val="auto"/>
        </w:rPr>
        <w:t>Medicare</w:t>
      </w:r>
    </w:p>
    <w:p>
      <w:pPr>
        <w:ind w:right="20"/>
        <w:spacing w:after="0" w:line="232" w:lineRule="auto"/>
        <w:rPr>
          <w:sz w:val="20"/>
          <w:szCs w:val="20"/>
          <w:color w:val="auto"/>
        </w:rPr>
      </w:pPr>
      <w:r>
        <w:rPr>
          <w:rFonts w:ascii="Arial" w:cs="Arial" w:eastAsia="Arial" w:hAnsi="Arial"/>
          <w:sz w:val="18"/>
          <w:szCs w:val="18"/>
          <w:color w:val="auto"/>
        </w:rPr>
        <w:t>Medicare coverage is limited to items and services, within the scope of a Medicare benefit category that are reasonable and necessary for the diagnosis or treatment of an illness or injury. With respect to Medicare coverage, Palmetto GBA, the Medicare Administrative Contractor (MAC) responsible for administering Medicare’s molecular diagnostic services program (MolDX Program), issued a Local Coverage Determination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(Noridian), has adopted Palmetto’s positive coverage policy, along with a related local coverage article that identifies a unique billing identifier for this test.</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Medicare, payment for our laboratory tests are generally made under the Clinical Laboratory Fee Schedule (CLFS) with payment amounts assigned to specific procedure billing codes. In April 2014, Congress passed the Protecting Access to Medicare Act (PAMA), which substantially changed the way in which Medicare sets the payment amounts for clinical laboratory services. Under PAMA, laboratories that receive the majority of their Medicare revenue from payments made under the CLFS or the Physician Fee Schedule (PFS) are required to report to CMS, beginning in 2017 and every three years thereafter (or annually for "advanced diagnostic laboratory tests"),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5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(CDLTs) are based upon these reported private payor rates. For CDLTs, for which there is no comparable existing CDLT, that are assigned a new or substantially revised Current Procedural Terminology (CPT) code, CMS will set the initial payment rates using the gap-fill methodology, as under prior law. Initial payment rates for new advanced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ind w:right="160"/>
        <w:spacing w:after="0" w:line="234" w:lineRule="auto"/>
        <w:rPr>
          <w:sz w:val="20"/>
          <w:szCs w:val="20"/>
          <w:color w:val="auto"/>
        </w:rPr>
      </w:pPr>
      <w:r>
        <w:rPr>
          <w:rFonts w:ascii="Arial" w:cs="Arial" w:eastAsia="Arial" w:hAnsi="Arial"/>
          <w:sz w:val="18"/>
          <w:szCs w:val="18"/>
          <w:color w:val="auto"/>
        </w:rPr>
        <w:t>diagnostic laboratory tests (ADLTs) will be based on the actual list charge. Any reductions to payment rates resulting from the new methodology are limited to up to 10% per test per year in each of the years 2018 through 2020. As noted below, federal law has delayed implementation of further reductions until 2024, at which time the reduction cap will rise to 15% per test per year. PAMA did not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2022 compared to levels experienced in 2021. Additionally, PAMA and changes to the PFS will not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2023 compared to levels experienced in 2022.</w:t>
      </w:r>
    </w:p>
    <w:p>
      <w:pPr>
        <w:spacing w:after="0" w:line="8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On December 20, 2019, the Further Consolidated Appropriations Act, which included the Laboratory Access for Beneficiaries Act (LAB Act) took effect. The LAB Act delayed by one year the reporting of payment data under PAMA for CDLTs that are not ADLTs until the first quarter of 2021. The CARES Act, which was signed into law on March 27, 2020, delayed the reporting period by an additional year, until the first quarter of 2022. Then, on December 10, 2021, Congress passed the Protecting Medicare and American Farmers from Sequester Cuts Act, which included a provision that further delayed the next PAMA reporting period for CDLTs that are not ADLTs to January 1, 2023 through March 31, 2023. The Consolidated Appropriations Act, 2023, enacted on December 29, 2022, delayed the next PAMA reporting period to January 1, 2024 through March 31, 2024, which will cover the original data collection period of January 1, 2019 through June 30, 2019. New CLFS rates for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PAMA also authorized the adoption of new, temporary billing codes and unique test identifiers for FDA-cleared or approved tests, as well as ADLTs. The American Medical Association's (AMA) CPT Editorial Panel approved a proposal to create a new section of billing codes called Proprietary Laboratory Analyses (PLA) codes, to facilitate implementation of this section of PAMA. The AMA publishes approved codes on a quarterly basis. We requested a PLA code and in the quarter ended March 31, 2022, CMS agreed, effective April 1, 2022, to recognize a new PLA code for our protein-based test, AVISE® Lupus.</w:t>
      </w:r>
    </w:p>
    <w:p>
      <w:pPr>
        <w:spacing w:after="0" w:line="16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parties, such as commercial payors,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 adversely affect our results of operations and cash flows. Failure to comply with applicable laws relating to billing federal healthcare programs could also lead to various penalties, including:</w:t>
      </w:r>
    </w:p>
    <w:p>
      <w:pPr>
        <w:spacing w:after="0" w:line="1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March 2010, the Affordable Care Act (ACA) was enacted in the United States. The ACA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on December 20, 2019.</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U.S. Supreme Court (the Supreme Court) upheld the ACA when it dismissed a legal challenge to the ACA’s constitutionality. Further legislative and regulatory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ind w:right="60"/>
        <w:spacing w:after="0" w:line="241" w:lineRule="auto"/>
        <w:rPr>
          <w:sz w:val="20"/>
          <w:szCs w:val="20"/>
          <w:color w:val="auto"/>
        </w:rPr>
      </w:pPr>
      <w:r>
        <w:rPr>
          <w:rFonts w:ascii="Arial" w:cs="Arial" w:eastAsia="Arial" w:hAnsi="Arial"/>
          <w:sz w:val="18"/>
          <w:szCs w:val="18"/>
          <w:color w:val="auto"/>
        </w:rPr>
        <w:t>changes under the ACA remain possible, although the new Democrat-led presidential administration has been taking steps to strengthen the ACA.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 The uncertainty around the future of the ACA, and in particular the impact to reimbursement levels and the number of insured individuals, may lead to delay in the purchasing decisions of our customers.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went into effect on April 1, 2013, and due to subsequent legislative amendments, and the passage of the Consolidated Appropriations Act for 2023, will remain in effect through 2032, unless additional Congressional action is taken. In addition, the American Taxpayer Relief Act of 2012, among other things, further reduced Medicare payments to certain providers and increased the statute of limitations period for the government to recover overpayments to providers from three to five years. Additional state and federal healthcare reform measures may also be adopted in the future, any of which could have a material adverse effect on the clinical laboratory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8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In 2022, we disposed of all hazardous and/or medical waste that we produced across our entire business through environmentally sound methods.</w:t>
      </w:r>
    </w:p>
    <w:p>
      <w:pPr>
        <w:spacing w:after="0" w:line="147"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of December 31, 2022, we had a total of 204 employees: 199 full-time employees and 5 part-time employees. This includes 52 in laboratory operations, 9 in research and development, 62 in sales and marketing and 76 in general and administrative functions. All of our employees are located in the United States, none of which are represented by a labor union or covered by a collective bargaining agreement. We consider relations with our employees to be good.</w:t>
      </w:r>
    </w:p>
    <w:p>
      <w:pPr>
        <w:spacing w:after="0" w:line="14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retaining and expanding our workforce, as needed, to support our current pipeline and future business goals. By focusing on employee retention and engagement, we also improve our ability to support our business and operations, our pipeline,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efforts to ensure our employees' voices are heard.</w:t>
      </w:r>
    </w:p>
    <w:p>
      <w:pPr>
        <w:spacing w:after="0" w:line="15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right="100"/>
        <w:spacing w:after="0" w:line="248" w:lineRule="auto"/>
        <w:rPr>
          <w:sz w:val="20"/>
          <w:szCs w:val="20"/>
          <w:color w:val="auto"/>
        </w:rPr>
      </w:pPr>
      <w:r>
        <w:rPr>
          <w:rFonts w:ascii="Arial" w:cs="Arial" w:eastAsia="Arial" w:hAnsi="Arial"/>
          <w:sz w:val="18"/>
          <w:szCs w:val="18"/>
          <w:color w:val="auto"/>
        </w:rPr>
        <w:t>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4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conduct periodic anonymous employee surveys aimed at measuring the overall satisfaction of our team and make efforts to address issues brought to our attention. The results consistently show that our employees consider their work valuable and meaningful.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Directors and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currently serve as the directors and executive officers of Exagen: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Directors and Executive Officers</w:t>
            </w:r>
          </w:p>
        </w:tc>
        <w:tc>
          <w:tcPr>
            <w:tcW w:w="778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9"/>
              </w:rPr>
              <w:t>Executive Officers</w:t>
            </w:r>
          </w:p>
        </w:tc>
        <w:tc>
          <w:tcPr>
            <w:tcW w:w="198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John Aballi</w:t>
            </w:r>
          </w:p>
        </w:tc>
        <w:tc>
          <w:tcPr>
            <w:tcW w:w="77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Kamal Adawi</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and Corporate Secretary</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Mark Hazeltine</w:t>
            </w:r>
          </w:p>
        </w:tc>
        <w:tc>
          <w:tcPr>
            <w:tcW w:w="7780" w:type="dxa"/>
            <w:vAlign w:val="bottom"/>
          </w:tcPr>
          <w:p>
            <w:pPr>
              <w:ind w:left="220"/>
              <w:spacing w:after="0"/>
              <w:rPr>
                <w:sz w:val="20"/>
                <w:szCs w:val="20"/>
                <w:color w:val="auto"/>
              </w:rPr>
            </w:pPr>
            <w:r>
              <w:rPr>
                <w:rFonts w:ascii="Arial" w:cs="Arial" w:eastAsia="Arial" w:hAnsi="Arial"/>
                <w:sz w:val="18"/>
                <w:szCs w:val="18"/>
                <w:color w:val="auto"/>
              </w:rPr>
              <w:t>Chief Business Officer</w:t>
            </w: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77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Directors</w:t>
            </w:r>
          </w:p>
        </w:tc>
        <w:tc>
          <w:tcPr>
            <w:tcW w:w="77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Tina Nova, Ph.D.</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CLIA US, Veracyte, Inc.</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Brian Birk</w:t>
            </w:r>
          </w:p>
        </w:tc>
        <w:tc>
          <w:tcPr>
            <w:tcW w:w="7780" w:type="dxa"/>
            <w:vAlign w:val="bottom"/>
          </w:tcPr>
          <w:p>
            <w:pPr>
              <w:ind w:left="220"/>
              <w:spacing w:after="0"/>
              <w:rPr>
                <w:sz w:val="20"/>
                <w:szCs w:val="20"/>
                <w:color w:val="auto"/>
              </w:rPr>
            </w:pPr>
            <w:r>
              <w:rPr>
                <w:rFonts w:ascii="Arial" w:cs="Arial" w:eastAsia="Arial" w:hAnsi="Arial"/>
                <w:sz w:val="18"/>
                <w:szCs w:val="18"/>
                <w:color w:val="auto"/>
              </w:rPr>
              <w:t>Managing Partner, Co-Founder, Sun Mountain Capital</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 Hooker</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Chief Laboratory Officer, Exact Sciences Corporation</w:t>
            </w: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Wendy Johnson</w:t>
            </w:r>
          </w:p>
        </w:tc>
        <w:tc>
          <w:tcPr>
            <w:tcW w:w="7780" w:type="dxa"/>
            <w:vAlign w:val="bottom"/>
          </w:tcPr>
          <w:p>
            <w:pPr>
              <w:ind w:left="220"/>
              <w:spacing w:after="0"/>
              <w:rPr>
                <w:sz w:val="20"/>
                <w:szCs w:val="20"/>
                <w:color w:val="auto"/>
              </w:rPr>
            </w:pPr>
            <w:r>
              <w:rPr>
                <w:rFonts w:ascii="Arial" w:cs="Arial" w:eastAsia="Arial" w:hAnsi="Arial"/>
                <w:sz w:val="18"/>
                <w:szCs w:val="18"/>
                <w:color w:val="auto"/>
              </w:rPr>
              <w:t>Chief Business Officer, Reneo Pharmaceuticals, Inc.</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Ebetual Pallares, Ph.D.</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Managing Member, Proficio Capital Management, LLC</w:t>
            </w: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Bruce Robertson, Ph.D.</w:t>
            </w:r>
          </w:p>
        </w:tc>
        <w:tc>
          <w:tcPr>
            <w:tcW w:w="7780" w:type="dxa"/>
            <w:vAlign w:val="bottom"/>
          </w:tcPr>
          <w:p>
            <w:pPr>
              <w:ind w:left="220"/>
              <w:spacing w:after="0"/>
              <w:rPr>
                <w:sz w:val="20"/>
                <w:szCs w:val="20"/>
                <w:color w:val="auto"/>
              </w:rPr>
            </w:pPr>
            <w:r>
              <w:rPr>
                <w:rFonts w:ascii="Arial" w:cs="Arial" w:eastAsia="Arial" w:hAnsi="Arial"/>
                <w:sz w:val="18"/>
                <w:szCs w:val="18"/>
                <w:color w:val="auto"/>
              </w:rPr>
              <w:t>Managing Director, H.I.G Capital, LLC</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Stokes</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Castle Biosciences, Inc.</w:t>
            </w: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James L.L. Tullis</w:t>
            </w:r>
          </w:p>
        </w:tc>
        <w:tc>
          <w:tcPr>
            <w:tcW w:w="7780" w:type="dxa"/>
            <w:vAlign w:val="bottom"/>
          </w:tcPr>
          <w:p>
            <w:pPr>
              <w:ind w:left="220"/>
              <w:spacing w:after="0"/>
              <w:rPr>
                <w:sz w:val="20"/>
                <w:szCs w:val="20"/>
                <w:color w:val="auto"/>
              </w:rPr>
            </w:pPr>
            <w:r>
              <w:rPr>
                <w:rFonts w:ascii="Arial" w:cs="Arial" w:eastAsia="Arial" w:hAnsi="Arial"/>
                <w:sz w:val="18"/>
                <w:szCs w:val="18"/>
                <w:color w:val="auto"/>
              </w:rPr>
              <w:t>Chairman and Founder, Tullis Health Investors</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organization recognizes the importance of diversity and inclusion in recruiting, developing and retaining the best available talent. We are committed to further understanding and building upon our diversity and inclusion strengths and are continuing the process of identifying opportunities and developing initiatives.</w:t>
      </w:r>
    </w:p>
    <w:p>
      <w:pPr>
        <w:spacing w:after="0" w:line="14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As of December 31, 2022, 58.6% of our employees identified as female, 37.9% identified as male and 3.5% of our employees identified as other or declined to self-identify. Additionally, 52.4% of our employees identified as White, 22.8% as Hispanic or Latino, 13.3% as Asian,</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3.0% as Black or African-American, 2.4% as two or more races (not Hispanic or Latino), 0.6% as Native Hawaiian or other Pacific Islander, and 0.6% as American Indian or Alaska Native. 4.9% of our employees identified as other or declined to self-identify.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180"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In 2020, we undertook a review of our environmental, social and governance (ESG), matters. In 2021, we released our initial Sustainability Report. In 2022, we created an Environmental, Social and Governance Committee (ESG Committee) with the purpose, duties and responsibility of reviewing and recommending our programs, policies and practices relating to ESG issues. The ESG Committee meets formally at least annually and plans to make recommendations to our President and Chief Executive Officer to be presented to the Audit Committee of our Board of Directors. For more information regarding our ESG initiatives, please refer to www.exagen.com/investors.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9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jc w:val="both"/>
        <w:spacing w:after="0" w:line="248"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2022 and 2021 and our total assets as of December 31, 2022 and 2021, is included in our Financial Statements in Item 8 of this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Securities and Exchange Commission (SEC). Our filings with the SEC are available free of charge on the SEC’s website at www.sec.gov and on the "Investors" section of our website as soon as reasonably practicable after we electronically file such material with, or furnish it to, the SEC.</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8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156" w:lineRule="exact"/>
        <w:rPr>
          <w:sz w:val="20"/>
          <w:szCs w:val="20"/>
          <w:color w:val="auto"/>
        </w:rPr>
      </w:pPr>
    </w:p>
    <w:p>
      <w:pPr>
        <w:ind w:left="660" w:right="40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142" w:lineRule="exact"/>
        <w:rPr>
          <w:rFonts w:ascii="Arial" w:cs="Arial" w:eastAsia="Arial" w:hAnsi="Arial"/>
          <w:sz w:val="18"/>
          <w:szCs w:val="18"/>
          <w:color w:val="auto"/>
        </w:rPr>
      </w:pPr>
    </w:p>
    <w:p>
      <w:pPr>
        <w:ind w:left="660" w:right="40" w:hanging="328"/>
        <w:spacing w:after="0" w:line="24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compromised;</w:t>
      </w:r>
    </w:p>
    <w:p>
      <w:pPr>
        <w:spacing w:after="0" w:line="141"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manage our growth effectively, which could make it difficult to execute our business strategy;</w:t>
      </w:r>
    </w:p>
    <w:p>
      <w:pPr>
        <w:spacing w:after="0" w:line="157" w:lineRule="exact"/>
        <w:rPr>
          <w:rFonts w:ascii="Arial" w:cs="Arial" w:eastAsia="Arial" w:hAnsi="Arial"/>
          <w:sz w:val="18"/>
          <w:szCs w:val="18"/>
          <w:color w:val="auto"/>
        </w:rPr>
      </w:pPr>
    </w:p>
    <w:p>
      <w:pPr>
        <w:ind w:left="660" w:right="72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among rheumatologists, patients, third-party payors and others in the medical community;</w:t>
      </w:r>
    </w:p>
    <w:p>
      <w:pPr>
        <w:spacing w:after="0" w:line="156"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we may not be able to fund replacements or transition to alternative suppliers;</w:t>
      </w:r>
    </w:p>
    <w:p>
      <w:pPr>
        <w:spacing w:after="0" w:line="142"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5" w:name="page36"/>
    <w:bookmarkEnd w:id="35"/>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157"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130"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156" w:lineRule="exact"/>
        <w:rPr>
          <w:rFonts w:ascii="Arial" w:cs="Arial" w:eastAsia="Arial" w:hAnsi="Arial"/>
          <w:sz w:val="18"/>
          <w:szCs w:val="18"/>
          <w:color w:val="auto"/>
        </w:rPr>
      </w:pPr>
    </w:p>
    <w:p>
      <w:pPr>
        <w:jc w:val="both"/>
        <w:ind w:left="660" w:right="320" w:hanging="328"/>
        <w:spacing w:after="0"/>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62" w:lineRule="exact"/>
        <w:rPr>
          <w:rFonts w:ascii="Arial" w:cs="Arial" w:eastAsia="Arial" w:hAnsi="Arial"/>
          <w:sz w:val="18"/>
          <w:szCs w:val="18"/>
          <w:color w:val="auto"/>
        </w:rPr>
      </w:pPr>
    </w:p>
    <w:p>
      <w:pPr>
        <w:ind w:left="660" w:right="100" w:hanging="328"/>
        <w:spacing w:after="0" w:line="24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determined that our disclosure controls and procedures were ineffective as of December 31, 2022,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48" w:lineRule="exact"/>
        <w:rPr>
          <w:rFonts w:ascii="Arial" w:cs="Arial" w:eastAsia="Arial" w:hAnsi="Arial"/>
          <w:sz w:val="18"/>
          <w:szCs w:val="18"/>
          <w:color w:val="auto"/>
        </w:rPr>
      </w:pPr>
    </w:p>
    <w:p>
      <w:pPr>
        <w:ind w:left="660" w:right="160" w:hanging="328"/>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4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modify our business practices, pay fines, incur significant expenses or experience losses due to litigation or governmental investigations;</w:t>
      </w:r>
    </w:p>
    <w:p>
      <w:pPr>
        <w:spacing w:after="0" w:line="130" w:lineRule="exact"/>
        <w:rPr>
          <w:rFonts w:ascii="Arial" w:cs="Arial" w:eastAsia="Arial" w:hAnsi="Arial"/>
          <w:sz w:val="18"/>
          <w:szCs w:val="18"/>
          <w:color w:val="auto"/>
        </w:rPr>
      </w:pPr>
    </w:p>
    <w:p>
      <w:pPr>
        <w:ind w:left="660" w:right="50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disagree with our assessment that our AVISE® test products and any other tests we may develop are LDTs and determine that such test products are medical devices subject to the FDCA and FDA regulations;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157"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incurred net losses since our inception. For the years ended December 31, 2022 and 2021, we incurred net losses of $47.4 million and $26.9 million, respectively, and we expect to incur additional losses in 2023 and in future years. As of December 31, 2022, we had an accumulated deficit of $255.5 million. Over the next several years, we expect to continue to devote substantially all of our resources to increase adoption of, and reimbursement for, our testing products and to develop future testing products. We experienced and may continue to experience decreases in test volumes due to the impact of the COVID-19 pandemic. We may not be able to generate sufficient revenue to achieve and maintain profitability. Our failure to achieve and maintain profitability in the future could cause the market price of our common stock to decline.</w:t>
      </w:r>
    </w:p>
    <w:p>
      <w:pPr>
        <w:spacing w:after="0" w:line="1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compromised.</w:t>
      </w:r>
    </w:p>
    <w:p>
      <w:pPr>
        <w:spacing w:after="0" w:line="13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payors, including government payors, such as Medicare and Medicaid and commercial payors. For the testing products that we develop and commercialize, each third-party payor decides whether to cover the product, the amount it will reimburse for a covered product and the specific conditions for reimbursement.</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6" w:name="page37"/>
    <w:bookmarkEnd w:id="36"/>
    <w:p>
      <w:pPr>
        <w:ind w:right="880"/>
        <w:spacing w:after="0" w:line="246"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1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to lead to improved patient outcomes;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16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used by third-party payors and healthcare providers as grounds to deny coverage for or refuse to use a test or procedure. In addition, third-party payors have increased their efforts to control the cost, utilization and delivery of healthcare services. These measures have resulted in reduced payment rates and decreased utilization for the diagnostics industry.</w:t>
      </w:r>
    </w:p>
    <w:p>
      <w:pPr>
        <w:spacing w:after="0" w:line="149"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Effective April 25, 2012, Palmetto GBA, the Medicare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has adopted this coverage policy. In addition and effective April 1, 2022, CMS agreed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priced this PLA code at $1,085 per test. To determine pricing beyond 2022, CMS recommended crosswalking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(0312U) to Vectra (81490) at a rate of $840.65 per test. This pricing was finalized on the 2023 CLFS and is effective from January 1, 2023 through December 31, 2025. A pricing determination is not synonymous with a coverage determination. Having a price associated with the PLA code for any particular test does not secure coverage or reimbursement for that PLA code from Medicare or any other third-party payor. So, 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we submitted a formal request to Noridian for coverage of our AVISE®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We have faced and may again face or continue to face challenges relating to commercial payor claim processing and revenue with our tests.</w:t>
      </w:r>
    </w:p>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Other third-party payors make their own decisions as to whether to establish a policy to reimburse our testing products. Because approvals must be sought on a payor by payor basis, establishing broad coverage is a time-consuming and costly process. There are many third-party payors who have not yet established a coverage policy applicable to our testing products. In addition, several commercial payors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5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47"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may withdraw coverage at any time, review and adjust the rate of reimbursement, require co-payments from patients or stop paying for our testing products altogether, any of which would reduce our revenue.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7" w:name="page38"/>
    <w:bookmarkEnd w:id="37"/>
    <w:p>
      <w:pPr>
        <w:ind w:right="36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125"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15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 which could make it difficult to execute our business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need to scale our testing capacity, our future growth plans may also impose significant added responsibilities on management, including the need to identify, recruit, train and integrate additional employees and the need to manage additional relationships with various partners, suppliers and other third parties. In addition, if we were to experience rapid and significant growth, our administrative and operational infrastructure may be strained, requiring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4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among rheumatologists, patients, third-party payors and others in the medical community.</w:t>
      </w:r>
    </w:p>
    <w:p>
      <w:pPr>
        <w:spacing w:after="0" w:line="122"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Our success depends on our ability to continue to develop and market testing products that are recognized and accepted as safe, effective, reliable and cost effective, and any testing product that we offer may not gain or maintain market acceptance among rheumatologists, third-party payors, patients or the medical community. Market acceptance of our testing products depends on a number of factors, including:</w:t>
      </w:r>
    </w:p>
    <w:p>
      <w:pPr>
        <w:spacing w:after="0" w:line="1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over alternative products;</w:t>
      </w:r>
    </w:p>
    <w:p>
      <w:pPr>
        <w:spacing w:after="0" w:line="157"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demonstration of the performance and clinical validity of our testing products in clinical studies, the results of which, may not replicate the positive results from earlier studies;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tests that compete with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testing products or competing products and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ind w:right="600"/>
        <w:spacing w:after="0" w:line="213" w:lineRule="auto"/>
        <w:rPr>
          <w:sz w:val="20"/>
          <w:szCs w:val="20"/>
          <w:color w:val="auto"/>
        </w:rPr>
      </w:pPr>
      <w:r>
        <w:rPr>
          <w:rFonts w:ascii="Arial" w:cs="Arial" w:eastAsia="Arial" w:hAnsi="Arial"/>
          <w:sz w:val="18"/>
          <w:szCs w:val="18"/>
          <w:color w:val="auto"/>
        </w:rPr>
        <w:t>In addition, if we or our future partners have to withdraw a product from the market, it could harm our business and/or impact market acceptance of our other testing products.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consist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38" w:name="page39"/>
    <w:bookmarkEnd w:id="38"/>
    <w:p>
      <w:pPr>
        <w:spacing w:after="0" w:line="230" w:lineRule="auto"/>
        <w:rPr>
          <w:sz w:val="20"/>
          <w:szCs w:val="20"/>
          <w:color w:val="auto"/>
        </w:rPr>
      </w:pPr>
      <w:r>
        <w:rPr>
          <w:rFonts w:ascii="Arial" w:cs="Arial" w:eastAsia="Arial" w:hAnsi="Arial"/>
          <w:sz w:val="18"/>
          <w:szCs w:val="18"/>
          <w:color w:val="auto"/>
        </w:rPr>
        <w:t>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average selling price or overall revenue, until such time as it can be remedied. Moreover, if our testing products do not achieve an adequate level of acceptance by rheumatologists, hospitals, third-party payors or patients, we may not generate sufficient revenue from that testing product and may not become or remain profitable. Our efforts to educate the medical community and third-party payors regarding the benefits of our testing products may require significant resources and may never be successful.</w:t>
      </w:r>
    </w:p>
    <w:p>
      <w:pPr>
        <w:spacing w:after="0" w:line="14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if we are otherwise unable to create or maintain demand for our testing products.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we are unable to create or maintain demand for our testing products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2022, we were featured in nine scientific presentations at the 2022 ACR Annual Conference, ACR Convergence 2022. We will also need to generate demand for our testing products through one-on-one education by our sales force. We also plan to focus on educating patients about the benefits of these testing products, which we believe will be necessary to generate further demand. In addition, our inability to obtain and maintain coverage and adequate reimbursement from third-party payors may limit adoption by rheumatologists, as well as third-party payors exerting pressure on rheumatologists and healthcare providers to order in-network testing products which could adversely affect our revenue.</w:t>
      </w:r>
    </w:p>
    <w:p>
      <w:pPr>
        <w:spacing w:after="0" w:line="147"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testing products have not been established with precision, and may be smaller than we estimate.</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may prove to be incorrect. If the actual number of patients who would benefit from our testing products,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4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and fail to capitalize on other testing products that may be more profitable or for which there is a greater likelihood of success.</w:t>
      </w:r>
    </w:p>
    <w:p>
      <w:pPr>
        <w:spacing w:after="0" w:line="12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Because we have limited financial and managerial resources, we focus on specific testing products.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we may forego other similar arrangements which would have been more advantageous for us to pursue.</w:t>
      </w:r>
    </w:p>
    <w:p>
      <w:pPr>
        <w:spacing w:after="0" w:line="12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13"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39" w:name="page40"/>
    <w:bookmarkEnd w:id="39"/>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health crises such as the COVID-19 pandemic;</w:t>
      </w:r>
    </w:p>
    <w:p>
      <w:pPr>
        <w:spacing w:after="0" w:line="157" w:lineRule="exact"/>
        <w:rPr>
          <w:rFonts w:ascii="Arial" w:cs="Arial" w:eastAsia="Arial" w:hAnsi="Arial"/>
          <w:sz w:val="18"/>
          <w:szCs w:val="18"/>
          <w:color w:val="auto"/>
        </w:rPr>
      </w:pPr>
    </w:p>
    <w:p>
      <w:pPr>
        <w:jc w:val="both"/>
        <w:ind w:left="660" w:right="580" w:hanging="328"/>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14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testing products, which may vary significantly;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7"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130"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56"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12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specimen collection and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 For example, in November 2019, we identified a potential quality issue with reagents for Anti-CarP, a biomarker that can be ordered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that was resolved in September 2020. However,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39"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10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Medicaid, and commercial payors,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1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 and Medicaid;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4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4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Payors also conduct external audits to evaluate payments, which add further complexity to the billing process. If the payor makes an overpayment determination, there is a risk that we</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1" w:name="page42"/>
    <w:bookmarkEnd w:id="41"/>
    <w:p>
      <w:pPr>
        <w:ind w:right="220"/>
        <w:spacing w:after="0" w:line="248" w:lineRule="auto"/>
        <w:rPr>
          <w:sz w:val="20"/>
          <w:szCs w:val="20"/>
          <w:color w:val="auto"/>
        </w:rPr>
      </w:pPr>
      <w:r>
        <w:rPr>
          <w:rFonts w:ascii="Arial" w:cs="Arial" w:eastAsia="Arial" w:hAnsi="Arial"/>
          <w:sz w:val="18"/>
          <w:szCs w:val="18"/>
          <w:color w:val="auto"/>
        </w:rPr>
        <w:t>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pacing w:after="0" w:line="14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may result in uneven cash flow or impact the timing of revenue recognized with these payors. With respect to payments received from government healthcare programs, factors such as a prolonged 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52"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In 2022, Noridian posted the calendar year 2023 Medicare Physician Fee Schedule (MPFS), and CLFS, which establishes the reimbursement rates to be paid by Medicare for our jurisdiction for services performed on or after January 1, 2023. We do not expect that PAMA or changes to the PFS will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2023 compared to levels experienced in 2022. Revenue from Medicare comprised 39% and 19% of our revenue for the years ended December 31, 2022 and 2021, respectively.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products comprised 84% and 81% of our revenue for the years ended December 31, 2022 and 2021, respectively.</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3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as needed, to adequately address our customers’ and future partners’ needs, our business may be adversely affected.</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sell our testing products through our own specialized sales force. Our testing products compete in a concentrated specialty market of autoimmune and autoimmune-related diseases, and utilizing a specialized sales force is integral to our strategy. As such, we believe it is necessary to maintain a sales force that includes sales representatives with specific technical backgrounds and industry expertise and expect to continue to evaluate the reach and frequency with rheumatologists, including as we launch our pipeline products. We may be required to expand our specialized sales force as our company grows. Training of additional sales representatives can be costly and time consuming, particularly given the level of experience and sophistication we seek in our sales force. If we are unable to effectively retain, train and integrate additional sales representatives, as needed,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4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 force. If we are unsuccessful in this regard, it could negatively impact our revenue growth and potential profitability.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Progentec Diagnostics Inc., Scipher Medicine Corporation, Genalyte Inc., Oncimmune plc, DxTerity Diagnostics Inc., AMPEL BioSolutions, and Immunovia AB. In the future, we may also face competition from companies developing new products or technologies.</w:t>
      </w:r>
    </w:p>
    <w:p>
      <w:pPr>
        <w:spacing w:after="0" w:line="148"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w:t>
      </w:r>
    </w:p>
    <w:p>
      <w:pPr>
        <w:spacing w:after="0" w:line="14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w:t>
      </w:r>
    </w:p>
    <w:p>
      <w:pPr>
        <w:spacing w:after="0" w:line="14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successful verification, validation and utility studies;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3" w:name="page44"/>
    <w:bookmarkEnd w:id="43"/>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accessing archival patient specimens, especially specimens with known clinical results;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4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2022, we completed the conversion of approximately 8,000 square feet of warehouse space into additional clinical laboratory space and approximately 6,000 square feet of warehouse space into additional research and development facility space. In light of our renewed focus on our flagship product, AVISE CTD, and selective approach to research and development projects, we expect to sublet the converted research and development space to a third party and to continue to use the remainder of our existing laboratory space.</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addition, as we develop testing products, we may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61"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2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10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ours, and our inability to control when and if results are published may delay or limit our ability to derive sufficient revenue from any solution.</w:t>
      </w:r>
    </w:p>
    <w:p>
      <w:pPr>
        <w:spacing w:after="0" w:line="14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in 2010, we have not acquired other companies or therapeutics and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4" w:name="page45"/>
    <w:bookmarkEnd w:id="44"/>
    <w:p>
      <w:pPr>
        <w:spacing w:after="0" w:line="241"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6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4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The diagnostic industry is subject to rapidly changing technology, which could make our current and future testing products obsolete.</w:t>
      </w:r>
    </w:p>
    <w:p>
      <w:pPr>
        <w:spacing w:after="0" w:line="12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w:t>
      </w:r>
    </w:p>
    <w:p>
      <w:pPr>
        <w:spacing w:after="0" w:line="12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13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9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We may also initiate a correction or removal for one of our testing products, issue a safety alert or undertake a field action or recall to reduce a risk to health posed by potential failure of our products to perform as designed, which could lead to increased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3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John Aballi, our President and Chief Executive Officer, and others in key management positions. The efforts of each of these persons will be critical to us as we continue to develop our technologies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5" w:name="page46"/>
    <w:bookmarkEnd w:id="45"/>
    <w:p>
      <w:pPr>
        <w:ind w:right="60"/>
        <w:spacing w:after="0" w:line="246" w:lineRule="auto"/>
        <w:rPr>
          <w:sz w:val="20"/>
          <w:szCs w:val="20"/>
          <w:color w:val="auto"/>
        </w:rPr>
      </w:pPr>
      <w:r>
        <w:rPr>
          <w:rFonts w:ascii="Arial" w:cs="Arial" w:eastAsia="Arial" w:hAnsi="Arial"/>
          <w:sz w:val="18"/>
          <w:szCs w:val="18"/>
          <w:color w:val="auto"/>
        </w:rPr>
        <w:t>test processes and focus on our growth. If we were to lose one or more of these key employees, we may experience difficulties in competing effectively, developing our technologies and implementing our business strategy.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w:t>
      </w:r>
    </w:p>
    <w:p>
      <w:pPr>
        <w:spacing w:after="0" w:line="13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such as the COVID-19 pandemic.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order to rely on a third party to perform the tests contained in our testing products (even assuming we are able to do so in compliance with applicable regulations), we would need to engage another facility with established state licensure and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4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order to establish additional clinical reference laboratory facilities, we have to spend considerable time and money securing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would be subject to certification under CLIA and licensing by several states, including, as applicable, California and New York, which could take a significant amount of time and result in delays in our ability to begin operations.</w:t>
      </w:r>
    </w:p>
    <w:p>
      <w:pPr>
        <w:spacing w:after="0" w:line="14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We may need to further expand our laboratory space in the future.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6" w:name="page47"/>
    <w:bookmarkEnd w:id="46"/>
    <w:p>
      <w:pPr>
        <w:jc w:val="both"/>
        <w:spacing w:after="0" w:line="248"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1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1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As part of our process of determining CB-CAPs, the key biomarker detection and measurement technology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products, we utilize a number of flow cytometers that require calibration and performance validation according to the requirements of the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2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13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157"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 force and other personnel in a timely manner to conduct business;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1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171" w:lineRule="exact"/>
        <w:rPr>
          <w:rFonts w:ascii="Arial" w:cs="Arial" w:eastAsia="Arial" w:hAnsi="Arial"/>
          <w:sz w:val="18"/>
          <w:szCs w:val="18"/>
          <w:color w:val="auto"/>
        </w:rPr>
      </w:pPr>
    </w:p>
    <w:p>
      <w:pPr>
        <w:ind w:left="660" w:right="44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jc w:val="both"/>
        <w:ind w:right="340"/>
        <w:spacing w:after="0" w:line="261"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13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PHI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 reconstruct any lost or stolen data. In addition, we have limited control over the storage of sensitive data by our third-party partners as well as risks related to the transfer and sale of de-identified data files to such partners.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and liability under laws that protect the privacy of personal information, such as HIPAA, as amended by the HITECH Act, and their implementing regulations including civil and criminal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 Any breach could also result in the compromise of our trade secrets and other proprietary information, which could adversely affect our competitive position.</w:t>
      </w:r>
    </w:p>
    <w:p>
      <w:pPr>
        <w:spacing w:after="0" w:line="15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as well as private litigation, which could adversely affect our business.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various laws could cause us to incur substantial costs or require us to change our business practices, systems and compliance procedures in a manner adverse to our business.</w:t>
      </w:r>
    </w:p>
    <w:p>
      <w:pPr>
        <w:spacing w:after="0" w:line="167"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25"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b w:val="1"/>
          <w:bCs w:val="1"/>
          <w:i w:val="1"/>
          <w:iCs w:val="1"/>
          <w:color w:val="auto"/>
        </w:rPr>
        <w:t>Our financial condition, commercialization efforts and results of operations could be adversely affected by outbreaks of contagious diseases, including the COVID-19 pandemic.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8" w:name="page49"/>
    <w:bookmarkEnd w:id="48"/>
    <w:p>
      <w:pPr>
        <w:ind w:right="20"/>
        <w:spacing w:after="0" w:line="241" w:lineRule="auto"/>
        <w:rPr>
          <w:sz w:val="20"/>
          <w:szCs w:val="20"/>
          <w:color w:val="auto"/>
        </w:rPr>
      </w:pPr>
      <w:r>
        <w:rPr>
          <w:rFonts w:ascii="Arial" w:cs="Arial" w:eastAsia="Arial" w:hAnsi="Arial"/>
          <w:sz w:val="18"/>
          <w:szCs w:val="18"/>
          <w:color w:val="auto"/>
        </w:rPr>
        <w:t>Any outbreak of a contagious disease, such as the COVID-19 pandemic, or other adverse public health developments, could have a material and adverse effect on our business operations. Such adverse effects could include disruptions or restrictions on the ability of our, our collaborators’, or our suppliers’ personnel to travel, and could result in temporary closures of our facilities or the facilities of our collaborators or suppliers, including our sole laboratory. The extent to which COVID-19 affects our operations will depend on future developments, which are highly uncertain and cannot be predicted with confidence, additional information that may emerge concerning the severity of COVID-19 and ongoing actions to contain COVID-19 or mitigate its impact, among others, which could have a further adverse effect on our business, financial condition, results of operations, and cash flows.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0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and Federal Express Corporation for reliable and secure point-to-point transport of patient specimens to our laboratory and enhanced tracking of these patient specimens. Should Federal Express, United Parcel Service,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(including, for example, the COVID-19 pandemic), terrorist attacks or threats, or for other reasons, could adversely affect our ability to receive and process patient specimens on a timely basis.</w:t>
      </w:r>
    </w:p>
    <w:p>
      <w:pPr>
        <w:spacing w:after="0" w:line="14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adversely affect our business, reputation,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affect our business and financial results.</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Inflation increased significantly during 2021 and continued to increase through 2022. 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 Inflation may continue to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3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The failure of financial institutions or transactional counterparties could adversely affect our current and projected business operations and our financial condition and results of operations.</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March 10, 2023, Silicon Valley Bank (SVB) was closed by the California Department of Financial Protection and Innovation, which appointed the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and Signature Bank, we regularly maintain cash balances with other financial institutions in excess of the FDIC insurance limit. A failure of a depository institution to return deposits could impact access to our invested cash or cash equivalents and could adversely impact our operating liquidity and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 our ability to use NOL carryforwards and other tax attributes to offset taxable income and taxes, as applicable, may be limited.</w:t>
      </w:r>
    </w:p>
    <w:p>
      <w:pPr>
        <w:spacing w:after="0" w:line="136"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200" w:lineRule="exact"/>
        <w:rPr>
          <w:sz w:val="20"/>
          <w:szCs w:val="20"/>
          <w:color w:val="auto"/>
        </w:rPr>
      </w:pPr>
    </w:p>
    <w:p>
      <w:pPr>
        <w:spacing w:after="0" w:line="33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September 2017, we entered into the loan and security agreement with Innovatus Life Sciences Lending Fund I, LP (Innovatus), which we subsequently amended in November 2019 and November 2021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achieve certain minimum amounts of annual revenue, as measured on a rolling twelve-month basis, periodically deliver financial statements to Innovatus with an unqualified opinion (including no “going concern”) from our independent certified public accounting firm,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As of December 31, 2022, there was $25.0 million in principal outstanding under the term loan and an additional $2.8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2024. At December 31, 2022,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$0.5 million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27"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payors and government payors, or other risks described in this “Risk Factors” section, we may seek to raise additional capital through equity offerings, debt financings, collaborations or licensing arrangements.</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November 10, 2020, we filed a shelf registration statement on Form S-3. We filed a prospectus on September 15, 2022 pursuant to this registration statement, registering sales of our common stock in an amount not to exceed $50.0 million, pursuant to a Sales Agreement by and between us and Cowen and Company, LLC (the Sales Agreement). Using a shelf registration statement to raise capital generally takes less time and is less expensive than other means, such as conducting an offering under a registration statement on Form S-1 and companies may be able to receive more favorable terms by raising capital pursuant to a shelf registration statement on Form S-3. Our ability to raise capital under our current shelf registration statement (and any future registration statement on Form S-3) is, and may again in the future be, limited by, among other things, current and future SEC rules and regulations impacting the eligibility of smaller companies to use Form S-3 without restrictions. As of the date of this Annual Report, we are subject to the "baby shelf rule" because the market value of our outstanding shares of common stock held by non-affiliates, or public float, was less than $75.0 million as of the date of this Annual Report. As a result, for sales following the date of this Annual Report and until we again have a public float with a value in excess of $ 75.0 million, if ever, we will be unable to use our shelf registration statement on Form S-3 or the Sales Agreement to raise additional funds to the extent the aggregate market value of securities sold by us or on our behalf pursuant to Instruction I.B.6. of Form S-3 during the 12 calendar months immediately prior to, and including, any intended sale does not exceed one-third of the aggregate market value of our public float, calculated in accordance with the instructions to Form S-3.</w:t>
      </w:r>
    </w:p>
    <w:p>
      <w:pPr>
        <w:spacing w:after="0" w:line="15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8.0% (provided that 2.0% of the 8.0%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or market development programs, which could lower the economic value of those products or programs to our company.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ind w:right="20"/>
        <w:spacing w:after="0" w:line="24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determined that our disclosure controls and procedures were ineffective as of December 31, 2022,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Exchange Act,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then determined that there were material errors in the financial statements requiring a restatement of the Form 10-Q for the three and six months ended June 30, 2022.</w:t>
      </w:r>
    </w:p>
    <w:p>
      <w:pPr>
        <w:spacing w:after="0" w:line="143"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 xml:space="preserve">Accordingly, management has determined that this control deficiency constituted a material weakness and, as a result, management has concluded that, as of December 31, 2022, our internal control over financial reporting was not effective based on the criteria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Integrated Framework (2013) </w:t>
      </w:r>
      <w:r>
        <w:rPr>
          <w:rFonts w:ascii="Arial" w:cs="Arial" w:eastAsia="Arial" w:hAnsi="Arial"/>
          <w:sz w:val="18"/>
          <w:szCs w:val="18"/>
          <w:color w:val="auto"/>
        </w:rPr>
        <w:t>issued by the Committee of Sponsoring Organizations of the Treadway Commission.</w:t>
      </w:r>
    </w:p>
    <w:p>
      <w:pPr>
        <w:spacing w:after="0" w:line="14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Management is actively engaged in the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comply with the applicable requirements of the Sarbanes-Oxley Act of 2002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5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Healthcare policy changes, including recently enacted and proposed new legislation reforming the U.S. healthcare system, could cause significant harm to our business, operations and financial condition.</w:t>
      </w:r>
    </w:p>
    <w:p>
      <w:pPr>
        <w:spacing w:after="0" w:line="13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ACA made a number of substantial changes to the way healthcare is financed both by governmental and commercial payors. The ACA also introduced mechanisms to reduce the per capita rate of growth in Medicare spending if expenditures exceed certain targets. Any such reductions could affect reimbursement payments for our tests.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52" w:name="page53"/>
    <w:bookmarkEnd w:id="52"/>
    <w:p>
      <w:pPr>
        <w:spacing w:after="0" w:line="241" w:lineRule="auto"/>
        <w:rPr>
          <w:sz w:val="20"/>
          <w:szCs w:val="20"/>
          <w:color w:val="auto"/>
        </w:rPr>
      </w:pPr>
      <w:r>
        <w:rPr>
          <w:rFonts w:ascii="Arial" w:cs="Arial" w:eastAsia="Arial" w:hAnsi="Arial"/>
          <w:sz w:val="18"/>
          <w:szCs w:val="18"/>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5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4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0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13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4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NYSDOH on a product-by-product basis before they are offered in New York. We are also subject to periodic inspection by the NYSDOH and required to demonstrate ongoing compliance with NYSDOH regulations and standards. To the extent NYSDOH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3" w:name="page54"/>
    <w:bookmarkEnd w:id="53"/>
    <w:p>
      <w:pPr>
        <w:ind w:right="320"/>
        <w:spacing w:after="0" w:line="243" w:lineRule="auto"/>
        <w:rPr>
          <w:sz w:val="20"/>
          <w:szCs w:val="20"/>
          <w:color w:val="auto"/>
        </w:rPr>
      </w:pPr>
      <w:r>
        <w:rPr>
          <w:rFonts w:ascii="Arial" w:cs="Arial" w:eastAsia="Arial" w:hAnsi="Arial"/>
          <w:sz w:val="18"/>
          <w:szCs w:val="18"/>
          <w:color w:val="auto"/>
        </w:rPr>
        <w:t>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4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NYSDOH approval for our laboratory developed tests in New York or if we were to lose our license in other states where we are required to hold licenses, we would not be able to test specimens from those states, which would limit our revenue.</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payment mechanisms for clinical laboratory services resulting from PAMA;</w:t>
      </w:r>
    </w:p>
    <w:p>
      <w:pPr>
        <w:spacing w:after="0" w:line="130"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41"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41" w:lineRule="exact"/>
        <w:rPr>
          <w:rFonts w:ascii="Arial" w:cs="Arial" w:eastAsia="Arial" w:hAnsi="Arial"/>
          <w:sz w:val="18"/>
          <w:szCs w:val="18"/>
          <w:color w:val="auto"/>
        </w:rPr>
      </w:pPr>
    </w:p>
    <w:p>
      <w:pPr>
        <w:ind w:left="660" w:right="60" w:hanging="328"/>
        <w:spacing w:after="0" w:line="24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41" w:lineRule="exact"/>
        <w:rPr>
          <w:rFonts w:ascii="Arial" w:cs="Arial" w:eastAsia="Arial" w:hAnsi="Arial"/>
          <w:sz w:val="18"/>
          <w:szCs w:val="18"/>
          <w:color w:val="auto"/>
        </w:rPr>
      </w:pPr>
    </w:p>
    <w:p>
      <w:pPr>
        <w:ind w:left="660" w:right="80" w:hanging="328"/>
        <w:spacing w:after="0" w:line="24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Medicare or Medicaid, including laboratory and pathology services, if the physician or an immediate family member has a financial relationship with the entity providing the designated health services;</w:t>
      </w:r>
    </w:p>
    <w:p>
      <w:pPr>
        <w:spacing w:after="0" w:line="141"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41" w:lineRule="exact"/>
        <w:rPr>
          <w:rFonts w:ascii="Arial" w:cs="Arial" w:eastAsia="Arial" w:hAnsi="Arial"/>
          <w:sz w:val="18"/>
          <w:szCs w:val="18"/>
          <w:color w:val="auto"/>
        </w:rPr>
      </w:pPr>
    </w:p>
    <w:p>
      <w:pPr>
        <w:ind w:left="660" w:right="20" w:hanging="328"/>
        <w:spacing w:after="0"/>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62" w:lineRule="exact"/>
        <w:rPr>
          <w:rFonts w:ascii="Arial" w:cs="Arial" w:eastAsia="Arial" w:hAnsi="Arial"/>
          <w:sz w:val="18"/>
          <w:szCs w:val="18"/>
          <w:color w:val="auto"/>
        </w:rPr>
      </w:pPr>
    </w:p>
    <w:p>
      <w:pPr>
        <w:ind w:left="660" w:right="320" w:hanging="328"/>
        <w:spacing w:after="0" w:line="24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47"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156" w:lineRule="exact"/>
        <w:rPr>
          <w:rFonts w:ascii="Arial" w:cs="Arial" w:eastAsia="Arial" w:hAnsi="Arial"/>
          <w:sz w:val="18"/>
          <w:szCs w:val="18"/>
          <w:color w:val="auto"/>
        </w:rPr>
      </w:pPr>
    </w:p>
    <w:p>
      <w:pPr>
        <w:ind w:left="660" w:right="56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ind w:left="660" w:right="20"/>
        <w:spacing w:after="0" w:line="246" w:lineRule="auto"/>
        <w:rPr>
          <w:sz w:val="20"/>
          <w:szCs w:val="20"/>
          <w:color w:val="auto"/>
        </w:rPr>
      </w:pPr>
      <w:r>
        <w:rPr>
          <w:rFonts w:ascii="Arial" w:cs="Arial" w:eastAsia="Arial" w:hAnsi="Arial"/>
          <w:sz w:val="18"/>
          <w:szCs w:val="18"/>
          <w:color w:val="auto"/>
        </w:rPr>
        <w:t>discounted cost to induce physician or patient adoption and false claims acts, some of which may extend to services reimbursable by any third-party payor, including private payors;</w:t>
      </w:r>
    </w:p>
    <w:p>
      <w:pPr>
        <w:spacing w:after="0" w:line="15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57" w:lineRule="exact"/>
        <w:rPr>
          <w:rFonts w:ascii="Arial" w:cs="Arial" w:eastAsia="Arial" w:hAnsi="Arial"/>
          <w:sz w:val="18"/>
          <w:szCs w:val="18"/>
          <w:color w:val="auto"/>
        </w:rPr>
      </w:pPr>
    </w:p>
    <w:p>
      <w:pPr>
        <w:ind w:left="660" w:right="140" w:hanging="328"/>
        <w:spacing w:after="0" w:line="24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71" w:lineRule="exact"/>
        <w:rPr>
          <w:rFonts w:ascii="Arial" w:cs="Arial" w:eastAsia="Arial" w:hAnsi="Arial"/>
          <w:sz w:val="18"/>
          <w:szCs w:val="18"/>
          <w:color w:val="auto"/>
        </w:rPr>
      </w:pPr>
    </w:p>
    <w:p>
      <w:pPr>
        <w:ind w:left="660" w:right="92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142" w:lineRule="exact"/>
        <w:rPr>
          <w:rFonts w:ascii="Arial" w:cs="Arial" w:eastAsia="Arial" w:hAnsi="Arial"/>
          <w:sz w:val="18"/>
          <w:szCs w:val="18"/>
          <w:color w:val="auto"/>
        </w:rPr>
      </w:pPr>
    </w:p>
    <w:p>
      <w:pPr>
        <w:ind w:left="660" w:right="240" w:hanging="328"/>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4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71"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 For instance, in April 2022, the HHS OIG issued a new advisory opinion indicating that a particular clinical laboratory’s practice of contracting with hospitals for the collection of samples for testing could, based on the facts provided and assuming the requisite intent, be a violation of the federal Anti-Kickback Statute. If this Advisory Opinion ultimately limits our ability to collect samples in a hospital setting, we may be required to contract for sample collection with other collection sites or sources, such as mobile phlebotomists, that could be more expensive and less convenient for patients, which could adversely affect both demand for our tests and the margins and profitability of our tests.</w:t>
      </w:r>
    </w:p>
    <w:p>
      <w:pPr>
        <w:spacing w:after="0" w:line="16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5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spacing w:after="0" w:line="243" w:lineRule="auto"/>
        <w:rPr>
          <w:sz w:val="20"/>
          <w:szCs w:val="20"/>
          <w:color w:val="auto"/>
        </w:rPr>
      </w:pPr>
      <w:r>
        <w:rPr>
          <w:rFonts w:ascii="Arial" w:cs="Arial" w:eastAsia="Arial" w:hAnsi="Arial"/>
          <w:sz w:val="18"/>
          <w:szCs w:val="18"/>
          <w:color w:val="auto"/>
        </w:rPr>
        <w:t>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2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be required to modify our business practices, pay fines, incur significant expenses or experience losses due to litigation or governmental investigations.</w:t>
      </w:r>
    </w:p>
    <w:p>
      <w:pPr>
        <w:spacing w:after="0" w:line="13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For example, in February 2022, we received a subpoena issued by the U.S. Department of Justice requesting documents related to its investigation of potential federal regulatory healthcare offenses. We are fully cooperating with the U.S. Department of Justice to promptly respond to the requests for information in this subpoena, but we cannot predict when the investigation will be resolved, the outcome of the investigation or its potential impact on our business which may ultimately be greater than we expect. In addition, responding to this subpoena, and any litigation or government investigation generally, diverts the attention of our management team and diverts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pay penalties. Any of these circumstances may adversely affect our business, prospects, reputation and results of operations.</w:t>
      </w:r>
    </w:p>
    <w:p>
      <w:pPr>
        <w:spacing w:after="0" w:line="138" w:lineRule="exact"/>
        <w:rPr>
          <w:sz w:val="20"/>
          <w:szCs w:val="20"/>
          <w:color w:val="auto"/>
        </w:rPr>
      </w:pPr>
    </w:p>
    <w:p>
      <w:pPr>
        <w:ind w:right="560"/>
        <w:spacing w:after="0" w:line="225" w:lineRule="auto"/>
        <w:rPr>
          <w:sz w:val="20"/>
          <w:szCs w:val="20"/>
          <w:color w:val="auto"/>
        </w:rPr>
      </w:pPr>
      <w:r>
        <w:rPr>
          <w:rFonts w:ascii="Arial" w:cs="Arial" w:eastAsia="Arial" w:hAnsi="Arial"/>
          <w:sz w:val="18"/>
          <w:szCs w:val="18"/>
          <w:b w:val="1"/>
          <w:bCs w:val="1"/>
          <w:i w:val="1"/>
          <w:iCs w:val="1"/>
          <w:color w:val="auto"/>
        </w:rPr>
        <w:t>The FDA may disagree with our assessment that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 products and any other tests we may develop are LDTs and determine that such test products are medical devices subject to the FDCA and FDA regulations.</w:t>
      </w:r>
    </w:p>
    <w:p>
      <w:pPr>
        <w:spacing w:after="0" w:line="14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However, the FDA has generally exercised its enforcement discretion and not enforced applicable regulations with respect to LDTs, which are IVDs that are designed, manufactured, and used within a single high-complexity CLIA-certified laboratory for use only in that laboratory.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w:t>
      </w:r>
    </w:p>
    <w:p>
      <w:pPr>
        <w:spacing w:after="0" w:line="7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If the FDA were to disagree with our conclusion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fall within the scope of the agency’s LDT definition and determines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thus subject to FDA’s medical device authorities and implementing regulations, we would become subject to extensive regulatory requirements and may be required to stop selling our existing tests or refrain from launching any other tests we may develop. In particular, the FDA may require us to obtain PMAs or another type of device marketing authorization in order for us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all of which would adversely impact our business.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6" w:name="page57"/>
    <w:bookmarkEnd w:id="56"/>
    <w:p>
      <w:pPr>
        <w:ind w:right="20"/>
        <w:spacing w:after="0" w:line="243"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and financial condition.</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The FDA may undertake rulemaking to regulate LDTs or Congress may reform the current legal requirements applicable to LDTs, in which case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4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LDTs and may in the future market other tests as LDTs. The FDA has adopted a policy of enforcement discretion with respect to LDTs whereby the FDA does not generally actively enforce its regulatory requirements for such tests. However, in the past the FDA has stated its intention to modify its enforcement discretion policy with respect to LDTs. If there are changes in FDA regulations and legislative authorities such that the agency begins to exercise oversight over LDTs, we may become subject to extensive regulatory requirements and may be required to stop selling our existing tests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tests may decline.</w:t>
      </w:r>
    </w:p>
    <w:p>
      <w:pPr>
        <w:spacing w:after="0" w:line="16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Since 2017, Congress has been working on legislation to create an LDT and IVD, regulatory framework that would be separate and distinct from the existing medical device regulatory framework. Most recently, the VALID Act has been garnering bipartisan and bicameral support. The VALID Act would codify the term IVCT to create a new medical product category separate from medical devices that includes products currently regulated as IVDs as well as LDTs, among other provisions. The VALID Act would also create a new system for laboratories to use to submit their tests electronically to the FDA for approval, which is aimed at reducing the amount of time it would take for the agency to approve such tests, and establish a new program to expedite the development of diagnostic tests that can be used to address a current unmet need for patients.</w:t>
      </w:r>
    </w:p>
    <w:p>
      <w:pPr>
        <w:spacing w:after="0" w:line="15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Congress were to pass the VALID Act or any other legislation applicable to the FDA’s regulation of LDTs, we will likely be subject to increased regulatory burdens such as registration and listing requirements, adverse event reporting requirements and quality control requirements. Any legislation or formal FDA regulatory framework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outcome and ultimate impact on our business of any changes to the federal government’s regulation of LDTs is difficult to predict.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spacing w:after="0" w:line="150"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Furthermore, should it be required in the future, we cannot be sure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or any new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RADR test could be disruptive to our business.</w:t>
      </w:r>
    </w:p>
    <w:p>
      <w:pPr>
        <w:spacing w:after="0" w:line="12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As described further above, the FDA has long claimed authority to regulate LDTs but has exercised its enforcement discretion to limit enforcement of IVD regulatory requirements on this category of products. However, the FDA has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from time to time appeared to increase its attention to the marketing of pharmacogenetic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pharmacogenetic tests where the FDA believed the relationship between genetic variations and a medication’s effects had not been established, including a warning letter to Inova Genomics Laboratory. More recently, in April 2022, a safety communication from the FDA warned patients and providers about the risks of false results with genetic non-invasive prenatal screening tests, which it noted have not been authorized, cleared, or approved by the agency via one of the medical device premarket pathways.</w:t>
      </w:r>
    </w:p>
    <w:p>
      <w:pPr>
        <w:spacing w:after="0" w:line="156" w:lineRule="exact"/>
        <w:rPr>
          <w:sz w:val="20"/>
          <w:szCs w:val="20"/>
          <w:color w:val="auto"/>
        </w:rPr>
      </w:pPr>
    </w:p>
    <w:p>
      <w:pPr>
        <w:jc w:val="both"/>
        <w:ind w:right="40"/>
        <w:spacing w:after="0" w:line="223"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test, one of our pipeline programs we are currently developing in collaboration with QMUL, may be considered by FDA to be a pharmacogenetic test because it involves the analysis of total RNA expression data from an individual RA patient through an algorithm to predict the patient’s biological therapeutic response.</w:t>
      </w:r>
    </w:p>
    <w:p>
      <w:pPr>
        <w:spacing w:after="0" w:line="16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response to various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pharmacogenetics.” Although the announcement again asserted that some of pharmacogenetic test offerings may pose significant risks to patients, the agency also acknowledged that pharmacogenetic testing “offers promise for informing the selection or dosing of some medications for certain individuals.” In conjunction with the announcement, the FDA also released an updated “Table of Pharmacogenetic Associations,” which lists gene-drug interactions that the agency believes are supported by FDA-approved drug labeling and/or “sufficient scientific evidence based on published literature.” The table has been updated periodically since that time. While these developments may signal a positive shift in the FDA’s approach to regulating pharmacogenetic tests, we cannot predict with certainty the outcome of this matter or its timing, or whether FDA may object to the ultimate form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product candidate.</w:t>
      </w:r>
    </w:p>
    <w:p>
      <w:pPr>
        <w:spacing w:after="0" w:line="6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The FTC and/or state enforcement or regulatory agencies may object to the methods and materials we use to promote our tests and initiate enforcement against us, which could adversely affect our business and financial condition.</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4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Numerous federal, state and foreign laws and regulations, including HIPAA and the HITECH Act, govern the collection, dissemination, disclosure, security, use and confidentiality of individually identifiable health information health-related and other personal information. HIPAA and the HITECH Act require us to comply with standards for the use and disclosure of PHI within our company and with third-parties.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 Business Associates.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8" w:name="page59"/>
    <w:bookmarkEnd w:id="58"/>
    <w:p>
      <w:pPr>
        <w:ind w:right="140"/>
        <w:spacing w:after="0" w:line="243" w:lineRule="auto"/>
        <w:rPr>
          <w:sz w:val="20"/>
          <w:szCs w:val="20"/>
          <w:color w:val="auto"/>
        </w:rPr>
      </w:pPr>
      <w:r>
        <w:rPr>
          <w:rFonts w:ascii="Arial" w:cs="Arial" w:eastAsia="Arial" w:hAnsi="Arial"/>
          <w:sz w:val="18"/>
          <w:szCs w:val="18"/>
          <w:color w:val="auto"/>
        </w:rPr>
        <w:t>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spacing w:after="0" w:line="14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4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4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In the event that we are subject to or affected by HIPAA, the CCPA, the CPRA or other domestic privacy and data protection laws (for example Virginia's Consumer Data Protection Act and other similar laws that recently went into effect in Utah, Colorado and Connecticut), any liability from failure to comply with the requirements of these laws could adversely affect our financial condition.</w:t>
      </w:r>
    </w:p>
    <w:p>
      <w:pPr>
        <w:spacing w:after="0" w:line="16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Further, from January 1, 2021, companies have to comply with the GDPR and also the U.K. GDPR, which, together with the amended U.K. Data Protection Act 2018, retains the GDPR in U.K. national law. The U.K. GDPR mirrors the fines under the GDPR, i.e., fines up to the greater of € 20 million (£17.5 million) or 4% of global turnover.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w:t>
      </w:r>
    </w:p>
    <w:p>
      <w:pPr>
        <w:spacing w:after="0" w:line="169"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ind w:right="140"/>
        <w:spacing w:after="0" w:line="243" w:lineRule="auto"/>
        <w:rPr>
          <w:sz w:val="20"/>
          <w:szCs w:val="20"/>
          <w:color w:val="auto"/>
        </w:rPr>
      </w:pPr>
      <w:r>
        <w:rPr>
          <w:rFonts w:ascii="Arial" w:cs="Arial" w:eastAsia="Arial" w:hAnsi="Arial"/>
          <w:sz w:val="18"/>
          <w:szCs w:val="18"/>
          <w:color w:val="auto"/>
        </w:rPr>
        <w:t>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4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2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3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in foreign markets. We are not permitted to market or promote any of our testing products before we receive regulatory approval from applicable regulatory authorities in foreign markets, and we may never receive such regulatory approvals for any of our testing products.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obtain regulatory approval of our testing products and ultimately commercialize our testing products in foreign markets, we would be subject to additional risks and uncertainties, including:</w:t>
      </w:r>
    </w:p>
    <w:p>
      <w:pPr>
        <w:spacing w:after="0" w:line="1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IVDs in foreign countries;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5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1"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current conflict in Ukraine, or natural disasters which may be exacerbated due to climate change, including earthquakes, typhoons, floods and fires.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93"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ability to protect our technologies, such as CB-CAPs and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will be considered patentable or enforceable by the United States Patent and Trademark Office (the USPTO) courts in the United States, or by patent offices and courts in foreign countries. If we fail to</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0" w:name="page61"/>
    <w:bookmarkEnd w:id="60"/>
    <w:p>
      <w:pPr>
        <w:ind w:right="40"/>
        <w:spacing w:after="0" w:line="246" w:lineRule="auto"/>
        <w:rPr>
          <w:sz w:val="20"/>
          <w:szCs w:val="20"/>
          <w:color w:val="auto"/>
        </w:rPr>
      </w:pPr>
      <w:r>
        <w:rPr>
          <w:rFonts w:ascii="Arial" w:cs="Arial" w:eastAsia="Arial" w:hAnsi="Arial"/>
          <w:sz w:val="18"/>
          <w:szCs w:val="18"/>
          <w:color w:val="auto"/>
        </w:rPr>
        <w:t>protect our intellectual property, third parties may be able to compete more effectively against us and we may incur substantial litigation costs in our attempts to recover or restrict use of our intellectual property.</w:t>
      </w:r>
    </w:p>
    <w:p>
      <w:pPr>
        <w:spacing w:after="0" w:line="15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own or have an exclusive license to 11 issued U.S. patents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own one issued U.S. patent, three pending U.S. patent applications, a pending Patent Cooperation Treaty patent application and certain corresponding foreign counterpart patents and patent applications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17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6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p>
      <w:pPr>
        <w:ind w:right="580"/>
        <w:spacing w:after="0" w:line="22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62" w:name="page63"/>
    <w:bookmarkEnd w:id="62"/>
    <w:p>
      <w:pPr>
        <w:ind w:right="60"/>
        <w:spacing w:after="0" w:line="242"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4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3" w:name="page64"/>
    <w:bookmarkEnd w:id="63"/>
    <w:p>
      <w:pPr>
        <w:jc w:val="both"/>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0"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are licensed from UPitt. Our existing license agreements as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3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UPitt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40"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2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64" w:name="page65"/>
    <w:bookmarkEnd w:id="64"/>
    <w:p>
      <w:pPr>
        <w:ind w:right="480"/>
        <w:spacing w:after="0" w:line="246" w:lineRule="auto"/>
        <w:rPr>
          <w:sz w:val="20"/>
          <w:szCs w:val="20"/>
          <w:color w:val="auto"/>
        </w:rPr>
      </w:pPr>
      <w:r>
        <w:rPr>
          <w:rFonts w:ascii="Arial" w:cs="Arial" w:eastAsia="Arial" w:hAnsi="Arial"/>
          <w:sz w:val="18"/>
          <w:szCs w:val="18"/>
          <w:color w:val="auto"/>
        </w:rPr>
        <w:t>products. More established companies may have a competitive advantage over us due to their size, cash resources and greater clinical development and commercialization capabilities.</w:t>
      </w:r>
    </w:p>
    <w:p>
      <w:pPr>
        <w:spacing w:after="0" w:line="15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business, financial condition and prospects for growth could suffer.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93"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may give rise to claims of infringement of the patent rights of others.</w:t>
      </w:r>
    </w:p>
    <w:p>
      <w:pPr>
        <w:spacing w:after="0" w:line="148"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154"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5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technology.</w:t>
      </w:r>
    </w:p>
    <w:p>
      <w:pPr>
        <w:spacing w:after="0" w:line="5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1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p>
      <w:pPr>
        <w:jc w:val="both"/>
        <w:ind w:right="160"/>
        <w:spacing w:after="0" w:line="248" w:lineRule="auto"/>
        <w:rPr>
          <w:sz w:val="20"/>
          <w:szCs w:val="20"/>
          <w:color w:val="auto"/>
        </w:rPr>
      </w:pPr>
      <w:r>
        <w:rPr>
          <w:rFonts w:ascii="Arial" w:cs="Arial" w:eastAsia="Arial" w:hAnsi="Arial"/>
          <w:sz w:val="18"/>
          <w:szCs w:val="18"/>
          <w:color w:val="auto"/>
        </w:rPr>
        <w:t>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31"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5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4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15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6" w:name="page67"/>
    <w:bookmarkEnd w:id="66"/>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current conflict in Ukraine.</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6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4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addition, as of February 15, 2023, the holders of 1,277,220 shares of common stock and holders of warrants to purchase 409,108 shares of common stock are entitled to rights with respect to registration of such shares under the Securities Act pursuant to an investors’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4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22"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41" w:lineRule="exact"/>
        <w:rPr>
          <w:sz w:val="20"/>
          <w:szCs w:val="20"/>
          <w:color w:val="auto"/>
        </w:rPr>
      </w:pPr>
    </w:p>
    <w:p>
      <w:pPr>
        <w:ind w:left="660" w:right="100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7" w:name="page68"/>
    <w:bookmarkEnd w:id="67"/>
    <w:p>
      <w:pPr>
        <w:ind w:left="660" w:right="160" w:hanging="328"/>
        <w:spacing w:after="0" w:line="24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1"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56" w:lineRule="exact"/>
        <w:rPr>
          <w:rFonts w:ascii="Arial" w:cs="Arial" w:eastAsia="Arial" w:hAnsi="Arial"/>
          <w:sz w:val="18"/>
          <w:szCs w:val="18"/>
          <w:color w:val="auto"/>
        </w:rPr>
      </w:pPr>
    </w:p>
    <w:p>
      <w:pPr>
        <w:jc w:val="both"/>
        <w:ind w:left="660" w:right="6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57" w:lineRule="exact"/>
        <w:rPr>
          <w:rFonts w:ascii="Arial" w:cs="Arial" w:eastAsia="Arial" w:hAnsi="Arial"/>
          <w:sz w:val="18"/>
          <w:szCs w:val="18"/>
          <w:color w:val="auto"/>
        </w:rPr>
      </w:pPr>
    </w:p>
    <w:p>
      <w:pPr>
        <w:ind w:left="660" w:right="120" w:hanging="328"/>
        <w:spacing w:after="0" w:line="274"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34"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2"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30"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56" w:lineRule="exact"/>
        <w:rPr>
          <w:rFonts w:ascii="Arial" w:cs="Arial" w:eastAsia="Arial" w:hAnsi="Arial"/>
          <w:sz w:val="18"/>
          <w:szCs w:val="18"/>
          <w:color w:val="auto"/>
        </w:rPr>
      </w:pPr>
    </w:p>
    <w:p>
      <w:pPr>
        <w:ind w:left="660" w:right="10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40"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8" w:name="page69"/>
    <w:bookmarkEnd w:id="68"/>
    <w:p>
      <w:pPr>
        <w:ind w:right="102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3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Based on their most recent publicly filed beneficial ownership reports, our greater than 5% stockholders collectively own approximately 69% of our outstanding capital stock and our greater than 5% stockholders, directors and executive officers collectively own (without duplication) approximately 70% of our outstanding capital stock as of February 15, 2023.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3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0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9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Prior to our IPO, there had been no public market for our common stock. Our common stock began trading on the Nasdaq Global Market (Nasdaq) relatively recently,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During 2022, our average daily trading volume has been approximately 54,446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The Nasdaq Stock Market LLC could result in a delisting of our common stock.</w:t>
      </w:r>
    </w:p>
    <w:p>
      <w:pPr>
        <w:spacing w:after="0" w:line="10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2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9" w:name="page70"/>
    <w:bookmarkEnd w:id="69"/>
    <w:p>
      <w:pPr>
        <w:ind w:right="3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35"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may remain an emerging growth company until the last day of the fiscal year following the fifth anniversary of the completion of our initial public offering (IPO), or December 31, 2024. However, if certain events occur prior to the end of such five-year period, including if we become a “large accelerated filer,”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52" w:lineRule="exact"/>
        <w:rPr>
          <w:sz w:val="20"/>
          <w:szCs w:val="20"/>
          <w:color w:val="auto"/>
        </w:rPr>
      </w:pPr>
    </w:p>
    <w:p>
      <w:pPr>
        <w:ind w:left="660" w:right="300" w:hanging="328"/>
        <w:spacing w:after="0" w:line="24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141" w:lineRule="exact"/>
        <w:rPr>
          <w:rFonts w:ascii="Arial" w:cs="Arial" w:eastAsia="Arial" w:hAnsi="Arial"/>
          <w:sz w:val="18"/>
          <w:szCs w:val="18"/>
          <w:color w:val="auto"/>
        </w:rPr>
      </w:pPr>
    </w:p>
    <w:p>
      <w:pPr>
        <w:ind w:left="660" w:right="72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56" w:lineRule="exact"/>
        <w:rPr>
          <w:rFonts w:ascii="Arial" w:cs="Arial" w:eastAsia="Arial" w:hAnsi="Arial"/>
          <w:sz w:val="18"/>
          <w:szCs w:val="18"/>
          <w:color w:val="auto"/>
        </w:rPr>
      </w:pPr>
    </w:p>
    <w:p>
      <w:pPr>
        <w:ind w:left="660" w:right="26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5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5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compliance initiatives.</w:t>
      </w:r>
    </w:p>
    <w:p>
      <w:pPr>
        <w:spacing w:after="0" w:line="12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0" w:name="page71"/>
    <w:bookmarkEnd w:id="70"/>
    <w:p>
      <w:pPr>
        <w:ind w:right="20"/>
        <w:spacing w:after="0" w:line="25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testing products or services, and there is no assurance that any efforts to reduce costs or increase the prices of our testing products or services would be sufficient to offset these increased costs or any resulting decrease in our net income or increase in our net loss.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political instability, acts of war, including the current conflict in Ukraine,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25"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1" w:name="page72"/>
    <w:bookmarkEnd w:id="71"/>
    <w:p>
      <w:pPr>
        <w:spacing w:after="0" w:line="243"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Item 2. Properties.</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13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lease an additional approximately 19,500 square feet office space in Vista, California, under a lease that is co-terminus with our other lease expiring in 2027, with an option to extend the lease for an additional five-year period. We also lease an additional approximately 28,000 square feet office space in Carlsbad, California, under a sublease that is co-terminus with our other leases expiring in 2027. We believe that our current facilities are adequate for our current needs and that suitable additional alternative spaces will be available in the future on commercially reasonable terms, if required.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18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Items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right="500" w:firstLine="512"/>
        <w:spacing w:after="0" w:line="47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3"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As of March 16, 2023, there were approximately 36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have used all of the proceeds from our IPO primarily related to selling and marketing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incorporate CB-CAPs technology. Our goal is to enable healthcare providers to improve care for patients through the differential diagnosis, prognosis and monitoring of complex autoimmune and autoimmune-related diseases, including SLE and RA.</w:t>
      </w:r>
    </w:p>
    <w:p>
      <w:pPr>
        <w:spacing w:after="0" w:line="153"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We market our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84% and 81% of our revenue for the years ended December 31, 2022 and 2021,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41"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 foot laboratory, which is certified by CLIA and accredited by CAP, and located in Vista, California. Our laboratory is certified for performance of high-complexity testing by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40 territories in the United States. Unlike many diagnostic sales forces that are 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devoted substantially all of our efforts developing and marketing products for the diagnosis, prognosis and</w:t>
      </w:r>
    </w:p>
    <w:p>
      <w:pPr>
        <w:spacing w:after="0" w:line="234" w:lineRule="auto"/>
        <w:rPr>
          <w:sz w:val="20"/>
          <w:szCs w:val="20"/>
          <w:color w:val="auto"/>
        </w:rPr>
      </w:pPr>
      <w:r>
        <w:rPr>
          <w:rFonts w:ascii="Arial" w:cs="Arial" w:eastAsia="Arial" w:hAnsi="Arial"/>
          <w:sz w:val="18"/>
          <w:szCs w:val="18"/>
          <w:color w:val="auto"/>
        </w:rPr>
        <w:t>monitoring of autoimmune diseases. We have never been profitable and, as of December 31, 2022 we had an accumulated deficit of</w:t>
      </w:r>
    </w:p>
    <w:p>
      <w:pPr>
        <w:spacing w:after="0" w:line="235" w:lineRule="auto"/>
        <w:rPr>
          <w:sz w:val="20"/>
          <w:szCs w:val="20"/>
          <w:color w:val="auto"/>
        </w:rPr>
      </w:pPr>
      <w:r>
        <w:rPr>
          <w:rFonts w:ascii="Arial" w:cs="Arial" w:eastAsia="Arial" w:hAnsi="Arial"/>
          <w:sz w:val="18"/>
          <w:szCs w:val="18"/>
          <w:color w:val="auto"/>
        </w:rPr>
        <w:t>$255.5 million. We have funded our operations primarily through equity and debt financings and revenue from sales of our products.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incurred net losses of $47.4 million and $26.9 million for the years ended December 31, 2022 and 2021, respectively and we expect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continue to incur operating losses in the near term. We completed our initial public offering (IPO) in September 2019, raising net proceeds</w:t>
      </w:r>
    </w:p>
    <w:p>
      <w:pPr>
        <w:spacing w:after="0" w:line="234" w:lineRule="auto"/>
        <w:rPr>
          <w:sz w:val="20"/>
          <w:szCs w:val="20"/>
          <w:color w:val="auto"/>
        </w:rPr>
      </w:pPr>
      <w:r>
        <w:rPr>
          <w:rFonts w:ascii="Arial" w:cs="Arial" w:eastAsia="Arial" w:hAnsi="Arial"/>
          <w:sz w:val="18"/>
          <w:szCs w:val="18"/>
          <w:color w:val="auto"/>
        </w:rPr>
        <w:t>from the offering of approximately $50.4 million. In March 2021, we completed a public offering of shares of our common stock for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of approximately $64.7 million. As of December 31, 2022, we had $62.4 million of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w:t>
      </w:r>
    </w:p>
    <w:p>
      <w:pPr>
        <w:spacing w:after="0" w:line="180"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In October 2022, we appointed a new President and Chief Executive Officer of the Company (the Change in Management). In connection with the Change in Management, in the fourth quarter of 2022, we began to update our strategy and implement cost savings and other initiatives. We are continuing the process of evaluating our operations, test offerings, research and development pursuits and facilities footprint, among other aspects of our business strategy.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08" w:lineRule="exact"/>
        <w:rPr>
          <w:sz w:val="20"/>
          <w:szCs w:val="20"/>
          <w:color w:val="auto"/>
        </w:rPr>
      </w:pPr>
    </w:p>
    <w:p>
      <w:pPr>
        <w:ind w:left="660" w:right="120" w:hanging="328"/>
        <w:spacing w:after="0" w:line="242"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and Medicaid.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commercial payors, most of which have not contracted with us to be a participating provider. In addition to the challenges described under the heading "Financial Overview" below,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142" w:lineRule="exact"/>
        <w:rPr>
          <w:rFonts w:ascii="Arial" w:cs="Arial" w:eastAsia="Arial" w:hAnsi="Arial"/>
          <w:sz w:val="18"/>
          <w:szCs w:val="18"/>
          <w:color w:val="auto"/>
        </w:rPr>
      </w:pPr>
    </w:p>
    <w:p>
      <w:pPr>
        <w:ind w:left="660" w:right="80" w:hanging="328"/>
        <w:spacing w:after="0" w:line="223"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Growth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December 31, 2022,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approximately 750,000 of these tests. For the year ended December 31, 2022, 135,210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5% growth over the same period in 2021. The number of ordering healthcare providers in the fourth quarter of 2022 was a record 2,419, representing an approximate 14% increase over the same period in 2021. Revenue growth for our testing products will depend on our ability to continue to expand our base of ordering healthcare providers and increase our penetration with existing healthcare providers.</w:t>
      </w:r>
    </w:p>
    <w:p>
      <w:pPr>
        <w:spacing w:after="0" w:line="143" w:lineRule="exact"/>
        <w:rPr>
          <w:rFonts w:ascii="Arial" w:cs="Arial" w:eastAsia="Arial" w:hAnsi="Arial"/>
          <w:sz w:val="18"/>
          <w:szCs w:val="18"/>
          <w:color w:val="auto"/>
        </w:rPr>
      </w:pPr>
    </w:p>
    <w:p>
      <w:pPr>
        <w:ind w:left="660" w:hanging="328"/>
        <w:spacing w:after="0" w:line="233"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 efforts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revenue and $1.2 million in revenue for the years ended December 31, 2022 and 2021, respectively. We will continue to rely on our existing testing products to drive revenue growth.</w:t>
      </w:r>
    </w:p>
    <w:p>
      <w:pPr>
        <w:spacing w:after="0" w:line="125" w:lineRule="exact"/>
        <w:rPr>
          <w:rFonts w:ascii="Arial" w:cs="Arial" w:eastAsia="Arial" w:hAnsi="Arial"/>
          <w:sz w:val="18"/>
          <w:szCs w:val="18"/>
          <w:color w:val="auto"/>
        </w:rPr>
      </w:pPr>
    </w:p>
    <w:p>
      <w:pPr>
        <w:ind w:left="660" w:right="140" w:hanging="328"/>
        <w:spacing w:after="0" w:line="233"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Our success in developing new testing products will be important in our efforts to grow our business by expanding the potential market for our testing products and diversifying our sources of revenue.</w:t>
      </w:r>
    </w:p>
    <w:p>
      <w:pPr>
        <w:spacing w:after="0" w:line="125" w:lineRule="exact"/>
        <w:rPr>
          <w:rFonts w:ascii="Arial" w:cs="Arial" w:eastAsia="Arial" w:hAnsi="Arial"/>
          <w:sz w:val="18"/>
          <w:szCs w:val="18"/>
          <w:color w:val="auto"/>
        </w:rPr>
      </w:pPr>
    </w:p>
    <w:p>
      <w:pPr>
        <w:ind w:left="660" w:right="160" w:hanging="328"/>
        <w:spacing w:after="0" w:line="252"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seek to maintain meaningful margin through a continued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certain internal initiatives, such as leveraging validation, utility and reimbursement oriented clinical studies to facilitate payor coverage of our testing products. We plan to increase focus on long-term reimbursement and ASP growth and seek to improve our per test costs by focusing on profitable, core test offerings and reducing fixed costs and overhead.</w:t>
      </w:r>
    </w:p>
    <w:p>
      <w:pPr>
        <w:spacing w:after="0" w:line="116" w:lineRule="exact"/>
        <w:rPr>
          <w:rFonts w:ascii="Arial" w:cs="Arial" w:eastAsia="Arial" w:hAnsi="Arial"/>
          <w:sz w:val="18"/>
          <w:szCs w:val="18"/>
          <w:color w:val="auto"/>
        </w:rPr>
      </w:pPr>
    </w:p>
    <w:p>
      <w:pPr>
        <w:ind w:left="660" w:right="20" w:hanging="328"/>
        <w:spacing w:after="0" w:line="237"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130" w:lineRule="exact"/>
        <w:rPr>
          <w:rFonts w:ascii="Arial" w:cs="Arial" w:eastAsia="Arial" w:hAnsi="Arial"/>
          <w:sz w:val="18"/>
          <w:szCs w:val="18"/>
          <w:color w:val="auto"/>
        </w:rPr>
      </w:pPr>
    </w:p>
    <w:p>
      <w:pPr>
        <w:ind w:left="660" w:right="240" w:hanging="328"/>
        <w:spacing w:after="0" w:line="261"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using an estimate of the amount we will ultimately realize,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based on a historical analysis of amounts collected by test and by payor, among other factors. Changes to such estimates may increase or decrease revenue recognized in future periods.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6" w:name="page77"/>
    <w:bookmarkEnd w:id="76"/>
    <w:p>
      <w:pPr>
        <w:ind w:right="160"/>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January 2023, the Biden administration announced plans to end the national emergencies for addressing COVID-19 on May 11, 2023. The full extent to which the COVID-19 pandemic may directly or indirectly continue to impact our business, results of operations and financial condition remains dependent on future developments that are highly uncertain. We have implemented business continuity plans designed to address the COVID-19 pandemic and minimize disruptions to ongoing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1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December 2018, we entered into the Janssen Agreement, under which we were responsible for the costs associated with our sales force in promoting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In August 2021, we and Janssen mutually agreed to terminate the Janssen Agreement effective August 31, 2021. Pursuant to the terms of the termination, we were restricted from promoting any other biologic or Janus kinase inhibitor used for treatment of indications covered by the Janssen Agreement without first obtaining Janssen's written consent until May 31, 2022.</w:t>
      </w:r>
    </w:p>
    <w:p>
      <w:pPr>
        <w:spacing w:after="0" w:line="15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the year ended December 31, 2021, we recognized approximately $1.2 million in revenue for our promotional efforts under the Janssen Agreement. No revenue from the Janssen Agreement was recognized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Some of these factors include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80"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2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(e.g. insurance companies, health maintenance organizations, etc.),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6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43" w:lineRule="exact"/>
        <w:rPr>
          <w:sz w:val="20"/>
          <w:szCs w:val="20"/>
          <w:color w:val="auto"/>
        </w:rPr>
      </w:pPr>
    </w:p>
    <w:p>
      <w:pPr>
        <w:ind w:right="180"/>
        <w:spacing w:after="0" w:line="220" w:lineRule="auto"/>
        <w:rPr>
          <w:sz w:val="20"/>
          <w:szCs w:val="20"/>
          <w:color w:val="auto"/>
        </w:rPr>
      </w:pPr>
      <w:r>
        <w:rPr>
          <w:rFonts w:ascii="Arial" w:cs="Arial" w:eastAsia="Arial" w:hAnsi="Arial"/>
          <w:sz w:val="18"/>
          <w:szCs w:val="18"/>
          <w:color w:val="auto"/>
        </w:rPr>
        <w:t>In the quarter ended March 31, 2022, CMS agreed, effective April 1, 2022,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our MAC, priced this PLA code at $1,085 per test. To determine pricing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7" w:name="page78"/>
    <w:bookmarkEnd w:id="77"/>
    <w:p>
      <w:pPr>
        <w:ind w:right="120"/>
        <w:spacing w:after="0" w:line="230" w:lineRule="auto"/>
        <w:rPr>
          <w:sz w:val="20"/>
          <w:szCs w:val="20"/>
          <w:color w:val="auto"/>
        </w:rPr>
      </w:pPr>
      <w:r>
        <w:rPr>
          <w:rFonts w:ascii="Arial" w:cs="Arial" w:eastAsia="Arial" w:hAnsi="Arial"/>
          <w:sz w:val="18"/>
          <w:szCs w:val="18"/>
          <w:color w:val="auto"/>
        </w:rPr>
        <w:t>beyond 2022, CMS recommended crosswalking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(0312U) to Vectra (81490) at a rate of $840.65 per test. This pricing was finalized on the 2023 CLFS and is effective from January 1, 2023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55" w:lineRule="exact"/>
        <w:rPr>
          <w:sz w:val="20"/>
          <w:szCs w:val="20"/>
          <w:color w:val="auto"/>
        </w:rPr>
      </w:pPr>
    </w:p>
    <w:p>
      <w:pPr>
        <w:ind w:right="380"/>
        <w:spacing w:after="0" w:line="223" w:lineRule="auto"/>
        <w:rPr>
          <w:sz w:val="20"/>
          <w:szCs w:val="20"/>
          <w:color w:val="auto"/>
        </w:rPr>
      </w:pPr>
      <w:r>
        <w:rPr>
          <w:rFonts w:ascii="Arial" w:cs="Arial" w:eastAsia="Arial" w:hAnsi="Arial"/>
          <w:sz w:val="18"/>
          <w:szCs w:val="18"/>
          <w:color w:val="auto"/>
        </w:rPr>
        <w:t>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on July 29, 2022,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In the meantime, we will continue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w:t>
      </w:r>
    </w:p>
    <w:p>
      <w:pPr>
        <w:spacing w:after="0" w:line="7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face challenges relating to commercial payor claim processing and revenue. Now that we are billing under our PLA code, we are experiencing an increase in denials due to unfavorable medical policy with certain plans, and we expect this situation to persist.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1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costs of revenue will increase in the near-term as test volume increases.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4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expect that our selling, general and administrative expenses will decrease in the near-term as a result of cost saving initiatives which began in the fourth quarter of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4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expect that our research and development expenses will decrease in the near-term as a result of cost saving initiatives which began in the fourth quarter of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consistent in 2023 as compared to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r>
      <w:tr>
        <w:trPr>
          <w:trHeight w:val="197"/>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w:t>
            </w:r>
          </w:p>
        </w:tc>
      </w:tr>
      <w:tr>
        <w:trPr>
          <w:trHeight w:val="197"/>
        </w:trPr>
        <w:tc>
          <w:tcPr>
            <w:tcW w:w="682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52,018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44,541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7,477</w:t>
            </w:r>
          </w:p>
        </w:tc>
      </w:tr>
      <w:tr>
        <w:trPr>
          <w:trHeight w:val="208"/>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97"/>
        </w:trPr>
        <w:tc>
          <w:tcPr>
            <w:tcW w:w="682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r>
      <w:tr>
        <w:trPr>
          <w:trHeight w:val="202"/>
        </w:trPr>
        <w:tc>
          <w:tcPr>
            <w:tcW w:w="68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91,614</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19,248</w:t>
            </w:r>
          </w:p>
        </w:tc>
      </w:tr>
      <w:tr>
        <w:trPr>
          <w:trHeight w:val="190"/>
        </w:trPr>
        <w:tc>
          <w:tcPr>
            <w:tcW w:w="6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(46,051)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(24,067)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(21,984)</w:t>
            </w:r>
          </w:p>
        </w:tc>
      </w:tr>
      <w:tr>
        <w:trPr>
          <w:trHeight w:val="20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97"/>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r>
      <w:tr>
        <w:trPr>
          <w:trHeight w:val="20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(20,993)</w:t>
            </w:r>
          </w:p>
        </w:tc>
      </w:tr>
      <w:tr>
        <w:trPr>
          <w:trHeight w:val="19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r>
      <w:tr>
        <w:trPr>
          <w:trHeight w:val="22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Revenue decreased $ 2.7 million, or 5.7%, for the year ended December 31, 2022 compared to the year ended December 31, 2021, primarily due to the $1.2 million reduction of revenue from the Janssen Agreement and a decrease in ASP, partially offset by increases in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increased to 135,210 in the year ended December 31, 2022 compared to 128,246 tests delivered in the same 2021 period.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accounted for 84% and 81% of revenue for the years ended December 31, 2022 and 2021, respectively. The number of ordering healthcare providers increased to 2,419 for the three months ended December 31, 2022 compared to 2,126 in the same 2021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Costs of revenue increased $3.6 million, or 17.6%, for the year ended December 31, 2022 compared to the year ended December 31, 2021. This increase was primarily due to increases of $1.4 million in labor costs, $0.8 million in materials and supplies expenses, $0.6 million in shipping and handling costs associated with the increase in test volume and inflationary pressures in 2022 compared to 2021, and $0.6 million in overhead costs related to our expanded clinical laboratory. Gross margin as a percentage of revenue decreased to 46.9% for the year ended December 31, 2022, compared to 57.4% for the year ended December 31, 2021. This was primarily attributable to decreases in revenue and increased costs, as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Selling, general and administrative expenses increased $7.5 million, or 16.8%, for the year ended December 31, 2022 compared to the year ended December 31, 2021. This increase was primarily due to an increase of $4.5 million of personnel costs, including salaries, benefits, other reimbursable employee expenses and severance expenses, in addition to increases related to marketing expenses of $1.3 million, facilities and allocated overhead of $0.7 million, legal expenses of $0.6 million, professional service fees of $0.6 million, public company expenses of $0.2 million and third-party billing expenses of $0.2 million. These increases were partially offset by decreases in expenses related to employee bonuses of $1.0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9" w:name="page80"/>
    <w:bookmarkEnd w:id="79"/>
    <w:p>
      <w:pPr>
        <w:ind w:right="100"/>
        <w:spacing w:after="0" w:line="241" w:lineRule="auto"/>
        <w:rPr>
          <w:sz w:val="20"/>
          <w:szCs w:val="20"/>
          <w:color w:val="auto"/>
        </w:rPr>
      </w:pPr>
      <w:r>
        <w:rPr>
          <w:rFonts w:ascii="Arial" w:cs="Arial" w:eastAsia="Arial" w:hAnsi="Arial"/>
          <w:sz w:val="18"/>
          <w:szCs w:val="18"/>
          <w:color w:val="auto"/>
        </w:rPr>
        <w:t>Research and development expenses increased $2.6 million, or 36.5%, for the year ended December 31, 2022 compared to the year ended December 31, 2021. The increase was primarily due to an increase of $1.8 million of personnel costs, including salaries, benefits and severance expenses, increases related to lab supplies of $0.8 million, facilities and allocated overhead of 0.6 million and a long-lived assets impairment charge of $0.4 million. These increases were partially offset by decreases in expenses related to clinical studies of $0.6 million, collaboration expenses of $0.3 million and employee bonuses of $0.2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part of our annual goodwill impairment assessment in the fourth quarter of 2022, we determined that the sustained decrease in our market capitalization constituted an indicator of impairment and as a result, a quantitative goodwill impairment test was completed as of December 31, 2022. This analysis identified an impairment of $5.5 million related to our goodwill.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Interest expense decreased $0.2 million for the year ended December 31, 2022 compared to the year ended December 31, 2021 due to lower interest rates on the company's 2017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Interest income increased $0.8 million for the year ended December 31, 2022 compared to the year ended December 31, 2021 due to higher money market interest rates in 2022 compared to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Income tax expense increased $0.5 million for the year ended December 31, 2022 compared to the year ended December 31, 2021 due to a change from a deferred tax liability position to a deferred tax asset position related to indefinite-lived intangibles resulting from our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have incurred net losses since our inception. For the years ended December 31, 2022 and 2021, we incurred a net loss of $ 47.4 million and $26.9 million, respectively, and we expect to incur additional losses and increased operating expenses in future periods. As of December 31, 2022, we had an accumulated deficit of $255.5 million. To date, we have generated only limited revenue, and we may never achieve revenue sufficient to offset our expenses.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Since becoming public, our primary sources of capital have been cash inflows from product sales, sales of our common stock and, to a lesser extent, borrowings under our 2017 Term Loan.</w:t>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November 10, 2020, we filed a registration statement on Form S-3 (Shelf Registration Statement) covering the offering, from time to time, of up to $ 150.0 million of common stock, preferred stock, debt securities, warrants and units. In March 2021, we completed a public offering of shares of our common stock, which shares were sold under the Shelf Registration Statement. Net proceeds from the offering were approximately $64.7 million.</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and, as of December 31, 2022, the Company had not sold any shares of its common stock pursuant to the Sales Agreement.</w:t>
      </w:r>
    </w:p>
    <w:p>
      <w:pPr>
        <w:spacing w:after="0" w:line="14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of December 31, 2022, we had $62.4 million of cash and cash equivalents. Cash in excess of immediate requirements is invested in accordance with our investment policy, primarily with a view to liquidity and capital preservation. Currently, our funds are held in cash, money market funds and certificates of deposit.</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0" w:name="page81"/>
    <w:bookmarkEnd w:id="80"/>
    <w:p>
      <w:pPr>
        <w:ind w:right="200"/>
        <w:spacing w:after="0" w:line="246" w:lineRule="auto"/>
        <w:rPr>
          <w:sz w:val="20"/>
          <w:szCs w:val="20"/>
          <w:color w:val="auto"/>
        </w:rPr>
      </w:pPr>
      <w:r>
        <w:rPr>
          <w:rFonts w:ascii="Arial" w:cs="Arial" w:eastAsia="Arial" w:hAnsi="Arial"/>
          <w:sz w:val="18"/>
          <w:szCs w:val="18"/>
          <w:color w:val="auto"/>
        </w:rPr>
        <w:t>premium. The prepayment premium was 2% as of December 31, 2022 and decreases by 1% on each of November 1, 2023 and November 1, 2024.</w:t>
      </w:r>
    </w:p>
    <w:p>
      <w:pPr>
        <w:spacing w:after="0" w:line="1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(the performance covenant),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At December 31, 2022,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costs of revenue to increase as test volume increases. We expect selling, general and administrative expenses, and research and development expenses to decrease in the short-term as a result of cost saving initiatives which began in the fourth quarter of 2022.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and Note 5 to our audited financial statements included in this Annual Report on Form 10-K).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5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30" w:lineRule="exact"/>
        <w:rPr>
          <w:sz w:val="20"/>
          <w:szCs w:val="20"/>
          <w:color w:val="auto"/>
        </w:rPr>
      </w:pPr>
    </w:p>
    <w:p>
      <w:pPr>
        <w:ind w:left="660" w:right="380" w:hanging="328"/>
        <w:spacing w:after="0" w:line="246" w:lineRule="auto"/>
        <w:tabs>
          <w:tab w:leader="none" w:pos="655"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45" w:lineRule="exact"/>
        <w:rPr>
          <w:rFonts w:ascii="Arial" w:cs="Arial" w:eastAsia="Arial" w:hAnsi="Arial"/>
          <w:sz w:val="18"/>
          <w:szCs w:val="18"/>
          <w:b w:val="1"/>
          <w:bCs w:val="1"/>
          <w:color w:val="auto"/>
        </w:rPr>
      </w:pPr>
    </w:p>
    <w:p>
      <w:pPr>
        <w:ind w:left="660" w:right="80" w:hanging="328"/>
        <w:spacing w:after="0" w:line="21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14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157" w:lineRule="exact"/>
        <w:rPr>
          <w:rFonts w:ascii="Arial" w:cs="Arial" w:eastAsia="Arial" w:hAnsi="Arial"/>
          <w:sz w:val="18"/>
          <w:szCs w:val="18"/>
          <w:b w:val="1"/>
          <w:bCs w:val="1"/>
          <w:color w:val="auto"/>
        </w:rPr>
      </w:pPr>
    </w:p>
    <w:p>
      <w:pPr>
        <w:ind w:left="660" w:right="160" w:hanging="328"/>
        <w:spacing w:after="0" w:line="261" w:lineRule="auto"/>
        <w:tabs>
          <w:tab w:leader="none" w:pos="65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 and</w:t>
      </w:r>
    </w:p>
    <w:p>
      <w:pPr>
        <w:spacing w:after="0" w:line="130" w:lineRule="exact"/>
        <w:rPr>
          <w:rFonts w:ascii="Arial" w:cs="Arial" w:eastAsia="Arial" w:hAnsi="Arial"/>
          <w:sz w:val="18"/>
          <w:szCs w:val="18"/>
          <w:b w:val="1"/>
          <w:bCs w:val="1"/>
          <w:color w:val="auto"/>
        </w:rPr>
      </w:pPr>
    </w:p>
    <w:p>
      <w:pPr>
        <w:ind w:left="660" w:right="140" w:hanging="328"/>
        <w:spacing w:after="0" w:line="246" w:lineRule="auto"/>
        <w:tabs>
          <w:tab w:leader="none" w:pos="65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1" w:name="page82"/>
    <w:bookmarkEnd w:id="81"/>
    <w:p>
      <w:pPr>
        <w:ind w:right="80"/>
        <w:spacing w:after="0"/>
        <w:rPr>
          <w:sz w:val="20"/>
          <w:szCs w:val="20"/>
          <w:color w:val="auto"/>
        </w:rPr>
      </w:pPr>
      <w:r>
        <w:rPr>
          <w:rFonts w:ascii="Arial" w:cs="Arial" w:eastAsia="Arial" w:hAnsi="Arial"/>
          <w:sz w:val="18"/>
          <w:szCs w:val="18"/>
          <w:color w:val="auto"/>
        </w:rPr>
        <w:t>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December 31,</w:t>
            </w:r>
          </w:p>
        </w:tc>
      </w:tr>
      <w:tr>
        <w:trPr>
          <w:trHeight w:val="195"/>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826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(32,144)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(20,269)</w:t>
            </w:r>
          </w:p>
        </w:tc>
      </w:tr>
      <w:tr>
        <w:trPr>
          <w:trHeight w:val="209"/>
        </w:trPr>
        <w:tc>
          <w:tcPr>
            <w:tcW w:w="8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r>
      <w:tr>
        <w:trPr>
          <w:trHeight w:val="196"/>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64,683</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0"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Net cash used in operating activities for the year ended December 31, 2022 was $32.1 million and primarily resulted from (i) our net loss of $47.4 million adjusted for non-cash charges of $13.5 million primarily related to impairment of our goodwill, stock-based compensation, depreciation, amortization, non-cash lease expenses, non-cash interest and deferred income taxes and (ii) changes in our net operating assets of $ 1.7 million primarily related to net increases in accounts receivable and net decreases in accounts payable, partially offset by net decreases in prepaid expenses and other current assets and net increases in accrued liabilities and other current liabilities.</w:t>
      </w:r>
    </w:p>
    <w:p>
      <w:pPr>
        <w:spacing w:after="0" w:line="14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Net cash used in operating activities for the year ended December 31, 2021 was $20.3 million and primarily resulted from (i) our net loss of $26.9 million adjusted for non-cash charges of $6.6 million related to stock-based compensation, depreciation, amortization, non-cash interest and deferred income taxes and (ii) changes in our net operating assets of $ 0.1 million primarily related to net increases in accounts receivable and net decreases in accounts payable, partially offset by net decreases in prepaid expenses and other current assets and net increases in accrued liabilities and other current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Net cash used in investing activities for the year ended December 31, 2022 and 2021 was $4.3 million and $2.4 million, respectively, and was primarily due to net purchases of property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0"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Net cash used in financing activities for the year ended December 31, 2022 was $0.5 million, primarily consisting of principal payments on finance lease obligations and payment of taxes on vested restricted stock units, partially offset by the proceeds from the Exagen Inc. 2019 Employee Stock Purchase Plan (the ESPP) purchases.</w:t>
      </w:r>
    </w:p>
    <w:p>
      <w:pPr>
        <w:spacing w:after="0" w:line="141"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was $64.7 million and primarily resulted from the net proceeds received from our public offering in March 2021 of $64.7 million and proceeds from the ESPP purchases, partially offset by principal payments on finance lease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accounting principles generally accepted in United States of America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ind w:right="60"/>
        <w:spacing w:after="0" w:line="241" w:lineRule="auto"/>
        <w:rPr>
          <w:sz w:val="20"/>
          <w:szCs w:val="20"/>
          <w:color w:val="auto"/>
        </w:rPr>
      </w:pPr>
      <w:r>
        <w:rPr>
          <w:rFonts w:ascii="Arial" w:cs="Arial" w:eastAsia="Arial" w:hAnsi="Arial"/>
          <w:sz w:val="18"/>
          <w:szCs w:val="18"/>
          <w:color w:val="auto"/>
        </w:rPr>
        <w:t>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the following accounting policies are the most critical to us, in that they require our most difficult, subjective or complex judgments in the preparation of our financial statements. For further information, see Note 2, Summary of Significant Accounting Policies, to our Financial Statements, which outlines our application of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commercial payors, government payors (primarily Medicare and Medicaid), client payors (e.g. hospitals, other laboratories, etc.) and patient self-pays.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are recorded upon settlement. The transaction price is estimated using an expected value method on a portfolio basis. Our portfolios are grouped per payor (e.g. each individual third-party insurance, Medicare, Medicaid, client payors, patient self-pay, etc.) and per test basis.</w:t>
      </w:r>
    </w:p>
    <w:p>
      <w:pPr>
        <w:spacing w:after="0" w:line="1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130"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judgements underlying estimated collections change, our financial results could be impacted in future periods. Included in revenues for the years ended December 31, 2022 and 2021 was a net revenue decrease of $2.4 million and a net revenue increase of $0.7 million, respectively, associated with changes in estimated variable consideration related to performance obligations satisfied in previous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driven by our forecast of future revenue, using discount rates commensurate with the risks involved in the assets and observed market multiples of operating cash flows. Our stock price and associated market capitalization is also considered in the determination of reporting unit fair value. A prolonged or significant decline in our share price could provide evidence of a need to record a material impairment to goodwill. We are required to recognize an impairment charge if the carrying amount of the reporting unit exceeds its fair value.</w:t>
      </w:r>
    </w:p>
    <w:p>
      <w:pPr>
        <w:spacing w:after="0" w:line="149"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The judgments and estimates involved in identifying and quantifying the impairment of goodwill involve inherent uncertainties, and the measurement of the fair value is dependent on the accuracy of the assumptions used in making the estimates and how those estimates compare to our future operating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recorded stock-based compensation expense of approximately $4.7 million for each of the years ended December 31, 2022 and 2021, respectively. We expect to continue to grant stock options, restricted stock units and other equity-based awards in the future and to the extent that we do, our stock-based compensation expense recognized in future periods will likely increase. For stock options and purchase rights granted under the ESPP,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3" w:name="page84"/>
    <w:bookmarkEnd w:id="83"/>
    <w:p>
      <w:pPr>
        <w:spacing w:after="0" w:line="246" w:lineRule="auto"/>
        <w:rPr>
          <w:sz w:val="20"/>
          <w:szCs w:val="20"/>
          <w:color w:val="auto"/>
        </w:rPr>
      </w:pPr>
      <w:r>
        <w:rPr>
          <w:rFonts w:ascii="Arial" w:cs="Arial" w:eastAsia="Arial" w:hAnsi="Arial"/>
          <w:sz w:val="18"/>
          <w:szCs w:val="18"/>
          <w:color w:val="auto"/>
        </w:rPr>
        <w:t>estimate the grant date fair value using the Black-Scholes option-pricing valuation model. For RSUs, we use the closing price of our common stock on the date of grant to determine the fair value.</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 2 and Note 8 to our audited financial statements in this Annual Report on Form 10-K for information concerning certain of the specific assumptions we used in applying the Black-Scholes option pricing model to determine the estimated fair value of our stock options granted and purchases under our ESPP rights in the years ended December 31, 2022 and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Statements-Note 2-Recent Accounting Pronouncements" of our annual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 on Form 10-K.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4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2022, our disclosure controls and procedures were not effective to ensure that the information required to be disclosed by us in reports that we file or submit under the Exchange Act is recorded, processed, summarized and reported within the time periods specified in the SEC’s rules and forms, due to the material weakness in our internal control over financial reporting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6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5" w:name="page86"/>
    <w:bookmarkEnd w:id="85"/>
    <w:p>
      <w:pPr>
        <w:ind w:right="20"/>
        <w:spacing w:after="0" w:line="248" w:lineRule="auto"/>
        <w:rPr>
          <w:sz w:val="20"/>
          <w:szCs w:val="20"/>
          <w:color w:val="auto"/>
        </w:rPr>
      </w:pPr>
      <w:r>
        <w:rPr>
          <w:rFonts w:ascii="Arial" w:cs="Arial" w:eastAsia="Arial" w:hAnsi="Arial"/>
          <w:sz w:val="18"/>
          <w:szCs w:val="18"/>
          <w:color w:val="auto"/>
        </w:rPr>
        <w:t>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4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concluded that these were material errors in the financial statements requiring a restatement of the Form 10-Q for the three and six months ended June 30, 2022.</w:t>
      </w:r>
    </w:p>
    <w:p>
      <w:pPr>
        <w:spacing w:after="0" w:line="156"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 xml:space="preserve">Accordingly, management has determined that this control deficiency constituted a material weakness and, as a result, management has concluded that, as of December 31, 2022, our internal control over financial reporting was not effective based on the criteria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Integrated Framework (2013) </w:t>
      </w:r>
      <w:r>
        <w:rPr>
          <w:rFonts w:ascii="Arial" w:cs="Arial" w:eastAsia="Arial" w:hAnsi="Arial"/>
          <w:sz w:val="17"/>
          <w:szCs w:val="17"/>
          <w:color w:val="auto"/>
        </w:rPr>
        <w:t>issued by the Committee of Sponsoring Organizations (COSO) of the Treadway Commission.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Based on that evaluation, our principal executive officer and principal financial officer concluded that our disclosure controls and procedures were not effective to ensure that the information required to be disclosed by us in reports that we file or submit under the Exchange Act is recorded, processed, summarized and reported within the time periods specified in the SEC’s rules and 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to Address the Material Weaknesses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Management is actively engaged in the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 The weakness will not be considered remediated, however, until the applicable controls operate for a sufficient period of time and management has concluded, through testing, that these controls are operating effectively.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Other than the material weakness discussed above, there have been no changes in our internal control over financial reporting during the three months ended December 31, 2022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9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70" w:right="479" w:bottom="1440" w:gutter="0" w:footer="0" w:header="0"/>
        </w:sectPr>
      </w:pPr>
    </w:p>
    <w:bookmarkStart w:id="86" w:name="page87"/>
    <w:bookmarkEnd w:id="86"/>
    <w:p>
      <w:pPr>
        <w:ind w:left="4460"/>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9" w:lineRule="exact"/>
        <w:rPr>
          <w:sz w:val="20"/>
          <w:szCs w:val="20"/>
          <w:color w:val="auto"/>
        </w:rPr>
      </w:pPr>
    </w:p>
    <w:p>
      <w:pPr>
        <w:jc w:val="right"/>
        <w:ind w:right="117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BDO USA, LLP, San Diego, California, PCAOB ID #243.</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9" w:right="459" w:bottom="1440" w:gutter="0" w:footer="0" w:header="0"/>
        </w:sectPr>
      </w:pPr>
    </w:p>
    <w:bookmarkStart w:id="88" w:name="page89"/>
    <w:bookmarkEnd w:id="88"/>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Exhibits</w:t>
      </w:r>
    </w:p>
    <w:p>
      <w:pPr>
        <w:spacing w:after="0" w:line="18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on Form 10-K and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All financial statements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statements of Exagen Inc., together with the report thereon of BDO USA, LLP, an independent registered public accounting firm, are included in this Annual Report on Form 10-K beginning on page F-2.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schedules</w:t>
      </w:r>
    </w:p>
    <w:p>
      <w:pPr>
        <w:spacing w:after="0" w:line="18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Item 16. 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29" w:right="7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80" w:type="dxa"/>
            <w:vAlign w:val="bottom"/>
            <w:gridSpan w:val="3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80" w:type="dxa"/>
            <w:vAlign w:val="bottom"/>
            <w:tcBorders>
              <w:bottom w:val="single" w:sz="8" w:color="auto"/>
            </w:tcBorders>
            <w:gridSpan w:val="39"/>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80" w:type="dxa"/>
            <w:vAlign w:val="bottom"/>
            <w:gridSpan w:val="39"/>
          </w:tcPr>
          <w:p>
            <w:pPr>
              <w:spacing w:after="0" w:line="155" w:lineRule="exact"/>
              <w:rPr>
                <w:rFonts w:ascii="Arial" w:cs="Arial" w:eastAsia="Arial" w:hAnsi="Arial"/>
                <w:sz w:val="14"/>
                <w:szCs w:val="14"/>
                <w:color w:val="0000FF"/>
              </w:rPr>
            </w:pPr>
            <w:hyperlink r:id="rId102">
              <w:r>
                <w:rPr>
                  <w:rFonts w:ascii="Arial" w:cs="Arial" w:eastAsia="Arial" w:hAnsi="Arial"/>
                  <w:sz w:val="14"/>
                  <w:szCs w:val="14"/>
                  <w:color w:val="0000FF"/>
                </w:rPr>
                <w:t>Amended and Restated Certificate of</w:t>
              </w:r>
            </w:hyperlink>
          </w:p>
        </w:tc>
        <w:tc>
          <w:tcPr>
            <w:tcW w:w="760" w:type="dxa"/>
            <w:vAlign w:val="bottom"/>
            <w:vMerge w:val="restart"/>
          </w:tcPr>
          <w:p>
            <w:pPr>
              <w:jc w:val="center"/>
              <w:ind w:lef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02">
              <w:r>
                <w:rPr>
                  <w:rFonts w:ascii="Arial" w:cs="Arial" w:eastAsia="Arial" w:hAnsi="Arial"/>
                  <w:sz w:val="14"/>
                  <w:szCs w:val="14"/>
                  <w:color w:val="0000FF"/>
                </w:rPr>
                <w:t>Incorporation.</w:t>
              </w:r>
            </w:hyperlink>
          </w:p>
        </w:tc>
        <w:tc>
          <w:tcPr>
            <w:tcW w:w="148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80" w:type="dxa"/>
            <w:vAlign w:val="bottom"/>
            <w:gridSpan w:val="39"/>
          </w:tcPr>
          <w:p>
            <w:pPr>
              <w:spacing w:after="0"/>
              <w:rPr>
                <w:rFonts w:ascii="Arial" w:cs="Arial" w:eastAsia="Arial" w:hAnsi="Arial"/>
                <w:sz w:val="14"/>
                <w:szCs w:val="14"/>
                <w:color w:val="0000FF"/>
              </w:rPr>
            </w:pPr>
            <w:hyperlink r:id="rId103">
              <w:r>
                <w:rPr>
                  <w:rFonts w:ascii="Arial" w:cs="Arial" w:eastAsia="Arial" w:hAnsi="Arial"/>
                  <w:sz w:val="14"/>
                  <w:szCs w:val="14"/>
                  <w:color w:val="0000FF"/>
                </w:rPr>
                <w:t>Amended and Restated Bylaws.</w:t>
              </w:r>
            </w:hyperlink>
          </w:p>
        </w:tc>
        <w:tc>
          <w:tcPr>
            <w:tcW w:w="760" w:type="dxa"/>
            <w:vAlign w:val="bottom"/>
          </w:tcPr>
          <w:p>
            <w:pPr>
              <w:jc w:val="center"/>
              <w:ind w:left="2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3.3</w:t>
            </w:r>
          </w:p>
        </w:tc>
        <w:tc>
          <w:tcPr>
            <w:tcW w:w="3180" w:type="dxa"/>
            <w:vAlign w:val="bottom"/>
            <w:gridSpan w:val="39"/>
          </w:tcPr>
          <w:p>
            <w:pPr>
              <w:spacing w:after="0"/>
              <w:rPr>
                <w:rFonts w:ascii="Arial" w:cs="Arial" w:eastAsia="Arial" w:hAnsi="Arial"/>
                <w:sz w:val="14"/>
                <w:szCs w:val="14"/>
                <w:color w:val="0000FF"/>
              </w:rPr>
            </w:pPr>
            <w:hyperlink r:id="rId104">
              <w:r>
                <w:rPr>
                  <w:rFonts w:ascii="Arial" w:cs="Arial" w:eastAsia="Arial" w:hAnsi="Arial"/>
                  <w:sz w:val="14"/>
                  <w:szCs w:val="14"/>
                  <w:color w:val="0000FF"/>
                </w:rPr>
                <w:t>Amended and Restated Bylaws, dated January</w:t>
              </w:r>
            </w:hyperlink>
          </w:p>
        </w:tc>
        <w:tc>
          <w:tcPr>
            <w:tcW w:w="760" w:type="dxa"/>
            <w:vAlign w:val="bottom"/>
            <w:vMerge w:val="restart"/>
          </w:tcPr>
          <w:p>
            <w:pPr>
              <w:jc w:val="center"/>
              <w:ind w:lef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60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9"/>
              </w:rPr>
            </w:pPr>
            <w:hyperlink r:id="rId104">
              <w:r>
                <w:rPr>
                  <w:rFonts w:ascii="Arial" w:cs="Arial" w:eastAsia="Arial" w:hAnsi="Arial"/>
                  <w:sz w:val="14"/>
                  <w:szCs w:val="14"/>
                  <w:color w:val="0000FF"/>
                  <w:w w:val="99"/>
                </w:rPr>
                <w:t>19, 2023.</w:t>
              </w:r>
            </w:hyperlink>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80" w:type="dxa"/>
            <w:vAlign w:val="bottom"/>
            <w:tcBorders>
              <w:bottom w:val="single" w:sz="8" w:color="0000FF"/>
            </w:tcBorders>
            <w:gridSpan w:val="39"/>
          </w:tcPr>
          <w:p>
            <w:pPr>
              <w:spacing w:after="0"/>
              <w:rPr>
                <w:rFonts w:ascii="Arial" w:cs="Arial" w:eastAsia="Arial" w:hAnsi="Arial"/>
                <w:sz w:val="14"/>
                <w:szCs w:val="14"/>
                <w:color w:val="0000FF"/>
              </w:rPr>
            </w:pPr>
            <w:hyperlink r:id="rId105">
              <w:r>
                <w:rPr>
                  <w:rFonts w:ascii="Arial" w:cs="Arial" w:eastAsia="Arial" w:hAnsi="Arial"/>
                  <w:sz w:val="14"/>
                  <w:szCs w:val="14"/>
                  <w:color w:val="0000FF"/>
                </w:rPr>
                <w:t>Specimen stock certificate evidencing the shares</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180" w:type="dxa"/>
            <w:vAlign w:val="bottom"/>
            <w:gridSpan w:val="39"/>
          </w:tcPr>
          <w:p>
            <w:pPr>
              <w:spacing w:after="0" w:line="129" w:lineRule="exact"/>
              <w:rPr>
                <w:rFonts w:ascii="Arial" w:cs="Arial" w:eastAsia="Arial" w:hAnsi="Arial"/>
                <w:sz w:val="14"/>
                <w:szCs w:val="14"/>
                <w:color w:val="0000FF"/>
              </w:rPr>
            </w:pPr>
            <w:hyperlink r:id="rId105">
              <w:r>
                <w:rPr>
                  <w:rFonts w:ascii="Arial" w:cs="Arial" w:eastAsia="Arial" w:hAnsi="Arial"/>
                  <w:sz w:val="14"/>
                  <w:szCs w:val="14"/>
                  <w:color w:val="0000FF"/>
                </w:rPr>
                <w:t>of common stock.</w:t>
              </w:r>
            </w:hyperlink>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80" w:type="dxa"/>
            <w:vAlign w:val="bottom"/>
            <w:gridSpan w:val="39"/>
          </w:tcPr>
          <w:p>
            <w:pPr>
              <w:spacing w:after="0"/>
              <w:rPr>
                <w:rFonts w:ascii="Arial" w:cs="Arial" w:eastAsia="Arial" w:hAnsi="Arial"/>
                <w:sz w:val="14"/>
                <w:szCs w:val="14"/>
                <w:color w:val="0000FF"/>
              </w:rPr>
            </w:pPr>
            <w:hyperlink r:id="rId106">
              <w:r>
                <w:rPr>
                  <w:rFonts w:ascii="Arial" w:cs="Arial" w:eastAsia="Arial" w:hAnsi="Arial"/>
                  <w:sz w:val="14"/>
                  <w:szCs w:val="14"/>
                  <w:color w:val="0000FF"/>
                </w:rPr>
                <w:t>Amended and Restated Investors’ Rights</w:t>
              </w:r>
            </w:hyperlink>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06">
              <w:r>
                <w:rPr>
                  <w:rFonts w:ascii="Arial" w:cs="Arial" w:eastAsia="Arial" w:hAnsi="Arial"/>
                  <w:sz w:val="14"/>
                  <w:szCs w:val="14"/>
                  <w:color w:val="0000FF"/>
                </w:rPr>
                <w:t>Agreement, dated July 12, 2019, by and</w:t>
              </w:r>
            </w:hyperlink>
          </w:p>
        </w:tc>
        <w:tc>
          <w:tcPr>
            <w:tcW w:w="580" w:type="dxa"/>
            <w:vAlign w:val="bottom"/>
            <w:gridSpan w:val="22"/>
          </w:tcPr>
          <w:p>
            <w:pPr>
              <w:spacing w:after="0" w:line="129" w:lineRule="exact"/>
              <w:rPr>
                <w:rFonts w:ascii="Arial" w:cs="Arial" w:eastAsia="Arial" w:hAnsi="Arial"/>
                <w:sz w:val="14"/>
                <w:szCs w:val="14"/>
                <w:color w:val="0000FF"/>
              </w:rPr>
            </w:pPr>
            <w:hyperlink r:id="rId106">
              <w:r>
                <w:rPr>
                  <w:rFonts w:ascii="Arial" w:cs="Arial" w:eastAsia="Arial" w:hAnsi="Arial"/>
                  <w:sz w:val="14"/>
                  <w:szCs w:val="14"/>
                  <w:color w:val="0000FF"/>
                </w:rPr>
                <w:t>among</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106">
              <w:r>
                <w:rPr>
                  <w:rFonts w:ascii="Arial" w:cs="Arial" w:eastAsia="Arial" w:hAnsi="Arial"/>
                  <w:sz w:val="13"/>
                  <w:szCs w:val="13"/>
                  <w:color w:val="0000FF"/>
                </w:rPr>
                <w:t>the Company and certain of its stockholders.</w:t>
              </w:r>
            </w:hyperlink>
          </w:p>
        </w:tc>
        <w:tc>
          <w:tcPr>
            <w:tcW w:w="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20" w:type="dxa"/>
            <w:vAlign w:val="bottom"/>
            <w:tcBorders>
              <w:bottom w:val="single" w:sz="8" w:color="0000FF"/>
            </w:tcBorders>
            <w:gridSpan w:val="14"/>
          </w:tcPr>
          <w:p>
            <w:pPr>
              <w:spacing w:after="0"/>
              <w:rPr>
                <w:rFonts w:ascii="Arial" w:cs="Arial" w:eastAsia="Arial" w:hAnsi="Arial"/>
                <w:sz w:val="14"/>
                <w:szCs w:val="14"/>
                <w:color w:val="0000FF"/>
              </w:rPr>
            </w:pPr>
            <w:hyperlink r:id="rId107">
              <w:r>
                <w:rPr>
                  <w:rFonts w:ascii="Arial" w:cs="Arial" w:eastAsia="Arial" w:hAnsi="Arial"/>
                  <w:sz w:val="14"/>
                  <w:szCs w:val="14"/>
                  <w:color w:val="0000FF"/>
                </w:rPr>
                <w:t>Amended and Restated Stockholders'</w:t>
              </w:r>
            </w:hyperlink>
          </w:p>
        </w:tc>
        <w:tc>
          <w:tcPr>
            <w:tcW w:w="760" w:type="dxa"/>
            <w:vAlign w:val="bottom"/>
            <w:gridSpan w:val="25"/>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80" w:type="dxa"/>
            <w:vAlign w:val="bottom"/>
            <w:gridSpan w:val="39"/>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Agreement, dated July 12, 2019, by and among</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107">
              <w:r>
                <w:rPr>
                  <w:rFonts w:ascii="Arial" w:cs="Arial" w:eastAsia="Arial" w:hAnsi="Arial"/>
                  <w:sz w:val="13"/>
                  <w:szCs w:val="13"/>
                  <w:color w:val="0000FF"/>
                </w:rPr>
                <w:t>the Company and certain of its stockholders.</w:t>
              </w:r>
            </w:hyperlink>
          </w:p>
        </w:tc>
        <w:tc>
          <w:tcPr>
            <w:tcW w:w="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80" w:type="dxa"/>
            <w:vAlign w:val="bottom"/>
            <w:gridSpan w:val="39"/>
          </w:tcPr>
          <w:p>
            <w:pPr>
              <w:spacing w:after="0"/>
              <w:rPr>
                <w:rFonts w:ascii="Arial" w:cs="Arial" w:eastAsia="Arial" w:hAnsi="Arial"/>
                <w:sz w:val="14"/>
                <w:szCs w:val="14"/>
                <w:color w:val="0000FF"/>
              </w:rPr>
            </w:pPr>
            <w:hyperlink r:id="rId108">
              <w:r>
                <w:rPr>
                  <w:rFonts w:ascii="Arial" w:cs="Arial" w:eastAsia="Arial" w:hAnsi="Arial"/>
                  <w:sz w:val="14"/>
                  <w:szCs w:val="14"/>
                  <w:color w:val="0000FF"/>
                </w:rPr>
                <w:t>Form of Common Stock Purchase Warrant</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08">
              <w:r>
                <w:rPr>
                  <w:rFonts w:ascii="Arial" w:cs="Arial" w:eastAsia="Arial" w:hAnsi="Arial"/>
                  <w:sz w:val="14"/>
                  <w:szCs w:val="14"/>
                  <w:color w:val="0000FF"/>
                </w:rPr>
                <w:t>issued to investors by the Company in</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00" w:type="dxa"/>
            <w:vAlign w:val="bottom"/>
            <w:tcBorders>
              <w:bottom w:val="single" w:sz="8" w:color="0000FF"/>
            </w:tcBorders>
            <w:gridSpan w:val="25"/>
          </w:tcPr>
          <w:p>
            <w:pPr>
              <w:spacing w:after="0" w:line="115" w:lineRule="exact"/>
              <w:rPr>
                <w:rFonts w:ascii="Arial" w:cs="Arial" w:eastAsia="Arial" w:hAnsi="Arial"/>
                <w:sz w:val="13"/>
                <w:szCs w:val="13"/>
                <w:color w:val="0000FF"/>
              </w:rPr>
            </w:pPr>
            <w:hyperlink r:id="rId108">
              <w:r>
                <w:rPr>
                  <w:rFonts w:ascii="Arial" w:cs="Arial" w:eastAsia="Arial" w:hAnsi="Arial"/>
                  <w:sz w:val="13"/>
                  <w:szCs w:val="13"/>
                  <w:color w:val="0000FF"/>
                </w:rPr>
                <w:t>connection with private placement financings.</w:t>
              </w:r>
            </w:hyperlink>
          </w:p>
        </w:tc>
        <w:tc>
          <w:tcPr>
            <w:tcW w:w="280" w:type="dxa"/>
            <w:vAlign w:val="bottom"/>
            <w:gridSpan w:val="14"/>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bottom w:val="single" w:sz="8" w:color="0000FF"/>
            </w:tcBorders>
            <w:gridSpan w:val="24"/>
          </w:tcPr>
          <w:p>
            <w:pPr>
              <w:spacing w:after="0"/>
              <w:rPr>
                <w:rFonts w:ascii="Arial" w:cs="Arial" w:eastAsia="Arial" w:hAnsi="Arial"/>
                <w:sz w:val="14"/>
                <w:szCs w:val="14"/>
                <w:color w:val="0000FF"/>
              </w:rPr>
            </w:pPr>
            <w:hyperlink r:id="rId109">
              <w:r>
                <w:rPr>
                  <w:rFonts w:ascii="Arial" w:cs="Arial" w:eastAsia="Arial" w:hAnsi="Arial"/>
                  <w:sz w:val="14"/>
                  <w:szCs w:val="14"/>
                  <w:color w:val="0000FF"/>
                </w:rPr>
                <w:t>Form of Common Stock Purchase Warrant to</w:t>
              </w:r>
            </w:hyperlink>
          </w:p>
        </w:tc>
        <w:tc>
          <w:tcPr>
            <w:tcW w:w="300" w:type="dxa"/>
            <w:vAlign w:val="bottom"/>
            <w:gridSpan w:val="15"/>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4.5</w:t>
            </w:r>
          </w:p>
        </w:tc>
        <w:tc>
          <w:tcPr>
            <w:tcW w:w="3180" w:type="dxa"/>
            <w:vAlign w:val="bottom"/>
            <w:gridSpan w:val="39"/>
          </w:tcPr>
          <w:p>
            <w:pPr>
              <w:spacing w:after="0" w:line="129" w:lineRule="exact"/>
              <w:rPr>
                <w:rFonts w:ascii="Arial" w:cs="Arial" w:eastAsia="Arial" w:hAnsi="Arial"/>
                <w:sz w:val="14"/>
                <w:szCs w:val="14"/>
                <w:color w:val="0000FF"/>
              </w:rPr>
            </w:pPr>
            <w:hyperlink r:id="rId109">
              <w:r>
                <w:rPr>
                  <w:rFonts w:ascii="Arial" w:cs="Arial" w:eastAsia="Arial" w:hAnsi="Arial"/>
                  <w:sz w:val="14"/>
                  <w:szCs w:val="14"/>
                  <w:color w:val="0000FF"/>
                </w:rPr>
                <w:t>purchase common stock issued to investors by</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09">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860" w:type="dxa"/>
            <w:vAlign w:val="bottom"/>
            <w:tcBorders>
              <w:bottom w:val="single" w:sz="8" w:color="0000FF"/>
            </w:tcBorders>
            <w:gridSpan w:val="23"/>
          </w:tcPr>
          <w:p>
            <w:pPr>
              <w:spacing w:after="0"/>
              <w:rPr>
                <w:rFonts w:ascii="Arial" w:cs="Arial" w:eastAsia="Arial" w:hAnsi="Arial"/>
                <w:sz w:val="14"/>
                <w:szCs w:val="14"/>
                <w:color w:val="0000FF"/>
              </w:rPr>
            </w:pPr>
            <w:hyperlink r:id="rId110">
              <w:r>
                <w:rPr>
                  <w:rFonts w:ascii="Arial" w:cs="Arial" w:eastAsia="Arial" w:hAnsi="Arial"/>
                  <w:sz w:val="14"/>
                  <w:szCs w:val="14"/>
                  <w:color w:val="0000FF"/>
                </w:rPr>
                <w:t>Form of Warrant to Purchase Stock issued to</w:t>
              </w:r>
            </w:hyperlink>
          </w:p>
        </w:tc>
        <w:tc>
          <w:tcPr>
            <w:tcW w:w="320" w:type="dxa"/>
            <w:vAlign w:val="bottom"/>
            <w:gridSpan w:val="16"/>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80" w:type="dxa"/>
            <w:vAlign w:val="bottom"/>
            <w:gridSpan w:val="39"/>
          </w:tcPr>
          <w:p>
            <w:pPr>
              <w:spacing w:after="0" w:line="129" w:lineRule="exact"/>
              <w:rPr>
                <w:rFonts w:ascii="Arial" w:cs="Arial" w:eastAsia="Arial" w:hAnsi="Arial"/>
                <w:sz w:val="14"/>
                <w:szCs w:val="14"/>
                <w:color w:val="0000FF"/>
              </w:rPr>
            </w:pPr>
            <w:hyperlink r:id="rId110">
              <w:r>
                <w:rPr>
                  <w:rFonts w:ascii="Arial" w:cs="Arial" w:eastAsia="Arial" w:hAnsi="Arial"/>
                  <w:sz w:val="14"/>
                  <w:szCs w:val="14"/>
                  <w:color w:val="0000FF"/>
                </w:rPr>
                <w:t>Innovatus Life Sciences Lending Fund I, LP in</w:t>
              </w:r>
            </w:hyperlink>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4.6</w:t>
            </w:r>
          </w:p>
        </w:tc>
        <w:tc>
          <w:tcPr>
            <w:tcW w:w="294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10">
              <w:r>
                <w:rPr>
                  <w:rFonts w:ascii="Arial" w:cs="Arial" w:eastAsia="Arial" w:hAnsi="Arial"/>
                  <w:sz w:val="13"/>
                  <w:szCs w:val="13"/>
                  <w:color w:val="0000FF"/>
                </w:rPr>
                <w:t>connection with the Company's 2018 loan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6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10">
              <w:r>
                <w:rPr>
                  <w:rFonts w:ascii="Arial" w:cs="Arial" w:eastAsia="Arial" w:hAnsi="Arial"/>
                  <w:sz w:val="14"/>
                  <w:szCs w:val="14"/>
                  <w:color w:val="0000FF"/>
                </w:rPr>
                <w:t>agreement.</w:t>
              </w:r>
            </w:hyperlink>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4.7</w:t>
            </w:r>
          </w:p>
        </w:tc>
        <w:tc>
          <w:tcPr>
            <w:tcW w:w="1760" w:type="dxa"/>
            <w:vAlign w:val="bottom"/>
            <w:tcBorders>
              <w:bottom w:val="single" w:sz="8" w:color="0000FF"/>
            </w:tcBorders>
            <w:gridSpan w:val="11"/>
          </w:tcPr>
          <w:p>
            <w:pPr>
              <w:spacing w:after="0"/>
              <w:rPr>
                <w:rFonts w:ascii="Arial" w:cs="Arial" w:eastAsia="Arial" w:hAnsi="Arial"/>
                <w:sz w:val="14"/>
                <w:szCs w:val="14"/>
                <w:color w:val="0000FF"/>
              </w:rPr>
            </w:pPr>
            <w:hyperlink r:id="rId111">
              <w:r>
                <w:rPr>
                  <w:rFonts w:ascii="Arial" w:cs="Arial" w:eastAsia="Arial" w:hAnsi="Arial"/>
                  <w:sz w:val="14"/>
                  <w:szCs w:val="14"/>
                  <w:color w:val="0000FF"/>
                </w:rPr>
                <w:t>Form of Exchange Warrant.</w:t>
              </w:r>
            </w:hyperlink>
          </w:p>
        </w:tc>
        <w:tc>
          <w:tcPr>
            <w:tcW w:w="1420" w:type="dxa"/>
            <w:vAlign w:val="bottom"/>
            <w:gridSpan w:val="28"/>
          </w:tcPr>
          <w:p>
            <w:pPr>
              <w:spacing w:after="0"/>
              <w:rPr>
                <w:sz w:val="15"/>
                <w:szCs w:val="15"/>
                <w:color w:val="auto"/>
              </w:rPr>
            </w:pPr>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80" w:type="dxa"/>
            <w:vAlign w:val="bottom"/>
            <w:gridSpan w:val="39"/>
          </w:tcPr>
          <w:p>
            <w:pPr>
              <w:spacing w:after="0"/>
              <w:rPr>
                <w:rFonts w:ascii="Arial" w:cs="Arial" w:eastAsia="Arial" w:hAnsi="Arial"/>
                <w:sz w:val="14"/>
                <w:szCs w:val="14"/>
                <w:color w:val="0000FF"/>
              </w:rPr>
            </w:pPr>
            <w:hyperlink r:id="rId112">
              <w:r>
                <w:rPr>
                  <w:rFonts w:ascii="Arial" w:cs="Arial" w:eastAsia="Arial" w:hAnsi="Arial"/>
                  <w:sz w:val="14"/>
                  <w:szCs w:val="14"/>
                  <w:color w:val="0000FF"/>
                </w:rPr>
                <w:t>Exagen Corporation 2002 Stock Option Plan, as</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2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112">
              <w:r>
                <w:rPr>
                  <w:rFonts w:ascii="Arial" w:cs="Arial" w:eastAsia="Arial" w:hAnsi="Arial"/>
                  <w:sz w:val="14"/>
                  <w:szCs w:val="14"/>
                  <w:color w:val="0000FF"/>
                </w:rPr>
                <w:t>amended, and form of option 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6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112">
              <w:r>
                <w:rPr>
                  <w:rFonts w:ascii="Arial" w:cs="Arial" w:eastAsia="Arial" w:hAnsi="Arial"/>
                  <w:sz w:val="13"/>
                  <w:szCs w:val="13"/>
                  <w:color w:val="0000FF"/>
                </w:rPr>
                <w:t>thereunder.</w:t>
              </w:r>
            </w:hyperlink>
          </w:p>
        </w:tc>
        <w:tc>
          <w:tcPr>
            <w:tcW w:w="2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3180" w:type="dxa"/>
            <w:vAlign w:val="bottom"/>
            <w:gridSpan w:val="39"/>
          </w:tcPr>
          <w:p>
            <w:pPr>
              <w:spacing w:after="0"/>
              <w:rPr>
                <w:rFonts w:ascii="Arial" w:cs="Arial" w:eastAsia="Arial" w:hAnsi="Arial"/>
                <w:sz w:val="14"/>
                <w:szCs w:val="14"/>
                <w:color w:val="0000FF"/>
              </w:rPr>
            </w:pPr>
            <w:hyperlink r:id="rId113">
              <w:r>
                <w:rPr>
                  <w:rFonts w:ascii="Arial" w:cs="Arial" w:eastAsia="Arial" w:hAnsi="Arial"/>
                  <w:sz w:val="14"/>
                  <w:szCs w:val="14"/>
                  <w:color w:val="0000FF"/>
                </w:rPr>
                <w:t>Exagen Diagnostics, Inc. 2013 Stock Option</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280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13">
              <w:r>
                <w:rPr>
                  <w:rFonts w:ascii="Arial" w:cs="Arial" w:eastAsia="Arial" w:hAnsi="Arial"/>
                  <w:sz w:val="14"/>
                  <w:szCs w:val="14"/>
                  <w:color w:val="0000FF"/>
                </w:rPr>
                <w:t>Plan, as amended, and form of option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13">
              <w:r>
                <w:rPr>
                  <w:rFonts w:ascii="Arial" w:cs="Arial" w:eastAsia="Arial" w:hAnsi="Arial"/>
                  <w:sz w:val="13"/>
                  <w:szCs w:val="13"/>
                  <w:color w:val="0000FF"/>
                </w:rPr>
                <w:t>agreement thereunder.</w:t>
              </w:r>
            </w:hyperlink>
          </w:p>
        </w:tc>
        <w:tc>
          <w:tcPr>
            <w:tcW w:w="120" w:type="dxa"/>
            <w:vAlign w:val="bottom"/>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80" w:type="dxa"/>
            <w:vAlign w:val="bottom"/>
            <w:gridSpan w:val="39"/>
          </w:tcPr>
          <w:p>
            <w:pPr>
              <w:spacing w:after="0"/>
              <w:rPr>
                <w:rFonts w:ascii="Arial" w:cs="Arial" w:eastAsia="Arial" w:hAnsi="Arial"/>
                <w:sz w:val="14"/>
                <w:szCs w:val="14"/>
                <w:color w:val="0000FF"/>
              </w:rPr>
            </w:pPr>
            <w:hyperlink r:id="rId114">
              <w:r>
                <w:rPr>
                  <w:rFonts w:ascii="Arial" w:cs="Arial" w:eastAsia="Arial" w:hAnsi="Arial"/>
                  <w:sz w:val="14"/>
                  <w:szCs w:val="14"/>
                  <w:color w:val="0000FF"/>
                </w:rPr>
                <w:t>Exagen Inc. 2019 Incentive Award Plan.</w:t>
              </w:r>
            </w:hyperlink>
          </w:p>
        </w:tc>
        <w:tc>
          <w:tcPr>
            <w:tcW w:w="760" w:type="dxa"/>
            <w:vAlign w:val="bottom"/>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80" w:type="dxa"/>
            <w:vAlign w:val="bottom"/>
            <w:gridSpan w:val="39"/>
          </w:tcPr>
          <w:p>
            <w:pPr>
              <w:spacing w:after="0"/>
              <w:rPr>
                <w:rFonts w:ascii="Arial" w:cs="Arial" w:eastAsia="Arial" w:hAnsi="Arial"/>
                <w:sz w:val="14"/>
                <w:szCs w:val="14"/>
                <w:color w:val="0000FF"/>
              </w:rPr>
            </w:pPr>
            <w:hyperlink r:id="rId115">
              <w:r>
                <w:rPr>
                  <w:rFonts w:ascii="Arial" w:cs="Arial" w:eastAsia="Arial" w:hAnsi="Arial"/>
                  <w:sz w:val="14"/>
                  <w:szCs w:val="14"/>
                  <w:color w:val="0000FF"/>
                </w:rPr>
                <w:t>Form of Option Agreement under Exagen Inc.</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92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15">
              <w:r>
                <w:rPr>
                  <w:rFonts w:ascii="Arial" w:cs="Arial" w:eastAsia="Arial" w:hAnsi="Arial"/>
                  <w:sz w:val="14"/>
                  <w:szCs w:val="14"/>
                  <w:color w:val="0000FF"/>
                </w:rPr>
                <w:t>2019 Incentive Award Plan.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80" w:type="dxa"/>
            <w:vAlign w:val="bottom"/>
            <w:gridSpan w:val="39"/>
          </w:tcPr>
          <w:p>
            <w:pPr>
              <w:spacing w:after="0"/>
              <w:rPr>
                <w:rFonts w:ascii="Arial" w:cs="Arial" w:eastAsia="Arial" w:hAnsi="Arial"/>
                <w:sz w:val="14"/>
                <w:szCs w:val="14"/>
                <w:color w:val="0000FF"/>
              </w:rPr>
            </w:pPr>
            <w:hyperlink r:id="rId116">
              <w:r>
                <w:rPr>
                  <w:rFonts w:ascii="Arial" w:cs="Arial" w:eastAsia="Arial" w:hAnsi="Arial"/>
                  <w:sz w:val="14"/>
                  <w:szCs w:val="14"/>
                  <w:color w:val="0000FF"/>
                </w:rPr>
                <w:t>Form of Restricted Stock Unit Agreement under</w:t>
              </w:r>
            </w:hyperlink>
          </w:p>
        </w:tc>
        <w:tc>
          <w:tcPr>
            <w:tcW w:w="760" w:type="dxa"/>
            <w:vAlign w:val="bottom"/>
            <w:vMerge w:val="restart"/>
          </w:tcPr>
          <w:p>
            <w:pPr>
              <w:jc w:val="center"/>
              <w:ind w:lef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08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116">
              <w:r>
                <w:rPr>
                  <w:rFonts w:ascii="Arial" w:cs="Arial" w:eastAsia="Arial" w:hAnsi="Arial"/>
                  <w:sz w:val="14"/>
                  <w:szCs w:val="14"/>
                  <w:color w:val="0000FF"/>
                </w:rPr>
                <w:t>Exagen Inc. 2019 Incentive Award Plan.</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80" w:type="dxa"/>
            <w:vAlign w:val="bottom"/>
            <w:gridSpan w:val="39"/>
          </w:tcPr>
          <w:p>
            <w:pPr>
              <w:spacing w:after="0"/>
              <w:rPr>
                <w:rFonts w:ascii="Arial" w:cs="Arial" w:eastAsia="Arial" w:hAnsi="Arial"/>
                <w:sz w:val="14"/>
                <w:szCs w:val="14"/>
                <w:color w:val="0000FF"/>
              </w:rPr>
            </w:pPr>
            <w:hyperlink r:id="rId117">
              <w:r>
                <w:rPr>
                  <w:rFonts w:ascii="Arial" w:cs="Arial" w:eastAsia="Arial" w:hAnsi="Arial"/>
                  <w:sz w:val="14"/>
                  <w:szCs w:val="14"/>
                  <w:color w:val="0000FF"/>
                </w:rPr>
                <w:t>Exagen Inc. 2019 Employee Stock Purchase</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Plan.</w:t>
              </w:r>
            </w:hyperlink>
          </w:p>
        </w:tc>
        <w:tc>
          <w:tcPr>
            <w:tcW w:w="2500" w:type="dxa"/>
            <w:vAlign w:val="bottom"/>
            <w:tcBorders>
              <w:top w:val="single" w:sz="8" w:color="0000FF"/>
            </w:tcBorders>
            <w:gridSpan w:val="20"/>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80" w:type="dxa"/>
            <w:vAlign w:val="bottom"/>
            <w:gridSpan w:val="39"/>
          </w:tcPr>
          <w:p>
            <w:pPr>
              <w:spacing w:after="0"/>
              <w:rPr>
                <w:rFonts w:ascii="Arial" w:cs="Arial" w:eastAsia="Arial" w:hAnsi="Arial"/>
                <w:sz w:val="14"/>
                <w:szCs w:val="14"/>
                <w:color w:val="0000FF"/>
              </w:rPr>
            </w:pPr>
            <w:hyperlink r:id="rId118">
              <w:r>
                <w:rPr>
                  <w:rFonts w:ascii="Arial" w:cs="Arial" w:eastAsia="Arial" w:hAnsi="Arial"/>
                  <w:sz w:val="14"/>
                  <w:szCs w:val="14"/>
                  <w:color w:val="0000FF"/>
                </w:rPr>
                <w:t>License Agreement, dated September 13, 2007,</w:t>
              </w:r>
            </w:hyperlink>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by and between Prometheus Laboratories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298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18">
              <w:r>
                <w:rPr>
                  <w:rFonts w:ascii="Arial" w:cs="Arial" w:eastAsia="Arial" w:hAnsi="Arial"/>
                  <w:sz w:val="13"/>
                  <w:szCs w:val="13"/>
                  <w:color w:val="0000FF"/>
                </w:rPr>
                <w:t>and the Company (as successor in interest 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88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Proprius, Inc.).</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80" w:type="dxa"/>
            <w:vAlign w:val="bottom"/>
            <w:gridSpan w:val="39"/>
          </w:tcPr>
          <w:p>
            <w:pPr>
              <w:spacing w:after="0"/>
              <w:rPr>
                <w:rFonts w:ascii="Arial" w:cs="Arial" w:eastAsia="Arial" w:hAnsi="Arial"/>
                <w:sz w:val="14"/>
                <w:szCs w:val="14"/>
                <w:color w:val="0000FF"/>
              </w:rPr>
            </w:pPr>
            <w:hyperlink r:id="rId119">
              <w:r>
                <w:rPr>
                  <w:rFonts w:ascii="Arial" w:cs="Arial" w:eastAsia="Arial" w:hAnsi="Arial"/>
                  <w:sz w:val="14"/>
                  <w:szCs w:val="14"/>
                  <w:color w:val="0000FF"/>
                </w:rPr>
                <w:t>First Amendment to License Agreement, dated</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30"/>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October 23, 2013, by and between Prometheus</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540" w:type="dxa"/>
            <w:vAlign w:val="bottom"/>
            <w:tcBorders>
              <w:bottom w:val="single" w:sz="8" w:color="0000FF"/>
            </w:tcBorders>
            <w:gridSpan w:val="15"/>
          </w:tcPr>
          <w:p>
            <w:pPr>
              <w:spacing w:after="0" w:line="115" w:lineRule="exact"/>
              <w:rPr>
                <w:rFonts w:ascii="Arial" w:cs="Arial" w:eastAsia="Arial" w:hAnsi="Arial"/>
                <w:sz w:val="13"/>
                <w:szCs w:val="13"/>
                <w:color w:val="0000FF"/>
              </w:rPr>
            </w:pPr>
            <w:hyperlink r:id="rId119">
              <w:r>
                <w:rPr>
                  <w:rFonts w:ascii="Arial" w:cs="Arial" w:eastAsia="Arial" w:hAnsi="Arial"/>
                  <w:sz w:val="13"/>
                  <w:szCs w:val="13"/>
                  <w:color w:val="0000FF"/>
                </w:rPr>
                <w:t>Laboratories Inc. and the Company (as</w:t>
              </w:r>
            </w:hyperlink>
          </w:p>
        </w:tc>
        <w:tc>
          <w:tcPr>
            <w:tcW w:w="520" w:type="dxa"/>
            <w:vAlign w:val="bottom"/>
            <w:gridSpan w:val="18"/>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3180" w:type="dxa"/>
            <w:vAlign w:val="bottom"/>
            <w:gridSpan w:val="39"/>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successor in interest to Cypress Bioscience,</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6"/>
              </w:rPr>
            </w:pPr>
            <w:hyperlink r:id="rId119">
              <w:r>
                <w:rPr>
                  <w:rFonts w:ascii="Arial" w:cs="Arial" w:eastAsia="Arial" w:hAnsi="Arial"/>
                  <w:sz w:val="14"/>
                  <w:szCs w:val="14"/>
                  <w:color w:val="0000FF"/>
                  <w:w w:val="96"/>
                </w:rPr>
                <w:t>Inc.).</w:t>
              </w:r>
            </w:hyperlink>
          </w:p>
        </w:tc>
        <w:tc>
          <w:tcPr>
            <w:tcW w:w="2500" w:type="dxa"/>
            <w:vAlign w:val="bottom"/>
            <w:tcBorders>
              <w:top w:val="single" w:sz="8" w:color="0000FF"/>
            </w:tcBorders>
            <w:gridSpan w:val="20"/>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80" w:type="dxa"/>
            <w:vAlign w:val="bottom"/>
            <w:gridSpan w:val="39"/>
          </w:tcPr>
          <w:p>
            <w:pPr>
              <w:spacing w:after="0"/>
              <w:rPr>
                <w:rFonts w:ascii="Arial" w:cs="Arial" w:eastAsia="Arial" w:hAnsi="Arial"/>
                <w:sz w:val="14"/>
                <w:szCs w:val="14"/>
                <w:color w:val="0000FF"/>
              </w:rPr>
            </w:pPr>
            <w:hyperlink r:id="rId120">
              <w:r>
                <w:rPr>
                  <w:rFonts w:ascii="Arial" w:cs="Arial" w:eastAsia="Arial" w:hAnsi="Arial"/>
                  <w:sz w:val="14"/>
                  <w:szCs w:val="14"/>
                  <w:color w:val="0000FF"/>
                </w:rPr>
                <w:t>Letter Agreement, dated September 28, 2021,</w:t>
              </w:r>
            </w:hyperlink>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2960" w:type="dxa"/>
            <w:vAlign w:val="bottom"/>
            <w:tcBorders>
              <w:top w:val="single" w:sz="8" w:color="0000FF"/>
              <w:bottom w:val="single" w:sz="8" w:color="0000FF"/>
            </w:tcBorders>
            <w:gridSpan w:val="28"/>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by and between the Company and Prometheus</w:t>
              </w:r>
            </w:hyperlink>
          </w:p>
        </w:tc>
        <w:tc>
          <w:tcPr>
            <w:tcW w:w="80" w:type="dxa"/>
            <w:vAlign w:val="bottom"/>
            <w:tcBorders>
              <w:bottom w:val="single" w:sz="8" w:color="0000FF"/>
            </w:tcBorders>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11/10/2021</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40" w:type="dxa"/>
            <w:vAlign w:val="bottom"/>
            <w:gridSpan w:val="32"/>
          </w:tcPr>
          <w:p>
            <w:pPr>
              <w:spacing w:after="0" w:line="115" w:lineRule="exact"/>
              <w:rPr>
                <w:rFonts w:ascii="Arial" w:cs="Arial" w:eastAsia="Arial" w:hAnsi="Arial"/>
                <w:sz w:val="13"/>
                <w:szCs w:val="13"/>
                <w:color w:val="0000FF"/>
              </w:rPr>
            </w:pPr>
            <w:hyperlink r:id="rId120">
              <w:r>
                <w:rPr>
                  <w:rFonts w:ascii="Arial" w:cs="Arial" w:eastAsia="Arial" w:hAnsi="Arial"/>
                  <w:sz w:val="13"/>
                  <w:szCs w:val="13"/>
                  <w:color w:val="0000FF"/>
                </w:rPr>
                <w:t>Laboratories Inc.</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900" w:type="dxa"/>
            <w:vAlign w:val="bottom"/>
            <w:tcBorders>
              <w:bottom w:val="single" w:sz="8" w:color="0000FF"/>
            </w:tcBorders>
            <w:gridSpan w:val="25"/>
          </w:tcPr>
          <w:p>
            <w:pPr>
              <w:spacing w:after="0"/>
              <w:rPr>
                <w:rFonts w:ascii="Arial" w:cs="Arial" w:eastAsia="Arial" w:hAnsi="Arial"/>
                <w:sz w:val="14"/>
                <w:szCs w:val="14"/>
                <w:color w:val="0000FF"/>
              </w:rPr>
            </w:pPr>
            <w:hyperlink r:id="rId121">
              <w:r>
                <w:rPr>
                  <w:rFonts w:ascii="Arial" w:cs="Arial" w:eastAsia="Arial" w:hAnsi="Arial"/>
                  <w:sz w:val="14"/>
                  <w:szCs w:val="14"/>
                  <w:color w:val="0000FF"/>
                </w:rPr>
                <w:t>Asset Purchase Agreement, dated October 8,</w:t>
              </w:r>
            </w:hyperlink>
          </w:p>
        </w:tc>
        <w:tc>
          <w:tcPr>
            <w:tcW w:w="280" w:type="dxa"/>
            <w:vAlign w:val="bottom"/>
            <w:gridSpan w:val="14"/>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3180" w:type="dxa"/>
            <w:vAlign w:val="bottom"/>
            <w:gridSpan w:val="39"/>
          </w:tcPr>
          <w:p>
            <w:pPr>
              <w:spacing w:after="0" w:line="129" w:lineRule="exact"/>
              <w:rPr>
                <w:rFonts w:ascii="Arial" w:cs="Arial" w:eastAsia="Arial" w:hAnsi="Arial"/>
                <w:sz w:val="14"/>
                <w:szCs w:val="14"/>
                <w:color w:val="0000FF"/>
              </w:rPr>
            </w:pPr>
            <w:hyperlink r:id="rId121">
              <w:r>
                <w:rPr>
                  <w:rFonts w:ascii="Arial" w:cs="Arial" w:eastAsia="Arial" w:hAnsi="Arial"/>
                  <w:sz w:val="14"/>
                  <w:szCs w:val="14"/>
                  <w:color w:val="0000FF"/>
                </w:rPr>
                <w:t>2010, by and between Cypress Bioscience, Inc.,</w:t>
              </w:r>
            </w:hyperlink>
          </w:p>
        </w:tc>
        <w:tc>
          <w:tcPr>
            <w:tcW w:w="760" w:type="dxa"/>
            <w:vAlign w:val="bottom"/>
            <w:vMerge w:val="restart"/>
          </w:tcPr>
          <w:p>
            <w:pPr>
              <w:jc w:val="center"/>
              <w:ind w:left="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Proprius, Inc. and the Company.</w:t>
              </w:r>
            </w:hyperlink>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29" w:right="11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80" w:type="dxa"/>
            <w:vAlign w:val="bottom"/>
            <w:tcBorders>
              <w:bottom w:val="single" w:sz="8" w:color="0000FF"/>
            </w:tcBorders>
            <w:gridSpan w:val="8"/>
          </w:tcPr>
          <w:p>
            <w:pPr>
              <w:spacing w:after="0"/>
              <w:rPr>
                <w:rFonts w:ascii="Arial" w:cs="Arial" w:eastAsia="Arial" w:hAnsi="Arial"/>
                <w:sz w:val="14"/>
                <w:szCs w:val="14"/>
                <w:color w:val="0000FF"/>
              </w:rPr>
            </w:pPr>
            <w:hyperlink r:id="rId123">
              <w:r>
                <w:rPr>
                  <w:rFonts w:ascii="Arial" w:cs="Arial" w:eastAsia="Arial" w:hAnsi="Arial"/>
                  <w:sz w:val="14"/>
                  <w:szCs w:val="14"/>
                  <w:color w:val="0000FF"/>
                </w:rPr>
                <w:t>Amendment No. One to Asset Purchase</w:t>
              </w:r>
            </w:hyperlink>
          </w:p>
        </w:tc>
        <w:tc>
          <w:tcPr>
            <w:tcW w:w="680" w:type="dxa"/>
            <w:vAlign w:val="bottom"/>
            <w:gridSpan w:val="29"/>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260" w:type="dxa"/>
            <w:vAlign w:val="bottom"/>
            <w:gridSpan w:val="37"/>
          </w:tcPr>
          <w:p>
            <w:pPr>
              <w:spacing w:after="0" w:line="120" w:lineRule="exact"/>
              <w:rPr>
                <w:rFonts w:ascii="Arial" w:cs="Arial" w:eastAsia="Arial" w:hAnsi="Arial"/>
                <w:sz w:val="13"/>
                <w:szCs w:val="13"/>
                <w:color w:val="0000FF"/>
              </w:rPr>
            </w:pPr>
            <w:hyperlink r:id="rId123">
              <w:r>
                <w:rPr>
                  <w:rFonts w:ascii="Arial" w:cs="Arial" w:eastAsia="Arial" w:hAnsi="Arial"/>
                  <w:sz w:val="13"/>
                  <w:szCs w:val="13"/>
                  <w:color w:val="0000FF"/>
                </w:rPr>
                <w:t>Agreement, dated March 10, 2011, by 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10.11†</w:t>
            </w:r>
          </w:p>
        </w:tc>
        <w:tc>
          <w:tcPr>
            <w:tcW w:w="2720" w:type="dxa"/>
            <w:vAlign w:val="bottom"/>
            <w:tcBorders>
              <w:top w:val="single" w:sz="8" w:color="0000FF"/>
            </w:tcBorders>
            <w:gridSpan w:val="13"/>
          </w:tcPr>
          <w:p>
            <w:pPr>
              <w:spacing w:after="0" w:line="122" w:lineRule="exact"/>
              <w:rPr>
                <w:rFonts w:ascii="Arial" w:cs="Arial" w:eastAsia="Arial" w:hAnsi="Arial"/>
                <w:sz w:val="14"/>
                <w:szCs w:val="14"/>
                <w:color w:val="0000FF"/>
                <w:w w:val="98"/>
              </w:rPr>
            </w:pPr>
            <w:hyperlink r:id="rId123">
              <w:r>
                <w:rPr>
                  <w:rFonts w:ascii="Arial" w:cs="Arial" w:eastAsia="Arial" w:hAnsi="Arial"/>
                  <w:sz w:val="14"/>
                  <w:szCs w:val="14"/>
                  <w:color w:val="0000FF"/>
                  <w:w w:val="98"/>
                </w:rPr>
                <w:t>between Cypress Bioscience, Inc., Proprius,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14"/>
          </w:tcPr>
          <w:p>
            <w:pPr>
              <w:spacing w:after="0" w:line="122" w:lineRule="exact"/>
              <w:rPr>
                <w:rFonts w:ascii="Arial" w:cs="Arial" w:eastAsia="Arial" w:hAnsi="Arial"/>
                <w:sz w:val="14"/>
                <w:szCs w:val="14"/>
                <w:color w:val="0000FF"/>
              </w:rPr>
            </w:pPr>
            <w:hyperlink r:id="rId123">
              <w:r>
                <w:rPr>
                  <w:rFonts w:ascii="Arial" w:cs="Arial" w:eastAsia="Arial" w:hAnsi="Arial"/>
                  <w:sz w:val="14"/>
                  <w:szCs w:val="14"/>
                  <w:color w:val="0000FF"/>
                </w:rPr>
                <w:t>Inc.</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10.12</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23">
              <w:r>
                <w:rPr>
                  <w:rFonts w:ascii="Arial" w:cs="Arial" w:eastAsia="Arial" w:hAnsi="Arial"/>
                  <w:sz w:val="14"/>
                  <w:szCs w:val="14"/>
                  <w:color w:val="0000FF"/>
                  <w:w w:val="99"/>
                </w:rPr>
                <w:t>and the Company.</w:t>
              </w:r>
            </w:hyperlink>
          </w:p>
        </w:tc>
        <w:tc>
          <w:tcPr>
            <w:tcW w:w="196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24">
              <w:r>
                <w:rPr>
                  <w:rFonts w:ascii="Arial" w:cs="Arial" w:eastAsia="Arial" w:hAnsi="Arial"/>
                  <w:sz w:val="14"/>
                  <w:szCs w:val="14"/>
                  <w:color w:val="0000FF"/>
                </w:rPr>
                <w:t>Amendment No. Two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54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Agreement, dated August 21, 2012, by</w:t>
              </w:r>
            </w:hyperlink>
          </w:p>
        </w:tc>
        <w:tc>
          <w:tcPr>
            <w:tcW w:w="720" w:type="dxa"/>
            <w:vAlign w:val="bottom"/>
            <w:gridSpan w:val="31"/>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10.12</w:t>
            </w:r>
          </w:p>
        </w:tc>
        <w:tc>
          <w:tcPr>
            <w:tcW w:w="282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10.13</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660" w:type="dxa"/>
            <w:vAlign w:val="bottom"/>
            <w:tcBorders>
              <w:bottom w:val="single" w:sz="8" w:color="0000FF"/>
            </w:tcBorders>
            <w:gridSpan w:val="10"/>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Amendment No. Three to Asset Purchase</w:t>
              </w:r>
            </w:hyperlink>
          </w:p>
        </w:tc>
        <w:tc>
          <w:tcPr>
            <w:tcW w:w="600" w:type="dxa"/>
            <w:vAlign w:val="bottom"/>
            <w:gridSpan w:val="27"/>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37"/>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Agreement, dated February 6,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10.13†</w:t>
            </w:r>
          </w:p>
        </w:tc>
        <w:tc>
          <w:tcPr>
            <w:tcW w:w="284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429496723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10.14</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600" w:type="dxa"/>
            <w:vAlign w:val="bottom"/>
            <w:tcBorders>
              <w:bottom w:val="single" w:sz="8" w:color="0000FF"/>
            </w:tcBorders>
            <w:gridSpan w:val="9"/>
          </w:tcPr>
          <w:p>
            <w:pPr>
              <w:spacing w:after="0"/>
              <w:rPr>
                <w:rFonts w:ascii="Arial" w:cs="Arial" w:eastAsia="Arial" w:hAnsi="Arial"/>
                <w:sz w:val="14"/>
                <w:szCs w:val="14"/>
                <w:color w:val="0000FF"/>
              </w:rPr>
            </w:pPr>
            <w:hyperlink r:id="rId126">
              <w:r>
                <w:rPr>
                  <w:rFonts w:ascii="Arial" w:cs="Arial" w:eastAsia="Arial" w:hAnsi="Arial"/>
                  <w:sz w:val="14"/>
                  <w:szCs w:val="14"/>
                  <w:color w:val="0000FF"/>
                </w:rPr>
                <w:t>Amendment No. Four to Asset Purchase</w:t>
              </w:r>
            </w:hyperlink>
          </w:p>
        </w:tc>
        <w:tc>
          <w:tcPr>
            <w:tcW w:w="660" w:type="dxa"/>
            <w:vAlign w:val="bottom"/>
            <w:gridSpan w:val="28"/>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37"/>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Agreement, dated October 8,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10.14</w:t>
            </w:r>
          </w:p>
        </w:tc>
        <w:tc>
          <w:tcPr>
            <w:tcW w:w="276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29496723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10.15</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27">
              <w:r>
                <w:rPr>
                  <w:rFonts w:ascii="Arial" w:cs="Arial" w:eastAsia="Arial" w:hAnsi="Arial"/>
                  <w:sz w:val="14"/>
                  <w:szCs w:val="14"/>
                  <w:color w:val="0000FF"/>
                </w:rPr>
                <w:t>Amendment No. Five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56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Agreement, dated January 26, 2016, by</w:t>
              </w:r>
            </w:hyperlink>
          </w:p>
        </w:tc>
        <w:tc>
          <w:tcPr>
            <w:tcW w:w="700" w:type="dxa"/>
            <w:vAlign w:val="bottom"/>
            <w:gridSpan w:val="30"/>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28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between Royalty Pharma Collection Trust,</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10.16</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480" w:type="dxa"/>
            <w:vAlign w:val="bottom"/>
            <w:tcBorders>
              <w:bottom w:val="single" w:sz="8" w:color="0000FF"/>
            </w:tcBorders>
            <w:gridSpan w:val="5"/>
          </w:tcPr>
          <w:p>
            <w:pPr>
              <w:spacing w:after="0"/>
              <w:rPr>
                <w:rFonts w:ascii="Arial" w:cs="Arial" w:eastAsia="Arial" w:hAnsi="Arial"/>
                <w:sz w:val="14"/>
                <w:szCs w:val="14"/>
                <w:color w:val="0000FF"/>
              </w:rPr>
            </w:pPr>
            <w:hyperlink r:id="rId128">
              <w:r>
                <w:rPr>
                  <w:rFonts w:ascii="Arial" w:cs="Arial" w:eastAsia="Arial" w:hAnsi="Arial"/>
                  <w:sz w:val="14"/>
                  <w:szCs w:val="14"/>
                  <w:color w:val="0000FF"/>
                </w:rPr>
                <w:t>Amendment No. Six to Asset Purchase</w:t>
              </w:r>
            </w:hyperlink>
          </w:p>
        </w:tc>
        <w:tc>
          <w:tcPr>
            <w:tcW w:w="780" w:type="dxa"/>
            <w:vAlign w:val="bottom"/>
            <w:gridSpan w:val="3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37"/>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Agreement, dated February 16, 2017,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29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10.17</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29">
              <w:r>
                <w:rPr>
                  <w:rFonts w:ascii="Arial" w:cs="Arial" w:eastAsia="Arial" w:hAnsi="Arial"/>
                  <w:sz w:val="14"/>
                  <w:szCs w:val="14"/>
                  <w:color w:val="0000FF"/>
                </w:rPr>
                <w:t>Amended and Restated Exclusive License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66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Agreement, dated August 2, 2011, by and</w:t>
              </w:r>
            </w:hyperlink>
          </w:p>
        </w:tc>
        <w:tc>
          <w:tcPr>
            <w:tcW w:w="40" w:type="dxa"/>
            <w:vAlign w:val="bottom"/>
            <w:tcBorders>
              <w:top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37"/>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between the University of Pittsburgh-Of the</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28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Commonwealth System of Higher Education</w:t>
              </w:r>
            </w:hyperlink>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13"/>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10.18</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8"/>
              </w:rPr>
            </w:pPr>
            <w:hyperlink r:id="rId129">
              <w:r>
                <w:rPr>
                  <w:rFonts w:ascii="Arial" w:cs="Arial" w:eastAsia="Arial" w:hAnsi="Arial"/>
                  <w:sz w:val="14"/>
                  <w:szCs w:val="14"/>
                  <w:color w:val="0000FF"/>
                  <w:w w:val="98"/>
                </w:rPr>
                <w:t>the Company.</w:t>
              </w:r>
            </w:hyperlink>
          </w:p>
        </w:tc>
        <w:tc>
          <w:tcPr>
            <w:tcW w:w="226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00" w:type="dxa"/>
            <w:vAlign w:val="bottom"/>
            <w:tcBorders>
              <w:bottom w:val="single" w:sz="8" w:color="0000FF"/>
            </w:tcBorders>
            <w:gridSpan w:val="21"/>
          </w:tcPr>
          <w:p>
            <w:pPr>
              <w:spacing w:after="0"/>
              <w:rPr>
                <w:rFonts w:ascii="Arial" w:cs="Arial" w:eastAsia="Arial" w:hAnsi="Arial"/>
                <w:sz w:val="14"/>
                <w:szCs w:val="14"/>
                <w:color w:val="0000FF"/>
              </w:rPr>
            </w:pPr>
            <w:hyperlink r:id="rId130">
              <w:r>
                <w:rPr>
                  <w:rFonts w:ascii="Arial" w:cs="Arial" w:eastAsia="Arial" w:hAnsi="Arial"/>
                  <w:sz w:val="14"/>
                  <w:szCs w:val="14"/>
                  <w:color w:val="0000FF"/>
                </w:rPr>
                <w:t>First Amendment to Amended and Restated</w:t>
              </w:r>
            </w:hyperlink>
          </w:p>
        </w:tc>
        <w:tc>
          <w:tcPr>
            <w:tcW w:w="460" w:type="dxa"/>
            <w:vAlign w:val="bottom"/>
            <w:gridSpan w:val="1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37"/>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Exclusive License Agreement, dated May 17,</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2012, by and between the University of</w:t>
              </w:r>
            </w:hyperlink>
          </w:p>
        </w:tc>
        <w:tc>
          <w:tcPr>
            <w:tcW w:w="44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3260" w:type="dxa"/>
            <w:vAlign w:val="bottom"/>
            <w:gridSpan w:val="37"/>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10.19</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Higher Education and the Company.</w:t>
              </w:r>
            </w:hyperlink>
          </w:p>
        </w:tc>
        <w:tc>
          <w:tcPr>
            <w:tcW w:w="42949672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7"/>
          </w:tcPr>
          <w:p>
            <w:pPr>
              <w:spacing w:after="0"/>
              <w:rPr>
                <w:rFonts w:ascii="Arial" w:cs="Arial" w:eastAsia="Arial" w:hAnsi="Arial"/>
                <w:sz w:val="14"/>
                <w:szCs w:val="14"/>
                <w:color w:val="0000FF"/>
              </w:rPr>
            </w:pPr>
            <w:hyperlink r:id="rId131">
              <w:r>
                <w:rPr>
                  <w:rFonts w:ascii="Arial" w:cs="Arial" w:eastAsia="Arial" w:hAnsi="Arial"/>
                  <w:sz w:val="14"/>
                  <w:szCs w:val="14"/>
                  <w:color w:val="0000FF"/>
                </w:rPr>
                <w:t>Second Amendment to Amended and Restated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29"/>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Exclusive License Agreement, dated September</w:t>
              </w:r>
            </w:hyperlink>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780" w:type="dxa"/>
            <w:vAlign w:val="bottom"/>
            <w:tcBorders>
              <w:bottom w:val="single" w:sz="8" w:color="0000FF"/>
            </w:tcBorders>
            <w:gridSpan w:val="16"/>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30, 2013, by and between the University of</w:t>
              </w:r>
            </w:hyperlink>
          </w:p>
        </w:tc>
        <w:tc>
          <w:tcPr>
            <w:tcW w:w="30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10.19†</w:t>
            </w:r>
          </w:p>
        </w:tc>
        <w:tc>
          <w:tcPr>
            <w:tcW w:w="3260" w:type="dxa"/>
            <w:vAlign w:val="bottom"/>
            <w:gridSpan w:val="37"/>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10.20</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Higher Education and the Company.</w:t>
              </w:r>
            </w:hyperlink>
          </w:p>
        </w:tc>
        <w:tc>
          <w:tcPr>
            <w:tcW w:w="42949672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80" w:type="dxa"/>
            <w:vAlign w:val="bottom"/>
            <w:tcBorders>
              <w:bottom w:val="single" w:sz="8" w:color="0000FF"/>
            </w:tcBorders>
            <w:gridSpan w:val="24"/>
          </w:tcPr>
          <w:p>
            <w:pPr>
              <w:spacing w:after="0"/>
              <w:rPr>
                <w:rFonts w:ascii="Arial" w:cs="Arial" w:eastAsia="Arial" w:hAnsi="Arial"/>
                <w:sz w:val="14"/>
                <w:szCs w:val="14"/>
                <w:color w:val="0000FF"/>
              </w:rPr>
            </w:pPr>
            <w:hyperlink r:id="rId132">
              <w:r>
                <w:rPr>
                  <w:rFonts w:ascii="Arial" w:cs="Arial" w:eastAsia="Arial" w:hAnsi="Arial"/>
                  <w:sz w:val="14"/>
                  <w:szCs w:val="14"/>
                  <w:color w:val="0000FF"/>
                </w:rPr>
                <w:t>Third Amendment to Amended and Restated</w:t>
              </w:r>
            </w:hyperlink>
          </w:p>
        </w:tc>
        <w:tc>
          <w:tcPr>
            <w:tcW w:w="380" w:type="dxa"/>
            <w:vAlign w:val="bottom"/>
            <w:gridSpan w:val="13"/>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37"/>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Exclusive License Agreement, dated June 24,</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2016, by and between the University of</w:t>
              </w:r>
            </w:hyperlink>
          </w:p>
        </w:tc>
        <w:tc>
          <w:tcPr>
            <w:tcW w:w="460" w:type="dxa"/>
            <w:vAlign w:val="bottom"/>
            <w:tcBorders>
              <w:top w:val="single" w:sz="8" w:color="0000FF"/>
            </w:tcBorders>
            <w:gridSpan w:val="2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10.20</w:t>
            </w:r>
          </w:p>
        </w:tc>
        <w:tc>
          <w:tcPr>
            <w:tcW w:w="3260" w:type="dxa"/>
            <w:vAlign w:val="bottom"/>
            <w:gridSpan w:val="37"/>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10.21</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Higher Education and the Company.</w:t>
              </w:r>
            </w:hyperlink>
          </w:p>
        </w:tc>
        <w:tc>
          <w:tcPr>
            <w:tcW w:w="42949672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7"/>
          </w:tcPr>
          <w:p>
            <w:pPr>
              <w:spacing w:after="0"/>
              <w:rPr>
                <w:rFonts w:ascii="Arial" w:cs="Arial" w:eastAsia="Arial" w:hAnsi="Arial"/>
                <w:sz w:val="14"/>
                <w:szCs w:val="14"/>
                <w:color w:val="0000FF"/>
              </w:rPr>
            </w:pPr>
            <w:hyperlink r:id="rId133">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30, 2013, by and between the University of</w:t>
              </w:r>
            </w:hyperlink>
          </w:p>
        </w:tc>
        <w:tc>
          <w:tcPr>
            <w:tcW w:w="30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10.21†</w:t>
            </w:r>
          </w:p>
        </w:tc>
        <w:tc>
          <w:tcPr>
            <w:tcW w:w="3260" w:type="dxa"/>
            <w:vAlign w:val="bottom"/>
            <w:gridSpan w:val="37"/>
          </w:tcPr>
          <w:p>
            <w:pPr>
              <w:spacing w:after="0" w:line="115" w:lineRule="exact"/>
              <w:rPr>
                <w:rFonts w:ascii="Arial" w:cs="Arial" w:eastAsia="Arial" w:hAnsi="Arial"/>
                <w:sz w:val="13"/>
                <w:szCs w:val="13"/>
                <w:color w:val="0000FF"/>
              </w:rPr>
            </w:pPr>
            <w:hyperlink r:id="rId133">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Higher Education and the Company.</w:t>
              </w:r>
            </w:hyperlink>
          </w:p>
        </w:tc>
        <w:tc>
          <w:tcPr>
            <w:tcW w:w="42949672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34">
              <w:r>
                <w:rPr>
                  <w:rFonts w:ascii="Arial" w:cs="Arial" w:eastAsia="Arial" w:hAnsi="Arial"/>
                  <w:sz w:val="14"/>
                  <w:szCs w:val="14"/>
                  <w:color w:val="0000FF"/>
                </w:rPr>
                <w:t>Exclusive License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10.22†</w:t>
            </w:r>
          </w:p>
        </w:tc>
        <w:tc>
          <w:tcPr>
            <w:tcW w:w="3100" w:type="dxa"/>
            <w:vAlign w:val="bottom"/>
            <w:tcBorders>
              <w:top w:val="single" w:sz="8" w:color="0000FF"/>
              <w:bottom w:val="single" w:sz="8" w:color="0000FF"/>
            </w:tcBorders>
            <w:gridSpan w:val="32"/>
          </w:tcPr>
          <w:p>
            <w:pPr>
              <w:spacing w:after="0" w:line="129" w:lineRule="exact"/>
              <w:rPr>
                <w:rFonts w:ascii="Arial" w:cs="Arial" w:eastAsia="Arial" w:hAnsi="Arial"/>
                <w:sz w:val="14"/>
                <w:szCs w:val="14"/>
                <w:color w:val="0000FF"/>
              </w:rPr>
            </w:pPr>
            <w:hyperlink r:id="rId134">
              <w:r>
                <w:rPr>
                  <w:rFonts w:ascii="Arial" w:cs="Arial" w:eastAsia="Arial" w:hAnsi="Arial"/>
                  <w:sz w:val="14"/>
                  <w:szCs w:val="14"/>
                  <w:color w:val="0000FF"/>
                </w:rPr>
                <w:t>5, 2011, by and between Thierry Dervieux, Ph.D.</w:t>
              </w:r>
            </w:hyperlink>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10.23</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160" w:type="dxa"/>
            <w:vAlign w:val="bottom"/>
            <w:tcBorders>
              <w:bottom w:val="single" w:sz="8" w:color="0000FF"/>
            </w:tcBorders>
            <w:gridSpan w:val="2"/>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and the Company.</w:t>
              </w:r>
            </w:hyperlink>
          </w:p>
        </w:tc>
        <w:tc>
          <w:tcPr>
            <w:tcW w:w="2020" w:type="dxa"/>
            <w:vAlign w:val="bottom"/>
            <w:gridSpan w:val="34"/>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35">
              <w:r>
                <w:rPr>
                  <w:rFonts w:ascii="Arial" w:cs="Arial" w:eastAsia="Arial" w:hAnsi="Arial"/>
                  <w:sz w:val="14"/>
                  <w:szCs w:val="14"/>
                  <w:color w:val="0000FF"/>
                </w:rPr>
                <w:t>Co-Promotion Agreement, dated December 10,</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6"/>
            <w:shd w:val="clear" w:color="auto" w:fill="0000FF"/>
          </w:tcPr>
          <w:p>
            <w:pPr>
              <w:spacing w:after="0" w:line="20" w:lineRule="exact"/>
              <w:rPr>
                <w:sz w:val="1"/>
                <w:szCs w:val="1"/>
                <w:color w:val="auto"/>
              </w:rPr>
            </w:pPr>
          </w:p>
        </w:tc>
        <w:tc>
          <w:tcPr>
            <w:tcW w:w="1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10.23†</w:t>
            </w:r>
          </w:p>
        </w:tc>
        <w:tc>
          <w:tcPr>
            <w:tcW w:w="3260" w:type="dxa"/>
            <w:vAlign w:val="bottom"/>
            <w:gridSpan w:val="37"/>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2018, by and between Janssen Biotech, Inc. 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10.24</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the Company.</w:t>
              </w:r>
            </w:hyperlink>
          </w:p>
        </w:tc>
        <w:tc>
          <w:tcPr>
            <w:tcW w:w="2280" w:type="dxa"/>
            <w:vAlign w:val="bottom"/>
            <w:tcBorders>
              <w:top w:val="single" w:sz="8" w:color="0000FF"/>
            </w:tcBorders>
            <w:gridSpan w:val="34"/>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60" w:type="dxa"/>
            <w:vAlign w:val="bottom"/>
            <w:tcBorders>
              <w:bottom w:val="single" w:sz="8" w:color="0000FF"/>
            </w:tcBorders>
            <w:gridSpan w:val="23"/>
          </w:tcPr>
          <w:p>
            <w:pPr>
              <w:spacing w:after="0"/>
              <w:rPr>
                <w:rFonts w:ascii="Arial" w:cs="Arial" w:eastAsia="Arial" w:hAnsi="Arial"/>
                <w:sz w:val="14"/>
                <w:szCs w:val="14"/>
                <w:color w:val="0000FF"/>
              </w:rPr>
            </w:pPr>
            <w:hyperlink r:id="rId136">
              <w:r>
                <w:rPr>
                  <w:rFonts w:ascii="Arial" w:cs="Arial" w:eastAsia="Arial" w:hAnsi="Arial"/>
                  <w:sz w:val="14"/>
                  <w:szCs w:val="14"/>
                  <w:color w:val="0000FF"/>
                </w:rPr>
                <w:t>Amendment #1 to Co-Promotion Agreement,</w:t>
              </w:r>
            </w:hyperlink>
          </w:p>
        </w:tc>
        <w:tc>
          <w:tcPr>
            <w:tcW w:w="400" w:type="dxa"/>
            <w:vAlign w:val="bottom"/>
            <w:gridSpan w:val="14"/>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260" w:type="dxa"/>
            <w:vAlign w:val="bottom"/>
            <w:gridSpan w:val="37"/>
          </w:tcPr>
          <w:p>
            <w:pPr>
              <w:spacing w:after="0" w:line="129" w:lineRule="exact"/>
              <w:rPr>
                <w:rFonts w:ascii="Arial" w:cs="Arial" w:eastAsia="Arial" w:hAnsi="Arial"/>
                <w:sz w:val="14"/>
                <w:szCs w:val="14"/>
                <w:color w:val="0000FF"/>
              </w:rPr>
            </w:pPr>
            <w:hyperlink r:id="rId136">
              <w:r>
                <w:rPr>
                  <w:rFonts w:ascii="Arial" w:cs="Arial" w:eastAsia="Arial" w:hAnsi="Arial"/>
                  <w:sz w:val="14"/>
                  <w:szCs w:val="14"/>
                  <w:color w:val="0000FF"/>
                </w:rPr>
                <w:t>dated January 1, 2019 by and between Janssen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Biotech, Inc. and the Company.</w:t>
              </w:r>
            </w:hyperlink>
          </w:p>
        </w:tc>
        <w:tc>
          <w:tcPr>
            <w:tcW w:w="200" w:type="dxa"/>
            <w:vAlign w:val="bottom"/>
            <w:gridSpan w:val="7"/>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37">
              <w:r>
                <w:rPr>
                  <w:rFonts w:ascii="Arial" w:cs="Arial" w:eastAsia="Arial" w:hAnsi="Arial"/>
                  <w:sz w:val="14"/>
                  <w:szCs w:val="14"/>
                  <w:color w:val="0000FF"/>
                </w:rPr>
                <w:t>Amendment #2 to Co-Promotion Agreement,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286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w w:val="99"/>
              </w:rPr>
            </w:pPr>
            <w:hyperlink r:id="rId137">
              <w:r>
                <w:rPr>
                  <w:rFonts w:ascii="Arial" w:cs="Arial" w:eastAsia="Arial" w:hAnsi="Arial"/>
                  <w:sz w:val="14"/>
                  <w:szCs w:val="14"/>
                  <w:color w:val="0000FF"/>
                  <w:w w:val="99"/>
                </w:rPr>
                <w:t>dated June 18, 2020 by and between Janssen</w:t>
              </w:r>
            </w:hyperlink>
          </w:p>
        </w:tc>
        <w:tc>
          <w:tcPr>
            <w:tcW w:w="140" w:type="dxa"/>
            <w:vAlign w:val="bottom"/>
            <w:tcBorders>
              <w:bottom w:val="single" w:sz="8" w:color="0000FF"/>
            </w:tcBorders>
            <w:gridSpan w:val="5"/>
          </w:tcPr>
          <w:p>
            <w:pPr>
              <w:spacing w:after="0"/>
              <w:rPr>
                <w:sz w:val="11"/>
                <w:szCs w:val="11"/>
                <w:color w:val="auto"/>
              </w:rPr>
            </w:pPr>
          </w:p>
        </w:tc>
        <w:tc>
          <w:tcPr>
            <w:tcW w:w="260" w:type="dxa"/>
            <w:vAlign w:val="bottom"/>
            <w:gridSpan w:val="9"/>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gridSpan w:val="28"/>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Biotech, Inc. and the Company.</w:t>
              </w:r>
            </w:hyperlink>
          </w:p>
        </w:tc>
        <w:tc>
          <w:tcPr>
            <w:tcW w:w="260" w:type="dxa"/>
            <w:vAlign w:val="bottom"/>
            <w:gridSpan w:val="9"/>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38">
              <w:r>
                <w:rPr>
                  <w:rFonts w:ascii="Arial" w:cs="Arial" w:eastAsia="Arial" w:hAnsi="Arial"/>
                  <w:sz w:val="14"/>
                  <w:szCs w:val="14"/>
                  <w:color w:val="0000FF"/>
                </w:rPr>
                <w:t>Amendment #3 to Co-Promotion Agreement,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284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dated December 23, 2020 by and between</w:t>
              </w:r>
            </w:hyperlink>
          </w:p>
        </w:tc>
        <w:tc>
          <w:tcPr>
            <w:tcW w:w="420" w:type="dxa"/>
            <w:vAlign w:val="bottom"/>
            <w:gridSpan w:val="15"/>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10.25</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58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138">
              <w:r>
                <w:rPr>
                  <w:rFonts w:ascii="Arial" w:cs="Arial" w:eastAsia="Arial" w:hAnsi="Arial"/>
                  <w:sz w:val="13"/>
                  <w:szCs w:val="13"/>
                  <w:color w:val="0000FF"/>
                </w:rPr>
                <w:t>Janssen Biotech, Inc. and the Company.</w:t>
              </w:r>
            </w:hyperlink>
          </w:p>
        </w:tc>
        <w:tc>
          <w:tcPr>
            <w:tcW w:w="160" w:type="dxa"/>
            <w:vAlign w:val="bottom"/>
            <w:tcBorders>
              <w:top w:val="single" w:sz="8" w:color="0000FF"/>
            </w:tcBorders>
            <w:gridSpan w:val="6"/>
          </w:tcPr>
          <w:p>
            <w:pPr>
              <w:spacing w:after="0"/>
              <w:rPr>
                <w:sz w:val="10"/>
                <w:szCs w:val="10"/>
                <w:color w:val="auto"/>
              </w:rPr>
            </w:pPr>
          </w:p>
        </w:tc>
        <w:tc>
          <w:tcPr>
            <w:tcW w:w="520" w:type="dxa"/>
            <w:vAlign w:val="bottom"/>
            <w:gridSpan w:val="23"/>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37"/>
          </w:tcPr>
          <w:p>
            <w:pPr>
              <w:spacing w:after="0"/>
              <w:rPr>
                <w:rFonts w:ascii="Arial" w:cs="Arial" w:eastAsia="Arial" w:hAnsi="Arial"/>
                <w:sz w:val="14"/>
                <w:szCs w:val="14"/>
                <w:color w:val="0000FF"/>
              </w:rPr>
            </w:pPr>
            <w:hyperlink r:id="rId139">
              <w:r>
                <w:rPr>
                  <w:rFonts w:ascii="Arial" w:cs="Arial" w:eastAsia="Arial" w:hAnsi="Arial"/>
                  <w:sz w:val="14"/>
                  <w:szCs w:val="14"/>
                  <w:color w:val="0000FF"/>
                </w:rPr>
                <w:t>Amendment #4 to Co-Promotion Agreement,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2860" w:type="dxa"/>
            <w:vAlign w:val="bottom"/>
            <w:tcBorders>
              <w:top w:val="single" w:sz="8" w:color="0000FF"/>
            </w:tcBorders>
            <w:gridSpan w:val="23"/>
          </w:tcPr>
          <w:p>
            <w:pPr>
              <w:spacing w:after="0" w:line="129" w:lineRule="exact"/>
              <w:rPr>
                <w:rFonts w:ascii="Arial" w:cs="Arial" w:eastAsia="Arial" w:hAnsi="Arial"/>
                <w:sz w:val="14"/>
                <w:szCs w:val="14"/>
                <w:color w:val="0000FF"/>
                <w:w w:val="99"/>
              </w:rPr>
            </w:pPr>
            <w:hyperlink r:id="rId139">
              <w:r>
                <w:rPr>
                  <w:rFonts w:ascii="Arial" w:cs="Arial" w:eastAsia="Arial" w:hAnsi="Arial"/>
                  <w:sz w:val="14"/>
                  <w:szCs w:val="14"/>
                  <w:color w:val="0000FF"/>
                  <w:w w:val="99"/>
                </w:rPr>
                <w:t>dated June 30, 2021 by and between Janssen</w:t>
              </w:r>
            </w:hyperlink>
          </w:p>
        </w:tc>
        <w:tc>
          <w:tcPr>
            <w:tcW w:w="400" w:type="dxa"/>
            <w:vAlign w:val="bottom"/>
            <w:gridSpan w:val="14"/>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color w:val="auto"/>
              </w:rPr>
              <w:t>8/9/2021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Biotech, Inc. and the Company.</w:t>
              </w:r>
            </w:hyperlink>
          </w:p>
        </w:tc>
        <w:tc>
          <w:tcPr>
            <w:tcW w:w="260" w:type="dxa"/>
            <w:vAlign w:val="bottom"/>
            <w:gridSpan w:val="9"/>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40" w:type="dxa"/>
            <w:vAlign w:val="bottom"/>
            <w:tcBorders>
              <w:bottom w:val="single" w:sz="8" w:color="0000FF"/>
            </w:tcBorders>
            <w:gridSpan w:val="25"/>
          </w:tcPr>
          <w:p>
            <w:pPr>
              <w:spacing w:after="0"/>
              <w:rPr>
                <w:rFonts w:ascii="Arial" w:cs="Arial" w:eastAsia="Arial" w:hAnsi="Arial"/>
                <w:sz w:val="14"/>
                <w:szCs w:val="14"/>
                <w:color w:val="0000FF"/>
              </w:rPr>
            </w:pPr>
            <w:hyperlink r:id="rId141">
              <w:r>
                <w:rPr>
                  <w:rFonts w:ascii="Arial" w:cs="Arial" w:eastAsia="Arial" w:hAnsi="Arial"/>
                  <w:sz w:val="14"/>
                  <w:szCs w:val="14"/>
                  <w:color w:val="0000FF"/>
                </w:rPr>
                <w:t>Standard Industrial/Commercial Multi-Tenant</w:t>
              </w:r>
            </w:hyperlink>
          </w:p>
        </w:tc>
        <w:tc>
          <w:tcPr>
            <w:tcW w:w="440" w:type="dxa"/>
            <w:vAlign w:val="bottom"/>
            <w:gridSpan w:val="19"/>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280" w:type="dxa"/>
            <w:vAlign w:val="bottom"/>
            <w:gridSpan w:val="44"/>
          </w:tcPr>
          <w:p>
            <w:pPr>
              <w:spacing w:after="0" w:line="129" w:lineRule="exact"/>
              <w:rPr>
                <w:rFonts w:ascii="Arial" w:cs="Arial" w:eastAsia="Arial" w:hAnsi="Arial"/>
                <w:sz w:val="14"/>
                <w:szCs w:val="14"/>
                <w:color w:val="0000FF"/>
              </w:rPr>
            </w:pPr>
            <w:hyperlink r:id="rId141">
              <w:r>
                <w:rPr>
                  <w:rFonts w:ascii="Arial" w:cs="Arial" w:eastAsia="Arial" w:hAnsi="Arial"/>
                  <w:sz w:val="14"/>
                  <w:szCs w:val="14"/>
                  <w:color w:val="0000FF"/>
                </w:rPr>
                <w:t>Lease, dated January 13, 2012, by and between</w:t>
              </w:r>
            </w:hyperlink>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2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3"/>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First Amendment to Standard</w:t>
              </w:r>
            </w:hyperlink>
          </w:p>
        </w:tc>
        <w:tc>
          <w:tcPr>
            <w:tcW w:w="1080" w:type="dxa"/>
            <w:vAlign w:val="bottom"/>
            <w:gridSpan w:val="31"/>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90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Industrial/Commercial Multi-</w:t>
              </w:r>
            </w:hyperlink>
          </w:p>
        </w:tc>
        <w:tc>
          <w:tcPr>
            <w:tcW w:w="1380" w:type="dxa"/>
            <w:vAlign w:val="bottom"/>
            <w:gridSpan w:val="36"/>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December 1, 2013,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Properties and the Company.</w:t>
              </w:r>
            </w:hyperlink>
          </w:p>
        </w:tc>
        <w:tc>
          <w:tcPr>
            <w:tcW w:w="780" w:type="dxa"/>
            <w:vAlign w:val="bottom"/>
            <w:tcBorders>
              <w:top w:val="single" w:sz="8" w:color="0000FF"/>
            </w:tcBorders>
            <w:gridSpan w:val="14"/>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Second Amendment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80" w:type="dxa"/>
            <w:vAlign w:val="bottom"/>
            <w:gridSpan w:val="44"/>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Industrial/Commercial Multi-Tenant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April 29, 2016, by and between RGS Properties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10.27</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43">
              <w:r>
                <w:rPr>
                  <w:rFonts w:ascii="Arial" w:cs="Arial" w:eastAsia="Arial" w:hAnsi="Arial"/>
                  <w:sz w:val="14"/>
                  <w:szCs w:val="14"/>
                  <w:color w:val="0000FF"/>
                  <w:w w:val="99"/>
                </w:rPr>
                <w:t>and the Company.</w:t>
              </w:r>
            </w:hyperlink>
          </w:p>
        </w:tc>
        <w:tc>
          <w:tcPr>
            <w:tcW w:w="1980" w:type="dxa"/>
            <w:vAlign w:val="bottom"/>
            <w:tcBorders>
              <w:top w:val="single" w:sz="8" w:color="0000FF"/>
            </w:tcBorders>
            <w:gridSpan w:val="3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940" w:type="dxa"/>
            <w:vAlign w:val="bottom"/>
            <w:tcBorders>
              <w:bottom w:val="single" w:sz="8" w:color="0000FF"/>
            </w:tcBorders>
            <w:gridSpan w:val="10"/>
          </w:tcPr>
          <w:p>
            <w:pPr>
              <w:spacing w:after="0"/>
              <w:rPr>
                <w:rFonts w:ascii="Arial" w:cs="Arial" w:eastAsia="Arial" w:hAnsi="Arial"/>
                <w:sz w:val="14"/>
                <w:szCs w:val="14"/>
                <w:color w:val="0000FF"/>
              </w:rPr>
            </w:pPr>
            <w:hyperlink r:id="rId144">
              <w:r>
                <w:rPr>
                  <w:rFonts w:ascii="Arial" w:cs="Arial" w:eastAsia="Arial" w:hAnsi="Arial"/>
                  <w:sz w:val="14"/>
                  <w:szCs w:val="14"/>
                  <w:color w:val="0000FF"/>
                </w:rPr>
                <w:t>Third Amendment to Standard</w:t>
              </w:r>
            </w:hyperlink>
          </w:p>
        </w:tc>
        <w:tc>
          <w:tcPr>
            <w:tcW w:w="1340" w:type="dxa"/>
            <w:vAlign w:val="bottom"/>
            <w:gridSpan w:val="34"/>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80" w:type="dxa"/>
            <w:vAlign w:val="bottom"/>
            <w:gridSpan w:val="44"/>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Industrial/Commercial Multi-Tenant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June 16, 2017, by and between RGS Properties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10.28</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44">
              <w:r>
                <w:rPr>
                  <w:rFonts w:ascii="Arial" w:cs="Arial" w:eastAsia="Arial" w:hAnsi="Arial"/>
                  <w:sz w:val="14"/>
                  <w:szCs w:val="14"/>
                  <w:color w:val="0000FF"/>
                  <w:w w:val="99"/>
                </w:rPr>
                <w:t>and the Company.</w:t>
              </w:r>
            </w:hyperlink>
          </w:p>
        </w:tc>
        <w:tc>
          <w:tcPr>
            <w:tcW w:w="2020" w:type="dxa"/>
            <w:vAlign w:val="bottom"/>
            <w:tcBorders>
              <w:top w:val="single" w:sz="8" w:color="0000FF"/>
            </w:tcBorders>
            <w:gridSpan w:val="3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80" w:type="dxa"/>
            <w:vAlign w:val="bottom"/>
            <w:tcBorders>
              <w:bottom w:val="single" w:sz="8" w:color="0000FF"/>
            </w:tcBorders>
            <w:gridSpan w:val="12"/>
          </w:tcPr>
          <w:p>
            <w:pPr>
              <w:spacing w:after="0"/>
              <w:rPr>
                <w:rFonts w:ascii="Arial" w:cs="Arial" w:eastAsia="Arial" w:hAnsi="Arial"/>
                <w:sz w:val="14"/>
                <w:szCs w:val="14"/>
                <w:color w:val="0000FF"/>
              </w:rPr>
            </w:pPr>
            <w:hyperlink r:id="rId145">
              <w:r>
                <w:rPr>
                  <w:rFonts w:ascii="Arial" w:cs="Arial" w:eastAsia="Arial" w:hAnsi="Arial"/>
                  <w:sz w:val="14"/>
                  <w:szCs w:val="14"/>
                  <w:color w:val="0000FF"/>
                </w:rPr>
                <w:t>Fourth Amendment to Standard</w:t>
              </w:r>
            </w:hyperlink>
          </w:p>
        </w:tc>
        <w:tc>
          <w:tcPr>
            <w:tcW w:w="1200" w:type="dxa"/>
            <w:vAlign w:val="bottom"/>
            <w:gridSpan w:val="32"/>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80" w:type="dxa"/>
            <w:vAlign w:val="bottom"/>
            <w:gridSpan w:val="44"/>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Industrial/Commercial Multi-Tenant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March 16, 2020,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10.29</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Properties and the Company.</w:t>
              </w:r>
            </w:hyperlink>
          </w:p>
        </w:tc>
        <w:tc>
          <w:tcPr>
            <w:tcW w:w="58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46">
              <w:r>
                <w:rPr>
                  <w:rFonts w:ascii="Arial" w:cs="Arial" w:eastAsia="Arial" w:hAnsi="Arial"/>
                  <w:sz w:val="14"/>
                  <w:szCs w:val="14"/>
                  <w:color w:val="0000FF"/>
                </w:rPr>
                <w:t>Fifth Amendment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90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Industrial/Commercial Multi-</w:t>
              </w:r>
            </w:hyperlink>
          </w:p>
        </w:tc>
        <w:tc>
          <w:tcPr>
            <w:tcW w:w="1380" w:type="dxa"/>
            <w:vAlign w:val="bottom"/>
            <w:gridSpan w:val="36"/>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October 19, 2021,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Properties and the Company.</w:t>
              </w:r>
            </w:hyperlink>
          </w:p>
        </w:tc>
        <w:tc>
          <w:tcPr>
            <w:tcW w:w="70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47">
              <w:r>
                <w:rPr>
                  <w:rFonts w:ascii="Arial" w:cs="Arial" w:eastAsia="Arial" w:hAnsi="Arial"/>
                  <w:sz w:val="14"/>
                  <w:szCs w:val="14"/>
                  <w:color w:val="0000FF"/>
                </w:rPr>
                <w:t>Standard Industrial/Commercial Single-Tenant</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296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Lease, dated September 4, 2014,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bottom w:val="single" w:sz="8" w:color="0000FF"/>
            </w:tcBorders>
            <w:gridSpan w:val="31"/>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between Geiger Court, LLC and the Company.</w:t>
              </w:r>
            </w:hyperlink>
          </w:p>
        </w:tc>
        <w:tc>
          <w:tcPr>
            <w:tcW w:w="260" w:type="dxa"/>
            <w:vAlign w:val="bottom"/>
            <w:gridSpan w:val="13"/>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48">
              <w:r>
                <w:rPr>
                  <w:rFonts w:ascii="Arial" w:cs="Arial" w:eastAsia="Arial" w:hAnsi="Arial"/>
                  <w:sz w:val="14"/>
                  <w:szCs w:val="14"/>
                  <w:color w:val="0000FF"/>
                </w:rPr>
                <w:t>First Amendment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5"/>
          </w:tcPr>
          <w:p>
            <w:pPr>
              <w:spacing w:after="0" w:line="129" w:lineRule="exact"/>
              <w:rPr>
                <w:rFonts w:ascii="Arial" w:cs="Arial" w:eastAsia="Arial" w:hAnsi="Arial"/>
                <w:sz w:val="14"/>
                <w:szCs w:val="14"/>
                <w:color w:val="0000FF"/>
                <w:w w:val="98"/>
              </w:rPr>
            </w:pPr>
            <w:hyperlink r:id="rId148">
              <w:r>
                <w:rPr>
                  <w:rFonts w:ascii="Arial" w:cs="Arial" w:eastAsia="Arial" w:hAnsi="Arial"/>
                  <w:sz w:val="14"/>
                  <w:szCs w:val="14"/>
                  <w:color w:val="0000FF"/>
                  <w:w w:val="98"/>
                </w:rPr>
                <w:t>Tenant Lease,</w:t>
              </w:r>
            </w:hyperlink>
          </w:p>
        </w:tc>
        <w:tc>
          <w:tcPr>
            <w:tcW w:w="500" w:type="dxa"/>
            <w:vAlign w:val="bottom"/>
            <w:gridSpan w:val="22"/>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3280" w:type="dxa"/>
            <w:vAlign w:val="bottom"/>
            <w:gridSpan w:val="44"/>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dated August 2, 2017, by and between Geiger</w:t>
              </w:r>
            </w:hyperlink>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9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Court, LLC and the Company.</w:t>
              </w:r>
            </w:hyperlink>
          </w:p>
        </w:tc>
        <w:tc>
          <w:tcPr>
            <w:tcW w:w="106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49">
              <w:r>
                <w:rPr>
                  <w:rFonts w:ascii="Arial" w:cs="Arial" w:eastAsia="Arial" w:hAnsi="Arial"/>
                  <w:sz w:val="14"/>
                  <w:szCs w:val="14"/>
                  <w:color w:val="0000FF"/>
                </w:rPr>
                <w:t>Extension of Lease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2800" w:type="dxa"/>
            <w:vAlign w:val="bottom"/>
            <w:tcBorders>
              <w:bottom w:val="single" w:sz="8" w:color="0000FF"/>
            </w:tcBorders>
            <w:gridSpan w:val="23"/>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Industrial/Commercial Single-Tenant Lease,</w:t>
              </w:r>
            </w:hyperlink>
          </w:p>
        </w:tc>
        <w:tc>
          <w:tcPr>
            <w:tcW w:w="480" w:type="dxa"/>
            <w:vAlign w:val="bottom"/>
            <w:gridSpan w:val="21"/>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3280" w:type="dxa"/>
            <w:vAlign w:val="bottom"/>
            <w:gridSpan w:val="44"/>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dated March 12, 2020, by and between Liberty</w:t>
              </w:r>
            </w:hyperlink>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Vista and the Company.</w:t>
              </w:r>
            </w:hyperlink>
          </w:p>
        </w:tc>
        <w:tc>
          <w:tcPr>
            <w:tcW w:w="152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0">
              <w:r>
                <w:rPr>
                  <w:rFonts w:ascii="Arial" w:cs="Arial" w:eastAsia="Arial" w:hAnsi="Arial"/>
                  <w:sz w:val="14"/>
                  <w:szCs w:val="14"/>
                  <w:color w:val="0000FF"/>
                </w:rPr>
                <w:t>First Amendment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5"/>
          </w:tcPr>
          <w:p>
            <w:pPr>
              <w:spacing w:after="0" w:line="129" w:lineRule="exact"/>
              <w:rPr>
                <w:rFonts w:ascii="Arial" w:cs="Arial" w:eastAsia="Arial" w:hAnsi="Arial"/>
                <w:sz w:val="14"/>
                <w:szCs w:val="14"/>
                <w:color w:val="0000FF"/>
                <w:w w:val="98"/>
              </w:rPr>
            </w:pPr>
            <w:hyperlink r:id="rId150">
              <w:r>
                <w:rPr>
                  <w:rFonts w:ascii="Arial" w:cs="Arial" w:eastAsia="Arial" w:hAnsi="Arial"/>
                  <w:sz w:val="14"/>
                  <w:szCs w:val="14"/>
                  <w:color w:val="0000FF"/>
                  <w:w w:val="98"/>
                </w:rPr>
                <w:t>Tenant Lease,</w:t>
              </w:r>
            </w:hyperlink>
          </w:p>
        </w:tc>
        <w:tc>
          <w:tcPr>
            <w:tcW w:w="500" w:type="dxa"/>
            <w:vAlign w:val="bottom"/>
            <w:gridSpan w:val="22"/>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10.37</w:t>
            </w:r>
          </w:p>
        </w:tc>
        <w:tc>
          <w:tcPr>
            <w:tcW w:w="3280" w:type="dxa"/>
            <w:vAlign w:val="bottom"/>
            <w:gridSpan w:val="44"/>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dated January 6, 2021, by and between Liberty</w:t>
              </w:r>
            </w:hyperlink>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Vista and the Company.</w:t>
              </w:r>
            </w:hyperlink>
          </w:p>
        </w:tc>
        <w:tc>
          <w:tcPr>
            <w:tcW w:w="158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1">
              <w:r>
                <w:rPr>
                  <w:rFonts w:ascii="Arial" w:cs="Arial" w:eastAsia="Arial" w:hAnsi="Arial"/>
                  <w:sz w:val="14"/>
                  <w:szCs w:val="14"/>
                  <w:color w:val="0000FF"/>
                </w:rPr>
                <w:t>Second Amendment to Standard</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2800" w:type="dxa"/>
            <w:vAlign w:val="bottom"/>
            <w:tcBorders>
              <w:bottom w:val="single" w:sz="8" w:color="0000FF"/>
            </w:tcBorders>
            <w:gridSpan w:val="23"/>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Industrial/Commercial Single-Tenant Lease,</w:t>
              </w:r>
            </w:hyperlink>
          </w:p>
        </w:tc>
        <w:tc>
          <w:tcPr>
            <w:tcW w:w="480" w:type="dxa"/>
            <w:vAlign w:val="bottom"/>
            <w:gridSpan w:val="21"/>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3280" w:type="dxa"/>
            <w:vAlign w:val="bottom"/>
            <w:gridSpan w:val="44"/>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dated October 11, 2021, by and between Liberty</w:t>
              </w:r>
            </w:hyperlink>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11/10/2021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Vista and the Company.</w:t>
              </w:r>
            </w:hyperlink>
          </w:p>
        </w:tc>
        <w:tc>
          <w:tcPr>
            <w:tcW w:w="1680" w:type="dxa"/>
            <w:vAlign w:val="bottom"/>
            <w:tcBorders>
              <w:top w:val="single" w:sz="8" w:color="0000FF"/>
            </w:tcBorders>
            <w:gridSpan w:val="35"/>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2">
              <w:r>
                <w:rPr>
                  <w:rFonts w:ascii="Arial" w:cs="Arial" w:eastAsia="Arial" w:hAnsi="Arial"/>
                  <w:sz w:val="14"/>
                  <w:szCs w:val="14"/>
                  <w:color w:val="0000FF"/>
                </w:rPr>
                <w:t>Standard Industrial/Commercial Multi-Tenant</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2840" w:type="dxa"/>
            <w:vAlign w:val="bottom"/>
            <w:tcBorders>
              <w:top w:val="single" w:sz="8" w:color="0000FF"/>
              <w:bottom w:val="single" w:sz="8" w:color="0000FF"/>
            </w:tcBorders>
            <w:gridSpan w:val="25"/>
          </w:tcPr>
          <w:p>
            <w:pPr>
              <w:spacing w:after="0" w:line="129" w:lineRule="exact"/>
              <w:rPr>
                <w:rFonts w:ascii="Arial" w:cs="Arial" w:eastAsia="Arial" w:hAnsi="Arial"/>
                <w:sz w:val="14"/>
                <w:szCs w:val="14"/>
                <w:color w:val="0000FF"/>
                <w:w w:val="98"/>
              </w:rPr>
            </w:pPr>
            <w:hyperlink r:id="rId152">
              <w:r>
                <w:rPr>
                  <w:rFonts w:ascii="Arial" w:cs="Arial" w:eastAsia="Arial" w:hAnsi="Arial"/>
                  <w:sz w:val="14"/>
                  <w:szCs w:val="14"/>
                  <w:color w:val="0000FF"/>
                  <w:w w:val="98"/>
                </w:rPr>
                <w:t>Lease, dated March 17, 2020 by and between</w:t>
              </w:r>
            </w:hyperlink>
          </w:p>
        </w:tc>
        <w:tc>
          <w:tcPr>
            <w:tcW w:w="8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40" w:type="dxa"/>
            <w:vAlign w:val="bottom"/>
            <w:gridSpan w:val="27"/>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RGS Properties and the Company.</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3"/>
          </w:tcPr>
          <w:p>
            <w:pPr>
              <w:spacing w:after="0"/>
              <w:rPr>
                <w:rFonts w:ascii="Arial" w:cs="Arial" w:eastAsia="Arial" w:hAnsi="Arial"/>
                <w:sz w:val="14"/>
                <w:szCs w:val="14"/>
                <w:color w:val="0000FF"/>
              </w:rPr>
            </w:pPr>
            <w:hyperlink r:id="rId153">
              <w:r>
                <w:rPr>
                  <w:rFonts w:ascii="Arial" w:cs="Arial" w:eastAsia="Arial" w:hAnsi="Arial"/>
                  <w:sz w:val="14"/>
                  <w:szCs w:val="14"/>
                  <w:color w:val="0000FF"/>
                </w:rPr>
                <w:t>First Amendment to Standard</w:t>
              </w:r>
            </w:hyperlink>
          </w:p>
        </w:tc>
        <w:tc>
          <w:tcPr>
            <w:tcW w:w="1080" w:type="dxa"/>
            <w:vAlign w:val="bottom"/>
            <w:gridSpan w:val="31"/>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90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Industrial/Commercial Multi-</w:t>
              </w:r>
            </w:hyperlink>
          </w:p>
        </w:tc>
        <w:tc>
          <w:tcPr>
            <w:tcW w:w="1380" w:type="dxa"/>
            <w:vAlign w:val="bottom"/>
            <w:gridSpan w:val="36"/>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Tenant Lease, dated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October 19, 2021,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11/10/2021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Properties and the Company.</w:t>
              </w:r>
            </w:hyperlink>
          </w:p>
        </w:tc>
        <w:tc>
          <w:tcPr>
            <w:tcW w:w="700" w:type="dxa"/>
            <w:vAlign w:val="bottom"/>
            <w:tcBorders>
              <w:top w:val="single" w:sz="8" w:color="0000FF"/>
            </w:tcBorders>
            <w:gridSpan w:val="11"/>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tcBorders>
              <w:bottom w:val="single" w:sz="8" w:color="0000FF"/>
            </w:tcBorders>
            <w:gridSpan w:val="44"/>
          </w:tcPr>
          <w:p>
            <w:pPr>
              <w:spacing w:after="0"/>
              <w:rPr>
                <w:rFonts w:ascii="Arial" w:cs="Arial" w:eastAsia="Arial" w:hAnsi="Arial"/>
                <w:sz w:val="14"/>
                <w:szCs w:val="14"/>
                <w:color w:val="0000FF"/>
              </w:rPr>
            </w:pPr>
            <w:hyperlink r:id="rId154">
              <w:r>
                <w:rPr>
                  <w:rFonts w:ascii="Arial" w:cs="Arial" w:eastAsia="Arial" w:hAnsi="Arial"/>
                  <w:sz w:val="14"/>
                  <w:szCs w:val="14"/>
                  <w:color w:val="0000FF"/>
                </w:rPr>
                <w:t>Sublease Agreement, dated August 19, 2021, by</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3280" w:type="dxa"/>
            <w:vAlign w:val="bottom"/>
            <w:gridSpan w:val="44"/>
          </w:tcPr>
          <w:p>
            <w:pPr>
              <w:spacing w:after="0" w:line="129" w:lineRule="exact"/>
              <w:rPr>
                <w:rFonts w:ascii="Arial" w:cs="Arial" w:eastAsia="Arial" w:hAnsi="Arial"/>
                <w:sz w:val="14"/>
                <w:szCs w:val="14"/>
                <w:color w:val="0000FF"/>
              </w:rPr>
            </w:pPr>
            <w:hyperlink r:id="rId154">
              <w:r>
                <w:rPr>
                  <w:rFonts w:ascii="Arial" w:cs="Arial" w:eastAsia="Arial" w:hAnsi="Arial"/>
                  <w:sz w:val="14"/>
                  <w:szCs w:val="14"/>
                  <w:color w:val="0000FF"/>
                </w:rPr>
                <w:t>and between Plum Healthcare Group, LLC and</w:t>
              </w:r>
            </w:hyperlink>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11/10/2021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the Company.</w:t>
              </w:r>
            </w:hyperlink>
          </w:p>
        </w:tc>
        <w:tc>
          <w:tcPr>
            <w:tcW w:w="2180" w:type="dxa"/>
            <w:vAlign w:val="bottom"/>
            <w:tcBorders>
              <w:top w:val="single" w:sz="8" w:color="0000FF"/>
            </w:tcBorders>
            <w:gridSpan w:val="3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5">
              <w:r>
                <w:rPr>
                  <w:rFonts w:ascii="Arial" w:cs="Arial" w:eastAsia="Arial" w:hAnsi="Arial"/>
                  <w:sz w:val="14"/>
                  <w:szCs w:val="14"/>
                  <w:color w:val="0000FF"/>
                </w:rPr>
                <w:t>Master Lease Agreement, dated February 1,</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2018, by and between Celtic Commercial</w:t>
              </w:r>
            </w:hyperlink>
          </w:p>
        </w:tc>
        <w:tc>
          <w:tcPr>
            <w:tcW w:w="200" w:type="dxa"/>
            <w:vAlign w:val="bottom"/>
            <w:tcBorders>
              <w:top w:val="single" w:sz="8" w:color="0000FF"/>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10.42</w:t>
            </w:r>
          </w:p>
        </w:tc>
        <w:tc>
          <w:tcPr>
            <w:tcW w:w="3280" w:type="dxa"/>
            <w:vAlign w:val="bottom"/>
            <w:gridSpan w:val="44"/>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Finance, a division of MB Equipment Finance,</w:t>
              </w:r>
            </w:hyperlink>
          </w:p>
        </w:tc>
        <w:tc>
          <w:tcPr>
            <w:tcW w:w="780" w:type="dxa"/>
            <w:vAlign w:val="bottom"/>
            <w:vMerge w:val="restart"/>
          </w:tcPr>
          <w:p>
            <w:pPr>
              <w:ind w:left="140"/>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92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LLC and the Company.</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6">
              <w:r>
                <w:rPr>
                  <w:rFonts w:ascii="Arial" w:cs="Arial" w:eastAsia="Arial" w:hAnsi="Arial"/>
                  <w:sz w:val="14"/>
                  <w:szCs w:val="14"/>
                  <w:color w:val="0000FF"/>
                </w:rPr>
                <w:t>Loan and Security Agreement, dated September</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260" w:type="dxa"/>
            <w:vAlign w:val="bottom"/>
            <w:tcBorders>
              <w:top w:val="single" w:sz="8" w:color="0000FF"/>
            </w:tcBorders>
            <w:gridSpan w:val="43"/>
          </w:tcPr>
          <w:p>
            <w:pPr>
              <w:spacing w:after="0" w:line="120" w:lineRule="exact"/>
              <w:rPr>
                <w:rFonts w:ascii="Arial" w:cs="Arial" w:eastAsia="Arial" w:hAnsi="Arial"/>
                <w:sz w:val="13"/>
                <w:szCs w:val="13"/>
                <w:color w:val="0000FF"/>
              </w:rPr>
            </w:pPr>
            <w:hyperlink r:id="rId156">
              <w:r>
                <w:rPr>
                  <w:rFonts w:ascii="Arial" w:cs="Arial" w:eastAsia="Arial" w:hAnsi="Arial"/>
                  <w:sz w:val="13"/>
                  <w:szCs w:val="13"/>
                  <w:color w:val="0000FF"/>
                </w:rPr>
                <w:t>7, 2017, by and between Innovatus Life</w:t>
              </w:r>
            </w:hyperlink>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10.43</w:t>
            </w:r>
          </w:p>
        </w:tc>
        <w:tc>
          <w:tcPr>
            <w:tcW w:w="2500" w:type="dxa"/>
            <w:vAlign w:val="bottom"/>
            <w:tcBorders>
              <w:top w:val="single" w:sz="8" w:color="0000FF"/>
              <w:bottom w:val="single" w:sz="8" w:color="0000FF"/>
            </w:tcBorders>
            <w:gridSpan w:val="16"/>
          </w:tcPr>
          <w:p>
            <w:pPr>
              <w:spacing w:after="0" w:line="122" w:lineRule="exact"/>
              <w:rPr>
                <w:rFonts w:ascii="Arial" w:cs="Arial" w:eastAsia="Arial" w:hAnsi="Arial"/>
                <w:sz w:val="14"/>
                <w:szCs w:val="14"/>
                <w:color w:val="0000FF"/>
              </w:rPr>
            </w:pPr>
            <w:hyperlink r:id="rId156">
              <w:r>
                <w:rPr>
                  <w:rFonts w:ascii="Arial" w:cs="Arial" w:eastAsia="Arial" w:hAnsi="Arial"/>
                  <w:sz w:val="14"/>
                  <w:szCs w:val="14"/>
                  <w:color w:val="0000FF"/>
                </w:rPr>
                <w:t>Sciences Lending Fund I, LP and the</w:t>
              </w:r>
            </w:hyperlink>
          </w:p>
        </w:tc>
        <w:tc>
          <w:tcPr>
            <w:tcW w:w="660" w:type="dxa"/>
            <w:vAlign w:val="bottom"/>
            <w:tcBorders>
              <w:bottom w:val="single" w:sz="8" w:color="0000FF"/>
            </w:tcBorders>
            <w:gridSpan w:val="22"/>
          </w:tcPr>
          <w:p>
            <w:pPr>
              <w:spacing w:after="0" w:line="122" w:lineRule="exact"/>
              <w:rPr>
                <w:rFonts w:ascii="Arial" w:cs="Arial" w:eastAsia="Arial" w:hAnsi="Arial"/>
                <w:sz w:val="14"/>
                <w:szCs w:val="14"/>
                <w:color w:val="0000FF"/>
              </w:rPr>
            </w:pPr>
            <w:hyperlink r:id="rId156">
              <w:r>
                <w:rPr>
                  <w:rFonts w:ascii="Arial" w:cs="Arial" w:eastAsia="Arial" w:hAnsi="Arial"/>
                  <w:sz w:val="14"/>
                  <w:szCs w:val="14"/>
                  <w:color w:val="0000FF"/>
                </w:rPr>
                <w:t>Company.</w:t>
              </w:r>
            </w:hyperlink>
          </w:p>
        </w:tc>
        <w:tc>
          <w:tcPr>
            <w:tcW w:w="120" w:type="dxa"/>
            <w:vAlign w:val="bottom"/>
            <w:gridSpan w:val="6"/>
          </w:tcPr>
          <w:p>
            <w:pPr>
              <w:spacing w:after="0"/>
              <w:rPr>
                <w:sz w:val="10"/>
                <w:szCs w:val="10"/>
                <w:color w:val="auto"/>
              </w:rPr>
            </w:pPr>
          </w:p>
        </w:tc>
        <w:tc>
          <w:tcPr>
            <w:tcW w:w="780" w:type="dxa"/>
            <w:vAlign w:val="bottom"/>
          </w:tcPr>
          <w:p>
            <w:pPr>
              <w:ind w:left="140"/>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10.33</w:t>
            </w:r>
          </w:p>
        </w:tc>
        <w:tc>
          <w:tcPr>
            <w:tcW w:w="940" w:type="dxa"/>
            <w:vAlign w:val="bottom"/>
          </w:tcPr>
          <w:p>
            <w:pPr>
              <w:jc w:val="center"/>
              <w:ind w:left="148"/>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7">
              <w:r>
                <w:rPr>
                  <w:rFonts w:ascii="Arial" w:cs="Arial" w:eastAsia="Arial" w:hAnsi="Arial"/>
                  <w:sz w:val="14"/>
                  <w:szCs w:val="14"/>
                  <w:color w:val="0000FF"/>
                </w:rPr>
                <w:t>First Amendment to Loan and Security</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46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Agreement, dated November 19, 2019,</w:t>
              </w:r>
            </w:hyperlink>
          </w:p>
        </w:tc>
        <w:tc>
          <w:tcPr>
            <w:tcW w:w="820" w:type="dxa"/>
            <w:vAlign w:val="bottom"/>
            <w:gridSpan w:val="29"/>
          </w:tcPr>
          <w:p>
            <w:pPr>
              <w:ind w:left="60"/>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by and</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10.44</w:t>
            </w:r>
          </w:p>
        </w:tc>
        <w:tc>
          <w:tcPr>
            <w:tcW w:w="3020" w:type="dxa"/>
            <w:vAlign w:val="bottom"/>
            <w:tcBorders>
              <w:top w:val="single" w:sz="8" w:color="0000FF"/>
              <w:bottom w:val="single" w:sz="8" w:color="0000FF"/>
            </w:tcBorders>
            <w:gridSpan w:val="31"/>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between Innovatus Life Sciences Lending I, LP</w:t>
              </w:r>
            </w:hyperlink>
          </w:p>
        </w:tc>
        <w:tc>
          <w:tcPr>
            <w:tcW w:w="60" w:type="dxa"/>
            <w:vAlign w:val="bottom"/>
            <w:tcBorders>
              <w:bottom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10.36</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bottom w:val="single" w:sz="8" w:color="0000FF"/>
            </w:tcBorders>
            <w:gridSpan w:val="2"/>
          </w:tcPr>
          <w:p>
            <w:pPr>
              <w:spacing w:after="0" w:line="129" w:lineRule="exact"/>
              <w:rPr>
                <w:rFonts w:ascii="Arial" w:cs="Arial" w:eastAsia="Arial" w:hAnsi="Arial"/>
                <w:sz w:val="14"/>
                <w:szCs w:val="14"/>
                <w:color w:val="0000FF"/>
                <w:w w:val="99"/>
              </w:rPr>
            </w:pPr>
            <w:hyperlink r:id="rId157">
              <w:r>
                <w:rPr>
                  <w:rFonts w:ascii="Arial" w:cs="Arial" w:eastAsia="Arial" w:hAnsi="Arial"/>
                  <w:sz w:val="14"/>
                  <w:szCs w:val="14"/>
                  <w:color w:val="0000FF"/>
                  <w:w w:val="99"/>
                </w:rPr>
                <w:t>and the Company.</w:t>
              </w:r>
            </w:hyperlink>
          </w:p>
        </w:tc>
        <w:tc>
          <w:tcPr>
            <w:tcW w:w="1920" w:type="dxa"/>
            <w:vAlign w:val="bottom"/>
            <w:gridSpan w:val="32"/>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44"/>
          </w:tcPr>
          <w:p>
            <w:pPr>
              <w:spacing w:after="0"/>
              <w:rPr>
                <w:rFonts w:ascii="Arial" w:cs="Arial" w:eastAsia="Arial" w:hAnsi="Arial"/>
                <w:sz w:val="14"/>
                <w:szCs w:val="14"/>
                <w:color w:val="0000FF"/>
              </w:rPr>
            </w:pPr>
            <w:hyperlink r:id="rId158">
              <w:r>
                <w:rPr>
                  <w:rFonts w:ascii="Arial" w:cs="Arial" w:eastAsia="Arial" w:hAnsi="Arial"/>
                  <w:sz w:val="14"/>
                  <w:szCs w:val="14"/>
                  <w:color w:val="0000FF"/>
                </w:rPr>
                <w:t>Acknowledgement Letter to Loan and Security</w:t>
              </w:r>
            </w:hyperlink>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000" w:type="dxa"/>
            <w:vAlign w:val="bottom"/>
            <w:tcBorders>
              <w:top w:val="single" w:sz="8" w:color="0000FF"/>
            </w:tcBorders>
            <w:gridSpan w:val="30"/>
          </w:tcPr>
          <w:p>
            <w:pPr>
              <w:spacing w:after="0" w:line="120" w:lineRule="exact"/>
              <w:rPr>
                <w:rFonts w:ascii="Arial" w:cs="Arial" w:eastAsia="Arial" w:hAnsi="Arial"/>
                <w:sz w:val="13"/>
                <w:szCs w:val="13"/>
                <w:color w:val="0000FF"/>
              </w:rPr>
            </w:pPr>
            <w:hyperlink r:id="rId158">
              <w:r>
                <w:rPr>
                  <w:rFonts w:ascii="Arial" w:cs="Arial" w:eastAsia="Arial" w:hAnsi="Arial"/>
                  <w:sz w:val="13"/>
                  <w:szCs w:val="13"/>
                  <w:color w:val="0000FF"/>
                </w:rPr>
                <w:t>Agreement, dated October 7, 2020, by and</w:t>
              </w:r>
            </w:hyperlink>
          </w:p>
        </w:tc>
        <w:tc>
          <w:tcPr>
            <w:tcW w:w="120" w:type="dxa"/>
            <w:vAlign w:val="bottom"/>
            <w:gridSpan w:val="6"/>
          </w:tcPr>
          <w:p>
            <w:pPr>
              <w:spacing w:after="0"/>
              <w:rPr>
                <w:sz w:val="10"/>
                <w:szCs w:val="10"/>
                <w:color w:val="auto"/>
              </w:rPr>
            </w:pPr>
          </w:p>
        </w:tc>
        <w:tc>
          <w:tcPr>
            <w:tcW w:w="160" w:type="dxa"/>
            <w:vAlign w:val="bottom"/>
            <w:gridSpan w:val="8"/>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10.45</w:t>
            </w:r>
          </w:p>
        </w:tc>
        <w:tc>
          <w:tcPr>
            <w:tcW w:w="2720" w:type="dxa"/>
            <w:vAlign w:val="bottom"/>
            <w:tcBorders>
              <w:top w:val="single" w:sz="8" w:color="0000FF"/>
            </w:tcBorders>
            <w:gridSpan w:val="21"/>
          </w:tcPr>
          <w:p>
            <w:pPr>
              <w:spacing w:after="0" w:line="122" w:lineRule="exact"/>
              <w:rPr>
                <w:rFonts w:ascii="Arial" w:cs="Arial" w:eastAsia="Arial" w:hAnsi="Arial"/>
                <w:sz w:val="14"/>
                <w:szCs w:val="14"/>
                <w:color w:val="0000FF"/>
              </w:rPr>
            </w:pPr>
            <w:hyperlink r:id="rId158">
              <w:r>
                <w:rPr>
                  <w:rFonts w:ascii="Arial" w:cs="Arial" w:eastAsia="Arial" w:hAnsi="Arial"/>
                  <w:sz w:val="14"/>
                  <w:szCs w:val="14"/>
                  <w:color w:val="0000FF"/>
                </w:rPr>
                <w:t>between Innovatus Life Sciences Lending</w:t>
              </w:r>
            </w:hyperlink>
          </w:p>
        </w:tc>
        <w:tc>
          <w:tcPr>
            <w:tcW w:w="560" w:type="dxa"/>
            <w:vAlign w:val="bottom"/>
            <w:gridSpan w:val="23"/>
          </w:tcPr>
          <w:p>
            <w:pPr>
              <w:spacing w:after="0" w:line="122" w:lineRule="exact"/>
              <w:rPr>
                <w:rFonts w:ascii="Arial" w:cs="Arial" w:eastAsia="Arial" w:hAnsi="Arial"/>
                <w:sz w:val="14"/>
                <w:szCs w:val="14"/>
                <w:color w:val="0000FF"/>
              </w:rPr>
            </w:pPr>
            <w:hyperlink r:id="rId158">
              <w:r>
                <w:rPr>
                  <w:rFonts w:ascii="Arial" w:cs="Arial" w:eastAsia="Arial" w:hAnsi="Arial"/>
                  <w:sz w:val="14"/>
                  <w:szCs w:val="14"/>
                  <w:color w:val="0000FF"/>
                </w:rPr>
                <w:t>Fund</w:t>
              </w:r>
            </w:hyperlink>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11/10/2020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I, LP and the Company.</w:t>
              </w:r>
            </w:hyperlink>
          </w:p>
        </w:tc>
        <w:tc>
          <w:tcPr>
            <w:tcW w:w="1620" w:type="dxa"/>
            <w:vAlign w:val="bottom"/>
            <w:tcBorders>
              <w:top w:val="single" w:sz="8" w:color="0000FF"/>
            </w:tcBorders>
            <w:gridSpan w:val="32"/>
          </w:tcPr>
          <w:p>
            <w:pPr>
              <w:spacing w:after="0"/>
              <w:rPr>
                <w:sz w:val="11"/>
                <w:szCs w:val="11"/>
                <w:color w:val="auto"/>
              </w:rPr>
            </w:pPr>
          </w:p>
        </w:tc>
        <w:tc>
          <w:tcPr>
            <w:tcW w:w="160" w:type="dxa"/>
            <w:vAlign w:val="bottom"/>
            <w:gridSpan w:val="8"/>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42"/>
          </w:tcPr>
          <w:p>
            <w:pPr>
              <w:spacing w:after="0"/>
              <w:rPr>
                <w:rFonts w:ascii="Arial" w:cs="Arial" w:eastAsia="Arial" w:hAnsi="Arial"/>
                <w:sz w:val="14"/>
                <w:szCs w:val="14"/>
                <w:color w:val="0000FF"/>
              </w:rPr>
            </w:pPr>
            <w:hyperlink r:id="rId160">
              <w:r>
                <w:rPr>
                  <w:rFonts w:ascii="Arial" w:cs="Arial" w:eastAsia="Arial" w:hAnsi="Arial"/>
                  <w:sz w:val="14"/>
                  <w:szCs w:val="14"/>
                  <w:color w:val="0000FF"/>
                </w:rPr>
                <w:t>Second Amendment to Loan and Security</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66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160">
              <w:r>
                <w:rPr>
                  <w:rFonts w:ascii="Arial" w:cs="Arial" w:eastAsia="Arial" w:hAnsi="Arial"/>
                  <w:sz w:val="13"/>
                  <w:szCs w:val="13"/>
                  <w:color w:val="0000FF"/>
                </w:rPr>
                <w:t>Agreement, dated November 1, 2021, by</w:t>
              </w:r>
            </w:hyperlink>
          </w:p>
        </w:tc>
        <w:tc>
          <w:tcPr>
            <w:tcW w:w="600" w:type="dxa"/>
            <w:vAlign w:val="bottom"/>
            <w:gridSpan w:val="22"/>
          </w:tcPr>
          <w:p>
            <w:pPr>
              <w:jc w:val="center"/>
              <w:ind w:right="380"/>
              <w:spacing w:after="0" w:line="120" w:lineRule="exact"/>
              <w:rPr>
                <w:rFonts w:ascii="Arial" w:cs="Arial" w:eastAsia="Arial" w:hAnsi="Arial"/>
                <w:sz w:val="13"/>
                <w:szCs w:val="13"/>
                <w:color w:val="0000FF"/>
              </w:rPr>
            </w:pPr>
            <w:hyperlink r:id="rId160">
              <w:r>
                <w:rPr>
                  <w:rFonts w:ascii="Arial" w:cs="Arial" w:eastAsia="Arial" w:hAnsi="Arial"/>
                  <w:sz w:val="13"/>
                  <w:szCs w:val="13"/>
                  <w:color w:val="0000FF"/>
                </w:rPr>
                <w:t>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10.46</w:t>
            </w:r>
          </w:p>
        </w:tc>
        <w:tc>
          <w:tcPr>
            <w:tcW w:w="2900" w:type="dxa"/>
            <w:vAlign w:val="bottom"/>
            <w:tcBorders>
              <w:top w:val="single" w:sz="8" w:color="0000FF"/>
            </w:tcBorders>
            <w:gridSpan w:val="28"/>
          </w:tcPr>
          <w:p>
            <w:pPr>
              <w:spacing w:after="0" w:line="122" w:lineRule="exact"/>
              <w:rPr>
                <w:rFonts w:ascii="Arial" w:cs="Arial" w:eastAsia="Arial" w:hAnsi="Arial"/>
                <w:sz w:val="14"/>
                <w:szCs w:val="14"/>
                <w:color w:val="0000FF"/>
              </w:rPr>
            </w:pPr>
            <w:hyperlink r:id="rId160">
              <w:r>
                <w:rPr>
                  <w:rFonts w:ascii="Arial" w:cs="Arial" w:eastAsia="Arial" w:hAnsi="Arial"/>
                  <w:sz w:val="14"/>
                  <w:szCs w:val="14"/>
                  <w:color w:val="0000FF"/>
                </w:rPr>
                <w:t>among Innovatus Life Sciences Lending Fund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320" w:type="dxa"/>
            <w:vAlign w:val="bottom"/>
            <w:gridSpan w:val="10"/>
          </w:tcPr>
          <w:p>
            <w:pPr>
              <w:ind w:left="20"/>
              <w:spacing w:after="0" w:line="122" w:lineRule="exact"/>
              <w:rPr>
                <w:rFonts w:ascii="Arial" w:cs="Arial" w:eastAsia="Arial" w:hAnsi="Arial"/>
                <w:sz w:val="14"/>
                <w:szCs w:val="14"/>
                <w:color w:val="0000FF"/>
              </w:rPr>
            </w:pPr>
            <w:hyperlink r:id="rId160">
              <w:r>
                <w:rPr>
                  <w:rFonts w:ascii="Arial" w:cs="Arial" w:eastAsia="Arial" w:hAnsi="Arial"/>
                  <w:sz w:val="14"/>
                  <w:szCs w:val="14"/>
                  <w:color w:val="0000FF"/>
                </w:rPr>
                <w:t>I,</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10.5</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2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LP, other lenders and the Company.</w:t>
              </w:r>
            </w:hyperlink>
          </w:p>
        </w:tc>
        <w:tc>
          <w:tcPr>
            <w:tcW w:w="780" w:type="dxa"/>
            <w:vAlign w:val="bottom"/>
            <w:tcBorders>
              <w:top w:val="single" w:sz="8" w:color="0000FF"/>
            </w:tcBorders>
            <w:gridSpan w:val="26"/>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61">
              <w:r>
                <w:rPr>
                  <w:rFonts w:ascii="Arial" w:cs="Arial" w:eastAsia="Arial" w:hAnsi="Arial"/>
                  <w:sz w:val="14"/>
                  <w:szCs w:val="14"/>
                  <w:color w:val="0000FF"/>
                </w:rPr>
                <w:t>Offer Letter, dated October 12, 2010,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84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161">
              <w:r>
                <w:rPr>
                  <w:rFonts w:ascii="Arial" w:cs="Arial" w:eastAsia="Arial" w:hAnsi="Arial"/>
                  <w:sz w:val="13"/>
                  <w:szCs w:val="13"/>
                  <w:color w:val="0000FF"/>
                </w:rPr>
                <w:t>between Thierry Dervieux, Ph.D. and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10.47#</w:t>
            </w:r>
          </w:p>
        </w:tc>
        <w:tc>
          <w:tcPr>
            <w:tcW w:w="2620" w:type="dxa"/>
            <w:vAlign w:val="bottom"/>
            <w:tcBorders>
              <w:top w:val="single" w:sz="8" w:color="0000FF"/>
            </w:tcBorders>
            <w:gridSpan w:val="18"/>
          </w:tcPr>
          <w:p>
            <w:pPr>
              <w:spacing w:after="0" w:line="122" w:lineRule="exact"/>
              <w:rPr>
                <w:rFonts w:ascii="Arial" w:cs="Arial" w:eastAsia="Arial" w:hAnsi="Arial"/>
                <w:sz w:val="14"/>
                <w:szCs w:val="14"/>
                <w:color w:val="0000FF"/>
              </w:rPr>
            </w:pPr>
            <w:hyperlink r:id="rId161">
              <w:r>
                <w:rPr>
                  <w:rFonts w:ascii="Arial" w:cs="Arial" w:eastAsia="Arial" w:hAnsi="Arial"/>
                  <w:sz w:val="14"/>
                  <w:szCs w:val="14"/>
                  <w:color w:val="0000FF"/>
                </w:rPr>
                <w:t>Company, as amended on September 9,</w:t>
              </w:r>
            </w:hyperlink>
          </w:p>
        </w:tc>
        <w:tc>
          <w:tcPr>
            <w:tcW w:w="360" w:type="dxa"/>
            <w:vAlign w:val="bottom"/>
            <w:gridSpan w:val="15"/>
          </w:tcPr>
          <w:p>
            <w:pPr>
              <w:jc w:val="center"/>
              <w:spacing w:after="0" w:line="122" w:lineRule="exact"/>
              <w:rPr>
                <w:rFonts w:ascii="Arial" w:cs="Arial" w:eastAsia="Arial" w:hAnsi="Arial"/>
                <w:sz w:val="14"/>
                <w:szCs w:val="14"/>
                <w:color w:val="0000FF"/>
              </w:rPr>
            </w:pPr>
            <w:hyperlink r:id="rId161">
              <w:r>
                <w:rPr>
                  <w:rFonts w:ascii="Arial" w:cs="Arial" w:eastAsia="Arial" w:hAnsi="Arial"/>
                  <w:sz w:val="14"/>
                  <w:szCs w:val="14"/>
                  <w:color w:val="0000FF"/>
                </w:rPr>
                <w:t>2011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4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and September 6, 2019.</w:t>
              </w:r>
            </w:hyperlink>
          </w:p>
        </w:tc>
        <w:tc>
          <w:tcPr>
            <w:tcW w:w="1400" w:type="dxa"/>
            <w:vAlign w:val="bottom"/>
            <w:tcBorders>
              <w:top w:val="single" w:sz="8" w:color="0000FF"/>
            </w:tcBorders>
            <w:gridSpan w:val="25"/>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10.48</w:t>
            </w:r>
          </w:p>
        </w:tc>
        <w:tc>
          <w:tcPr>
            <w:tcW w:w="3260" w:type="dxa"/>
            <w:vAlign w:val="bottom"/>
            <w:gridSpan w:val="42"/>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6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62">
              <w:r>
                <w:rPr>
                  <w:rFonts w:ascii="Arial" w:cs="Arial" w:eastAsia="Arial" w:hAnsi="Arial"/>
                  <w:sz w:val="14"/>
                  <w:szCs w:val="14"/>
                  <w:color w:val="0000FF"/>
                </w:rPr>
                <w:t>and Officers.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2"/>
          </w:tcPr>
          <w:p>
            <w:pPr>
              <w:spacing w:after="0"/>
              <w:rPr>
                <w:rFonts w:ascii="Arial" w:cs="Arial" w:eastAsia="Arial" w:hAnsi="Arial"/>
                <w:sz w:val="14"/>
                <w:szCs w:val="14"/>
                <w:color w:val="0000FF"/>
              </w:rPr>
            </w:pPr>
            <w:hyperlink r:id="rId163">
              <w:r>
                <w:rPr>
                  <w:rFonts w:ascii="Arial" w:cs="Arial" w:eastAsia="Arial" w:hAnsi="Arial"/>
                  <w:sz w:val="14"/>
                  <w:szCs w:val="14"/>
                  <w:color w:val="0000FF"/>
                </w:rPr>
                <w:t>Offer Letter, dated October 7, 2011,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740" w:type="dxa"/>
            <w:vAlign w:val="bottom"/>
            <w:tcBorders>
              <w:top w:val="single" w:sz="8" w:color="0000FF"/>
            </w:tcBorders>
            <w:gridSpan w:val="23"/>
          </w:tcPr>
          <w:p>
            <w:pPr>
              <w:spacing w:after="0" w:line="120" w:lineRule="exact"/>
              <w:rPr>
                <w:rFonts w:ascii="Arial" w:cs="Arial" w:eastAsia="Arial" w:hAnsi="Arial"/>
                <w:sz w:val="13"/>
                <w:szCs w:val="13"/>
                <w:color w:val="0000FF"/>
              </w:rPr>
            </w:pPr>
            <w:hyperlink r:id="rId163">
              <w:r>
                <w:rPr>
                  <w:rFonts w:ascii="Arial" w:cs="Arial" w:eastAsia="Arial" w:hAnsi="Arial"/>
                  <w:sz w:val="13"/>
                  <w:szCs w:val="13"/>
                  <w:color w:val="0000FF"/>
                </w:rPr>
                <w:t>between Fortunato Ron Rocca and the</w:t>
              </w:r>
            </w:hyperlink>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10.49#</w:t>
            </w:r>
          </w:p>
        </w:tc>
        <w:tc>
          <w:tcPr>
            <w:tcW w:w="2460" w:type="dxa"/>
            <w:vAlign w:val="bottom"/>
            <w:tcBorders>
              <w:top w:val="single" w:sz="8" w:color="0000FF"/>
              <w:bottom w:val="single" w:sz="8" w:color="0000FF"/>
            </w:tcBorders>
            <w:gridSpan w:val="12"/>
          </w:tcPr>
          <w:p>
            <w:pPr>
              <w:spacing w:after="0" w:line="122" w:lineRule="exact"/>
              <w:rPr>
                <w:rFonts w:ascii="Arial" w:cs="Arial" w:eastAsia="Arial" w:hAnsi="Arial"/>
                <w:sz w:val="14"/>
                <w:szCs w:val="14"/>
                <w:color w:val="0000FF"/>
              </w:rPr>
            </w:pPr>
            <w:hyperlink r:id="rId163">
              <w:r>
                <w:rPr>
                  <w:rFonts w:ascii="Arial" w:cs="Arial" w:eastAsia="Arial" w:hAnsi="Arial"/>
                  <w:sz w:val="14"/>
                  <w:szCs w:val="14"/>
                  <w:color w:val="0000FF"/>
                </w:rPr>
                <w:t>Company, as amended on September</w:t>
              </w:r>
            </w:hyperlink>
          </w:p>
        </w:tc>
        <w:tc>
          <w:tcPr>
            <w:tcW w:w="520" w:type="dxa"/>
            <w:vAlign w:val="bottom"/>
            <w:tcBorders>
              <w:bottom w:val="single" w:sz="8" w:color="0000FF"/>
            </w:tcBorders>
            <w:gridSpan w:val="21"/>
          </w:tcPr>
          <w:p>
            <w:pPr>
              <w:jc w:val="right"/>
              <w:spacing w:after="0" w:line="122" w:lineRule="exact"/>
              <w:rPr>
                <w:rFonts w:ascii="Arial" w:cs="Arial" w:eastAsia="Arial" w:hAnsi="Arial"/>
                <w:sz w:val="14"/>
                <w:szCs w:val="14"/>
                <w:color w:val="0000FF"/>
                <w:w w:val="98"/>
              </w:rPr>
            </w:pPr>
            <w:hyperlink r:id="rId163">
              <w:r>
                <w:rPr>
                  <w:rFonts w:ascii="Arial" w:cs="Arial" w:eastAsia="Arial" w:hAnsi="Arial"/>
                  <w:sz w:val="14"/>
                  <w:szCs w:val="14"/>
                  <w:color w:val="0000FF"/>
                  <w:w w:val="98"/>
                </w:rPr>
                <w:t>4, 2019.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10.36</w:t>
            </w:r>
          </w:p>
        </w:tc>
        <w:tc>
          <w:tcPr>
            <w:tcW w:w="1840" w:type="dxa"/>
            <w:vAlign w:val="bottom"/>
          </w:tcPr>
          <w:p>
            <w:pPr>
              <w:jc w:val="center"/>
              <w:ind w:right="613"/>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64">
              <w:r>
                <w:rPr>
                  <w:rFonts w:ascii="Arial" w:cs="Arial" w:eastAsia="Arial" w:hAnsi="Arial"/>
                  <w:sz w:val="14"/>
                  <w:szCs w:val="14"/>
                  <w:color w:val="0000FF"/>
                </w:rPr>
                <w:t>Offer Letter, dated May 16, 2017,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10.50#</w:t>
            </w:r>
          </w:p>
        </w:tc>
        <w:tc>
          <w:tcPr>
            <w:tcW w:w="2580" w:type="dxa"/>
            <w:vAlign w:val="bottom"/>
            <w:tcBorders>
              <w:top w:val="single" w:sz="8" w:color="0000FF"/>
            </w:tcBorders>
            <w:gridSpan w:val="16"/>
          </w:tcPr>
          <w:p>
            <w:pPr>
              <w:spacing w:after="0" w:line="129" w:lineRule="exact"/>
              <w:rPr>
                <w:rFonts w:ascii="Arial" w:cs="Arial" w:eastAsia="Arial" w:hAnsi="Arial"/>
                <w:sz w:val="14"/>
                <w:szCs w:val="14"/>
                <w:color w:val="0000FF"/>
                <w:w w:val="99"/>
              </w:rPr>
            </w:pPr>
            <w:hyperlink r:id="rId164">
              <w:r>
                <w:rPr>
                  <w:rFonts w:ascii="Arial" w:cs="Arial" w:eastAsia="Arial" w:hAnsi="Arial"/>
                  <w:sz w:val="14"/>
                  <w:szCs w:val="14"/>
                  <w:color w:val="0000FF"/>
                  <w:w w:val="99"/>
                </w:rPr>
                <w:t>between Kamal Adawi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gridSpan w:val="23"/>
          </w:tcPr>
          <w:p>
            <w:pPr>
              <w:ind w:left="20"/>
              <w:spacing w:after="0" w:line="129" w:lineRule="exact"/>
              <w:rPr>
                <w:rFonts w:ascii="Arial" w:cs="Arial" w:eastAsia="Arial" w:hAnsi="Arial"/>
                <w:sz w:val="14"/>
                <w:szCs w:val="14"/>
                <w:color w:val="0000FF"/>
              </w:rPr>
            </w:pPr>
            <w:hyperlink r:id="rId164">
              <w:r>
                <w:rPr>
                  <w:rFonts w:ascii="Arial" w:cs="Arial" w:eastAsia="Arial" w:hAnsi="Arial"/>
                  <w:sz w:val="14"/>
                  <w:szCs w:val="14"/>
                  <w:color w:val="0000FF"/>
                </w:rPr>
                <w:t>as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10.37</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amended on September 4, 2019.</w:t>
              </w:r>
            </w:hyperlink>
          </w:p>
        </w:tc>
        <w:tc>
          <w:tcPr>
            <w:tcW w:w="72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65">
              <w:r>
                <w:rPr>
                  <w:rFonts w:ascii="Arial" w:cs="Arial" w:eastAsia="Arial" w:hAnsi="Arial"/>
                  <w:sz w:val="14"/>
                  <w:szCs w:val="14"/>
                  <w:color w:val="0000FF"/>
                </w:rPr>
                <w:t>Offer Letter dated February 21, 2020,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10.51#</w:t>
            </w:r>
          </w:p>
        </w:tc>
        <w:tc>
          <w:tcPr>
            <w:tcW w:w="28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between Debra Zack, MD Ph.D. and the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10.41</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6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Company.</w:t>
              </w:r>
            </w:hyperlink>
          </w:p>
        </w:tc>
        <w:tc>
          <w:tcPr>
            <w:tcW w:w="190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10.52#</w:t>
            </w:r>
          </w:p>
        </w:tc>
        <w:tc>
          <w:tcPr>
            <w:tcW w:w="3120" w:type="dxa"/>
            <w:vAlign w:val="bottom"/>
            <w:tcBorders>
              <w:bottom w:val="single" w:sz="8" w:color="0000FF"/>
            </w:tcBorders>
            <w:gridSpan w:val="41"/>
          </w:tcPr>
          <w:p>
            <w:pPr>
              <w:spacing w:after="0"/>
              <w:rPr>
                <w:rFonts w:ascii="Arial" w:cs="Arial" w:eastAsia="Arial" w:hAnsi="Arial"/>
                <w:sz w:val="14"/>
                <w:szCs w:val="14"/>
                <w:color w:val="0000FF"/>
              </w:rPr>
            </w:pPr>
            <w:hyperlink r:id="rId166">
              <w:r>
                <w:rPr>
                  <w:rFonts w:ascii="Arial" w:cs="Arial" w:eastAsia="Arial" w:hAnsi="Arial"/>
                  <w:sz w:val="14"/>
                  <w:szCs w:val="14"/>
                  <w:color w:val="0000FF"/>
                </w:rPr>
                <w:t>Non-Employee Director Compensation Program.</w:t>
              </w:r>
            </w:hyperlink>
          </w:p>
        </w:tc>
        <w:tc>
          <w:tcPr>
            <w:tcW w:w="14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10.38</w:t>
            </w:r>
          </w:p>
        </w:tc>
        <w:tc>
          <w:tcPr>
            <w:tcW w:w="1840" w:type="dxa"/>
            <w:vAlign w:val="bottom"/>
          </w:tcPr>
          <w:p>
            <w:pPr>
              <w:jc w:val="center"/>
              <w:ind w:right="613"/>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10.53#</w:t>
            </w:r>
          </w:p>
        </w:tc>
        <w:tc>
          <w:tcPr>
            <w:tcW w:w="2940" w:type="dxa"/>
            <w:vAlign w:val="bottom"/>
            <w:tcBorders>
              <w:bottom w:val="single" w:sz="8" w:color="0000FF"/>
            </w:tcBorders>
            <w:gridSpan w:val="32"/>
          </w:tcPr>
          <w:p>
            <w:pPr>
              <w:spacing w:after="0"/>
              <w:rPr>
                <w:rFonts w:ascii="Arial" w:cs="Arial" w:eastAsia="Arial" w:hAnsi="Arial"/>
                <w:sz w:val="14"/>
                <w:szCs w:val="14"/>
                <w:color w:val="0000FF"/>
              </w:rPr>
            </w:pPr>
            <w:hyperlink r:id="rId167">
              <w:r>
                <w:rPr>
                  <w:rFonts w:ascii="Arial" w:cs="Arial" w:eastAsia="Arial" w:hAnsi="Arial"/>
                  <w:sz w:val="14"/>
                  <w:szCs w:val="14"/>
                  <w:color w:val="0000FF"/>
                </w:rPr>
                <w:t>Executive Change in Control Severance Plan.</w:t>
              </w:r>
            </w:hyperlink>
          </w:p>
        </w:tc>
        <w:tc>
          <w:tcPr>
            <w:tcW w:w="320" w:type="dxa"/>
            <w:vAlign w:val="bottom"/>
            <w:gridSpan w:val="10"/>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10.46</w:t>
            </w:r>
          </w:p>
        </w:tc>
        <w:tc>
          <w:tcPr>
            <w:tcW w:w="1840" w:type="dxa"/>
            <w:vAlign w:val="bottom"/>
          </w:tcPr>
          <w:p>
            <w:pPr>
              <w:jc w:val="center"/>
              <w:ind w:right="613"/>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68">
              <w:r>
                <w:rPr>
                  <w:rFonts w:ascii="Arial" w:cs="Arial" w:eastAsia="Arial" w:hAnsi="Arial"/>
                  <w:sz w:val="14"/>
                  <w:szCs w:val="14"/>
                  <w:color w:val="0000FF"/>
                </w:rPr>
                <w:t>Employment Agreement, dated as of October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10.54#</w:t>
            </w:r>
          </w:p>
        </w:tc>
        <w:tc>
          <w:tcPr>
            <w:tcW w:w="29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16, 2022, by and between the Company and</w:t>
              </w:r>
            </w:hyperlink>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70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John Aballi</w:t>
              </w:r>
            </w:hyperlink>
          </w:p>
        </w:tc>
        <w:tc>
          <w:tcPr>
            <w:tcW w:w="2160" w:type="dxa"/>
            <w:vAlign w:val="bottom"/>
            <w:tcBorders>
              <w:top w:val="single" w:sz="8" w:color="0000FF"/>
            </w:tcBorders>
            <w:gridSpan w:val="2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69">
              <w:r>
                <w:rPr>
                  <w:rFonts w:ascii="Arial" w:cs="Arial" w:eastAsia="Arial" w:hAnsi="Arial"/>
                  <w:sz w:val="14"/>
                  <w:szCs w:val="14"/>
                  <w:color w:val="0000FF"/>
                </w:rPr>
                <w:t>Severance Agreement, dated as of October 14,</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10.55#</w:t>
            </w:r>
          </w:p>
        </w:tc>
        <w:tc>
          <w:tcPr>
            <w:tcW w:w="302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2022, by and between the Company and Ron</w:t>
              </w:r>
            </w:hyperlink>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6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Rocca</w:t>
              </w:r>
            </w:hyperlink>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920" w:type="dxa"/>
            <w:vAlign w:val="bottom"/>
            <w:tcBorders>
              <w:bottom w:val="single" w:sz="8" w:color="0000FF"/>
            </w:tcBorders>
            <w:gridSpan w:val="29"/>
          </w:tcPr>
          <w:p>
            <w:pPr>
              <w:spacing w:after="0"/>
              <w:rPr>
                <w:rFonts w:ascii="Arial" w:cs="Arial" w:eastAsia="Arial" w:hAnsi="Arial"/>
                <w:sz w:val="14"/>
                <w:szCs w:val="14"/>
                <w:color w:val="0000FF"/>
              </w:rPr>
            </w:pPr>
            <w:hyperlink r:id="rId170">
              <w:r>
                <w:rPr>
                  <w:rFonts w:ascii="Arial" w:cs="Arial" w:eastAsia="Arial" w:hAnsi="Arial"/>
                  <w:sz w:val="14"/>
                  <w:szCs w:val="14"/>
                  <w:color w:val="0000FF"/>
                </w:rPr>
                <w:t>Sales Agreement, dated as of September 15,</w:t>
              </w:r>
            </w:hyperlink>
          </w:p>
        </w:tc>
        <w:tc>
          <w:tcPr>
            <w:tcW w:w="34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10.56</w:t>
            </w:r>
          </w:p>
        </w:tc>
        <w:tc>
          <w:tcPr>
            <w:tcW w:w="3260" w:type="dxa"/>
            <w:vAlign w:val="bottom"/>
            <w:gridSpan w:val="42"/>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2022, by and between the Company and Cowen</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9/15/2022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and Company, LLC</w:t>
              </w:r>
            </w:hyperlink>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71">
              <w:r>
                <w:rPr>
                  <w:rFonts w:ascii="Arial" w:cs="Arial" w:eastAsia="Arial" w:hAnsi="Arial"/>
                  <w:sz w:val="14"/>
                  <w:szCs w:val="14"/>
                  <w:color w:val="0000FF"/>
                </w:rPr>
                <w:t>Consulting Agreement, dated as of December 5,</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10.57</w:t>
            </w:r>
          </w:p>
        </w:tc>
        <w:tc>
          <w:tcPr>
            <w:tcW w:w="308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71">
              <w:r>
                <w:rPr>
                  <w:rFonts w:ascii="Arial" w:cs="Arial" w:eastAsia="Arial" w:hAnsi="Arial"/>
                  <w:sz w:val="14"/>
                  <w:szCs w:val="14"/>
                  <w:color w:val="0000FF"/>
                </w:rPr>
                <w:t>2022, by and between the Company and Debra</w:t>
              </w:r>
            </w:hyperlink>
          </w:p>
        </w:tc>
        <w:tc>
          <w:tcPr>
            <w:tcW w:w="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3"/>
              <w:spacing w:after="0"/>
              <w:rPr>
                <w:sz w:val="20"/>
                <w:szCs w:val="20"/>
                <w:color w:val="auto"/>
              </w:rPr>
            </w:pPr>
            <w:r>
              <w:rPr>
                <w:rFonts w:ascii="Arial" w:cs="Arial" w:eastAsia="Arial" w:hAnsi="Arial"/>
                <w:sz w:val="14"/>
                <w:szCs w:val="14"/>
                <w:color w:val="auto"/>
              </w:rPr>
              <w:t>12/5/2022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4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Zack, M.D., Ph.D.</w:t>
              </w:r>
            </w:hyperlink>
          </w:p>
        </w:tc>
        <w:tc>
          <w:tcPr>
            <w:tcW w:w="2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60" w:type="dxa"/>
            <w:vAlign w:val="bottom"/>
            <w:gridSpan w:val="42"/>
          </w:tcPr>
          <w:p>
            <w:pPr>
              <w:spacing w:after="0"/>
              <w:rPr>
                <w:sz w:val="20"/>
                <w:szCs w:val="20"/>
                <w:color w:val="auto"/>
              </w:rPr>
            </w:pPr>
            <w:r>
              <w:rPr>
                <w:rFonts w:ascii="Arial" w:cs="Arial" w:eastAsia="Arial" w:hAnsi="Arial"/>
                <w:sz w:val="14"/>
                <w:szCs w:val="14"/>
                <w:color w:val="0000FF"/>
              </w:rPr>
              <w:t>Consent of Independent Registered Public</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20" w:type="dxa"/>
            <w:vAlign w:val="bottom"/>
            <w:tcBorders>
              <w:top w:val="single" w:sz="8" w:color="0000FF"/>
              <w:bottom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Accounting Firm.</w:t>
            </w:r>
          </w:p>
        </w:tc>
        <w:tc>
          <w:tcPr>
            <w:tcW w:w="158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60" w:type="dxa"/>
            <w:vAlign w:val="bottom"/>
            <w:tcBorders>
              <w:bottom w:val="single" w:sz="8" w:color="0000FF"/>
            </w:tcBorders>
            <w:gridSpan w:val="38"/>
          </w:tcPr>
          <w:p>
            <w:pPr>
              <w:spacing w:after="0"/>
              <w:rPr>
                <w:sz w:val="20"/>
                <w:szCs w:val="20"/>
                <w:color w:val="auto"/>
              </w:rPr>
            </w:pPr>
            <w:r>
              <w:rPr>
                <w:rFonts w:ascii="Arial" w:cs="Arial" w:eastAsia="Arial" w:hAnsi="Arial"/>
                <w:sz w:val="14"/>
                <w:szCs w:val="14"/>
                <w:color w:val="0000FF"/>
              </w:rPr>
              <w:t>Power of Attorney (included on signature page).</w:t>
            </w:r>
          </w:p>
        </w:tc>
        <w:tc>
          <w:tcPr>
            <w:tcW w:w="20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56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Certificate of Principal Executive Officer,</w:t>
            </w:r>
          </w:p>
        </w:tc>
        <w:tc>
          <w:tcPr>
            <w:tcW w:w="700" w:type="dxa"/>
            <w:vAlign w:val="bottom"/>
            <w:gridSpan w:val="27"/>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260" w:type="dxa"/>
            <w:vAlign w:val="bottom"/>
            <w:gridSpan w:val="42"/>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40" w:type="dxa"/>
            <w:vAlign w:val="bottom"/>
            <w:tcBorders>
              <w:top w:val="single" w:sz="8" w:color="0000FF"/>
            </w:tcBorders>
            <w:gridSpan w:val="19"/>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80" w:type="dxa"/>
            <w:vAlign w:val="bottom"/>
            <w:gridSpan w:val="3"/>
          </w:tcPr>
          <w:p>
            <w:pPr>
              <w:spacing w:after="0"/>
              <w:rPr>
                <w:sz w:val="10"/>
                <w:szCs w:val="10"/>
                <w:color w:val="auto"/>
              </w:rPr>
            </w:pPr>
          </w:p>
        </w:tc>
        <w:tc>
          <w:tcPr>
            <w:tcW w:w="26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7"/>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40" w:type="dxa"/>
            <w:vAlign w:val="bottom"/>
            <w:tcBorders>
              <w:top w:val="single" w:sz="8" w:color="0000FF"/>
            </w:tcBorders>
            <w:gridSpan w:val="5"/>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6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7"/>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20" w:type="dxa"/>
            <w:vAlign w:val="bottom"/>
            <w:tcBorders>
              <w:top w:val="single" w:sz="8" w:color="0000FF"/>
            </w:tcBorders>
            <w:gridSpan w:val="41"/>
          </w:tcPr>
          <w:p>
            <w:pPr>
              <w:spacing w:after="0" w:line="120" w:lineRule="exact"/>
              <w:rPr>
                <w:sz w:val="20"/>
                <w:szCs w:val="20"/>
                <w:color w:val="auto"/>
              </w:rPr>
            </w:pPr>
            <w:r>
              <w:rPr>
                <w:rFonts w:ascii="Arial" w:cs="Arial" w:eastAsia="Arial" w:hAnsi="Arial"/>
                <w:sz w:val="13"/>
                <w:szCs w:val="13"/>
                <w:color w:val="0000FF"/>
              </w:rPr>
              <w:t>to Rule 13a-14(a)/15d-14(a), as adopted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5"/>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700" w:type="dxa"/>
            <w:vAlign w:val="bottom"/>
            <w:gridSpan w:val="27"/>
          </w:tcPr>
          <w:p>
            <w:pPr>
              <w:jc w:val="center"/>
              <w:ind w:right="280"/>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000" w:type="dxa"/>
            <w:vAlign w:val="bottom"/>
            <w:tcBorders>
              <w:top w:val="single" w:sz="8" w:color="0000FF"/>
            </w:tcBorders>
            <w:gridSpan w:val="34"/>
          </w:tcPr>
          <w:p>
            <w:pPr>
              <w:spacing w:after="0" w:line="129" w:lineRule="exact"/>
              <w:rPr>
                <w:sz w:val="20"/>
                <w:szCs w:val="20"/>
                <w:color w:val="auto"/>
              </w:rPr>
            </w:pPr>
            <w:r>
              <w:rPr>
                <w:rFonts w:ascii="Arial" w:cs="Arial" w:eastAsia="Arial" w:hAnsi="Arial"/>
                <w:sz w:val="14"/>
                <w:szCs w:val="14"/>
                <w:color w:val="0000FF"/>
              </w:rPr>
              <w:t>Act of 2002.</w:t>
            </w:r>
          </w:p>
        </w:tc>
        <w:tc>
          <w:tcPr>
            <w:tcW w:w="260" w:type="dxa"/>
            <w:vAlign w:val="bottom"/>
            <w:gridSpan w:val="8"/>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980" w:type="dxa"/>
            <w:vAlign w:val="bottom"/>
            <w:tcBorders>
              <w:top w:val="single" w:sz="8" w:color="0000FF"/>
            </w:tcBorders>
            <w:gridSpan w:val="33"/>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280" w:type="dxa"/>
            <w:vAlign w:val="bottom"/>
            <w:gridSpan w:val="9"/>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22"/>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540" w:type="dxa"/>
            <w:vAlign w:val="bottom"/>
            <w:gridSpan w:val="20"/>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60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660" w:type="dxa"/>
            <w:vAlign w:val="bottom"/>
            <w:gridSpan w:val="25"/>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1260" w:type="dxa"/>
            <w:vAlign w:val="bottom"/>
            <w:gridSpan w:val="3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3260" w:type="dxa"/>
            <w:vAlign w:val="bottom"/>
            <w:gridSpan w:val="42"/>
          </w:tcPr>
          <w:p>
            <w:pPr>
              <w:spacing w:after="0"/>
              <w:rPr>
                <w:sz w:val="20"/>
                <w:szCs w:val="20"/>
                <w:color w:val="auto"/>
              </w:rPr>
            </w:pPr>
            <w:r>
              <w:rPr>
                <w:rFonts w:ascii="Arial" w:cs="Arial" w:eastAsia="Arial" w:hAnsi="Arial"/>
                <w:sz w:val="14"/>
                <w:szCs w:val="14"/>
                <w:color w:val="auto"/>
              </w:rPr>
              <w:t>The cover page from the Company's Annual</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260" w:type="dxa"/>
            <w:vAlign w:val="bottom"/>
            <w:gridSpan w:val="42"/>
          </w:tcPr>
          <w:p>
            <w:pPr>
              <w:spacing w:after="0" w:line="135" w:lineRule="exact"/>
              <w:rPr>
                <w:sz w:val="20"/>
                <w:szCs w:val="20"/>
                <w:color w:val="auto"/>
              </w:rPr>
            </w:pPr>
            <w:r>
              <w:rPr>
                <w:rFonts w:ascii="Arial" w:cs="Arial" w:eastAsia="Arial" w:hAnsi="Arial"/>
                <w:sz w:val="14"/>
                <w:szCs w:val="14"/>
                <w:color w:val="auto"/>
              </w:rPr>
              <w:t>Report on Form 10-K for the year ended</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60" w:type="dxa"/>
            <w:vAlign w:val="bottom"/>
            <w:gridSpan w:val="42"/>
          </w:tcPr>
          <w:p>
            <w:pPr>
              <w:spacing w:after="0" w:line="149" w:lineRule="exact"/>
              <w:rPr>
                <w:sz w:val="20"/>
                <w:szCs w:val="20"/>
                <w:color w:val="auto"/>
              </w:rPr>
            </w:pPr>
            <w:r>
              <w:rPr>
                <w:rFonts w:ascii="Arial" w:cs="Arial" w:eastAsia="Arial" w:hAnsi="Arial"/>
                <w:sz w:val="14"/>
                <w:szCs w:val="14"/>
                <w:color w:val="auto"/>
              </w:rPr>
              <w:t>December 31, 2021, has been formatted in Inline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104</w:t>
            </w:r>
          </w:p>
        </w:tc>
        <w:tc>
          <w:tcPr>
            <w:tcW w:w="3260" w:type="dxa"/>
            <w:vAlign w:val="bottom"/>
            <w:gridSpan w:val="42"/>
          </w:tcPr>
          <w:p>
            <w:pPr>
              <w:spacing w:after="0"/>
              <w:rPr>
                <w:sz w:val="20"/>
                <w:szCs w:val="20"/>
                <w:color w:val="auto"/>
              </w:rPr>
            </w:pPr>
            <w:r>
              <w:rPr>
                <w:rFonts w:ascii="Arial" w:cs="Arial" w:eastAsia="Arial" w:hAnsi="Arial"/>
                <w:sz w:val="14"/>
                <w:szCs w:val="14"/>
                <w:color w:val="auto"/>
              </w:rPr>
              <w:t>XBRL.</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3" w:name="page94"/>
    <w:bookmarkEnd w:id="93"/>
    <w:p>
      <w:pPr>
        <w:ind w:left="643" w:hanging="643"/>
        <w:spacing w:after="0" w:line="250" w:lineRule="auto"/>
        <w:tabs>
          <w:tab w:leader="none" w:pos="31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03" w:hanging="303"/>
        <w:spacing w:after="0"/>
        <w:tabs>
          <w:tab w:leader="none" w:pos="3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803" w:right="2440" w:hanging="4803"/>
        <w:spacing w:after="0" w:line="903" w:lineRule="auto"/>
        <w:tabs>
          <w:tab w:leader="none" w:pos="3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-306070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08" w:right="67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220" w:val="left"/>
          <w:tab w:leader="none" w:pos="6860" w:val="left"/>
        </w:tabs>
        <w:rPr>
          <w:sz w:val="20"/>
          <w:szCs w:val="20"/>
          <w:color w:val="auto"/>
        </w:rPr>
      </w:pPr>
      <w:r>
        <w:rPr>
          <w:rFonts w:ascii="Arial" w:cs="Arial" w:eastAsia="Arial" w:hAnsi="Arial"/>
          <w:sz w:val="18"/>
          <w:szCs w:val="18"/>
          <w:color w:val="auto"/>
        </w:rPr>
        <w:t>Date: March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4771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Aballi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Aballi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5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2"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9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Aballi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6"/>
        </w:trPr>
        <w:tc>
          <w:tcPr>
            <w:tcW w:w="2780" w:type="dxa"/>
            <w:vAlign w:val="bottom"/>
          </w:tcPr>
          <w:p>
            <w:pPr>
              <w:jc w:val="center"/>
              <w:spacing w:after="0"/>
              <w:rPr>
                <w:sz w:val="20"/>
                <w:szCs w:val="20"/>
                <w:color w:val="auto"/>
              </w:rPr>
            </w:pPr>
            <w:r>
              <w:rPr>
                <w:rFonts w:ascii="Arial" w:cs="Arial" w:eastAsia="Arial" w:hAnsi="Arial"/>
                <w:sz w:val="16"/>
                <w:szCs w:val="16"/>
                <w:color w:val="auto"/>
              </w:rPr>
              <w:t>John Aballi</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40"/>
              <w:spacing w:after="0"/>
              <w:rPr>
                <w:sz w:val="20"/>
                <w:szCs w:val="20"/>
                <w:color w:val="auto"/>
              </w:rPr>
            </w:pPr>
            <w:r>
              <w:rPr>
                <w:rFonts w:ascii="Arial" w:cs="Arial" w:eastAsia="Arial" w:hAnsi="Arial"/>
                <w:sz w:val="16"/>
                <w:szCs w:val="16"/>
                <w:color w:val="auto"/>
              </w:rPr>
              <w:t>Executive Chairperson of the Board</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Birk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Ana Hooker</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Ana Hooker</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Wendy S. Johnson</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Wendy S. Johnson</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Ebetuel Pallares,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Frank Stokes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Frank Stokes</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L.L. Tullis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20, 2023</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w w:val="99"/>
              </w:rPr>
              <w:t>James L.L. Tullis</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931" w:right="1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4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980" w:type="dxa"/>
            <w:vAlign w:val="bottom"/>
            <w:gridSpan w:val="7"/>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243)</w:t>
            </w:r>
          </w:p>
        </w:tc>
        <w:tc>
          <w:tcPr>
            <w:tcW w:w="2240" w:type="dxa"/>
            <w:vAlign w:val="bottom"/>
            <w:gridSpan w:val="3"/>
          </w:tcPr>
          <w:p>
            <w:pPr>
              <w:jc w:val="center"/>
              <w:spacing w:after="0" w:line="182" w:lineRule="exact"/>
              <w:rPr>
                <w:sz w:val="20"/>
                <w:szCs w:val="20"/>
                <w:color w:val="auto"/>
              </w:rPr>
            </w:pPr>
            <w:r>
              <w:rPr>
                <w:rFonts w:ascii="Arial" w:cs="Arial" w:eastAsia="Arial" w:hAnsi="Arial"/>
                <w:sz w:val="18"/>
                <w:szCs w:val="18"/>
                <w:color w:val="3051F2"/>
              </w:rPr>
              <w:t>F-2</w:t>
            </w:r>
          </w:p>
        </w:tc>
        <w:tc>
          <w:tcPr>
            <w:tcW w:w="0" w:type="dxa"/>
            <w:vAlign w:val="bottom"/>
          </w:tcPr>
          <w:p>
            <w:pPr>
              <w:spacing w:after="0"/>
              <w:rPr>
                <w:sz w:val="1"/>
                <w:szCs w:val="1"/>
                <w:color w:val="auto"/>
              </w:rPr>
            </w:pPr>
          </w:p>
        </w:tc>
      </w:tr>
      <w:tr>
        <w:trPr>
          <w:trHeight w:val="209"/>
        </w:trPr>
        <w:tc>
          <w:tcPr>
            <w:tcW w:w="41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Balance Sheets as of December 31, 2022 and 2021</w:t>
            </w:r>
          </w:p>
        </w:tc>
        <w:tc>
          <w:tcPr>
            <w:tcW w:w="460" w:type="dxa"/>
            <w:vAlign w:val="bottom"/>
            <w:tcBorders>
              <w:top w:val="single" w:sz="8" w:color="0000FF"/>
            </w:tcBorders>
          </w:tcPr>
          <w:p>
            <w:pPr>
              <w:spacing w:after="0"/>
              <w:rPr>
                <w:sz w:val="18"/>
                <w:szCs w:val="18"/>
                <w:color w:val="auto"/>
              </w:rPr>
            </w:pPr>
          </w:p>
        </w:tc>
        <w:tc>
          <w:tcPr>
            <w:tcW w:w="438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3051F2"/>
              <w:bottom w:val="single" w:sz="8" w:color="3051F2"/>
            </w:tcBorders>
          </w:tcPr>
          <w:p>
            <w:pPr>
              <w:jc w:val="center"/>
              <w:spacing w:after="0"/>
              <w:rPr>
                <w:sz w:val="20"/>
                <w:szCs w:val="20"/>
                <w:color w:val="auto"/>
              </w:rPr>
            </w:pPr>
            <w:r>
              <w:rPr>
                <w:rFonts w:ascii="Arial" w:cs="Arial" w:eastAsia="Arial" w:hAnsi="Arial"/>
                <w:sz w:val="18"/>
                <w:szCs w:val="18"/>
                <w:color w:val="3051F2"/>
              </w:rPr>
              <w:t>F-3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Statements of Operations for the Years Ended December 31, 2022 and 2021</w:t>
            </w:r>
          </w:p>
        </w:tc>
        <w:tc>
          <w:tcPr>
            <w:tcW w:w="286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Statements of Stockholders' Equity for the Years Ended December 31, 2022 and 2021</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Statements of Cash Flows for the Years Ended December 31, 2022 and 2021</w:t>
            </w:r>
          </w:p>
        </w:tc>
        <w:tc>
          <w:tcPr>
            <w:tcW w:w="2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2240" w:type="dxa"/>
            <w:vAlign w:val="bottom"/>
            <w:gridSpan w:val="3"/>
          </w:tcPr>
          <w:p>
            <w:pPr>
              <w:jc w:val="center"/>
              <w:spacing w:after="0"/>
              <w:rPr>
                <w:sz w:val="20"/>
                <w:szCs w:val="20"/>
                <w:color w:val="auto"/>
              </w:rPr>
            </w:pPr>
            <w:r>
              <w:rPr>
                <w:rFonts w:ascii="Arial" w:cs="Arial" w:eastAsia="Arial" w:hAnsi="Arial"/>
                <w:sz w:val="18"/>
                <w:szCs w:val="18"/>
                <w:color w:val="3051F2"/>
              </w:rPr>
              <w:t>F-7</w:t>
            </w:r>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2"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have audited the accompanying balance sheets of Exagen Inc. (the "Company”) as of December 31, 2022 and 2021,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As discussed in Note 5 to the financial statements, effective January 1, 2022, the Company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20, 2023</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5" w:right="359" w:bottom="1440" w:gutter="0" w:footer="0" w:header="0"/>
        </w:sectPr>
      </w:pPr>
    </w:p>
    <w:bookmarkStart w:id="98" w:name="page99"/>
    <w:bookmarkEnd w:id="9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96"/>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72,611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86,221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3,046</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680" w:type="dxa"/>
            <w:vAlign w:val="bottom"/>
          </w:tcPr>
          <w:p>
            <w:pPr>
              <w:ind w:left="360"/>
              <w:spacing w:after="0"/>
              <w:rPr>
                <w:sz w:val="20"/>
                <w:szCs w:val="20"/>
                <w:color w:val="auto"/>
              </w:rPr>
            </w:pPr>
            <w:r>
              <w:rPr>
                <w:rFonts w:ascii="Arial" w:cs="Arial" w:eastAsia="Arial" w:hAnsi="Arial"/>
                <w:sz w:val="14"/>
                <w:szCs w:val="14"/>
                <w:color w:val="auto"/>
              </w:rPr>
              <w:t>Borrowings-current portion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4,493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680" w:type="dxa"/>
            <w:vAlign w:val="bottom"/>
          </w:tcPr>
          <w:p>
            <w:pPr>
              <w:ind w:left="360"/>
              <w:spacing w:after="0"/>
              <w:rPr>
                <w:sz w:val="20"/>
                <w:szCs w:val="20"/>
                <w:color w:val="auto"/>
              </w:rPr>
            </w:pPr>
            <w:r>
              <w:rPr>
                <w:rFonts w:ascii="Arial" w:cs="Arial" w:eastAsia="Arial" w:hAnsi="Arial"/>
                <w:sz w:val="14"/>
                <w:szCs w:val="14"/>
                <w:color w:val="auto"/>
              </w:rPr>
              <w:t>Preferred stock, $0.001 par value; 10,000,000 shares authorized, no shares issued or outstanding at December 31, 2022 and</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2021</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$0.001 par value; 200,000,000 shares authorized at December 31, 2022 and December 31, 2021; 16,549,984</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16,164,994 shares issued and outstanding at December 31, 2022 and December 31, 2021, respectively</w:t>
            </w:r>
          </w:p>
        </w:tc>
        <w:tc>
          <w:tcPr>
            <w:tcW w:w="2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86,221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9" w:name="page100"/>
    <w:bookmarkEnd w:id="99"/>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48,299</w:t>
            </w:r>
          </w:p>
        </w:tc>
        <w:tc>
          <w:tcPr>
            <w:tcW w:w="0" w:type="dxa"/>
            <w:vAlign w:val="bottom"/>
          </w:tcPr>
          <w:p>
            <w:pPr>
              <w:spacing w:after="0"/>
              <w:rPr>
                <w:sz w:val="1"/>
                <w:szCs w:val="1"/>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20,588</w:t>
            </w:r>
          </w:p>
        </w:tc>
        <w:tc>
          <w:tcPr>
            <w:tcW w:w="0" w:type="dxa"/>
            <w:vAlign w:val="bottom"/>
          </w:tcPr>
          <w:p>
            <w:pPr>
              <w:spacing w:after="0"/>
              <w:rPr>
                <w:sz w:val="1"/>
                <w:szCs w:val="1"/>
                <w:color w:val="auto"/>
              </w:rPr>
            </w:pPr>
          </w:p>
        </w:tc>
      </w:tr>
      <w:tr>
        <w:trPr>
          <w:trHeight w:val="196"/>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44,541</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Goodwill Impairment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72,366</w:t>
            </w:r>
          </w:p>
        </w:tc>
        <w:tc>
          <w:tcPr>
            <w:tcW w:w="0" w:type="dxa"/>
            <w:vAlign w:val="bottom"/>
          </w:tcPr>
          <w:p>
            <w:pPr>
              <w:spacing w:after="0"/>
              <w:rPr>
                <w:sz w:val="1"/>
                <w:szCs w:val="1"/>
                <w:color w:val="auto"/>
              </w:rPr>
            </w:pP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(24,067)</w:t>
            </w: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(26,676)</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17,082,348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15,972,256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8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9"/>
        </w:trPr>
        <w:tc>
          <w:tcPr>
            <w:tcW w:w="382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gridSpan w:val="2"/>
            <w:vMerge w:val="restart"/>
          </w:tcPr>
          <w:p>
            <w:pPr>
              <w:jc w:val="center"/>
              <w:ind w:right="380"/>
              <w:spacing w:after="0" w:line="130"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restart"/>
          </w:tcPr>
          <w:p>
            <w:pPr>
              <w:jc w:val="center"/>
              <w:ind w:right="149"/>
              <w:spacing w:after="0" w:line="13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223,115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67"/>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in public offering, net of issuance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64,705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 in exchange for</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warrant</w:t>
            </w: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common stock warrant in exchange for</w:t>
            </w: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retirement of common stock</w:t>
            </w: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7"/>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32,968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97"/>
        </w:trPr>
        <w:tc>
          <w:tcPr>
            <w:tcW w:w="3820" w:type="dxa"/>
            <w:vAlign w:val="bottom"/>
          </w:tcPr>
          <w:p>
            <w:pPr>
              <w:ind w:left="360"/>
              <w:spacing w:after="0"/>
              <w:rPr>
                <w:sz w:val="20"/>
                <w:szCs w:val="20"/>
                <w:color w:val="auto"/>
              </w:rPr>
            </w:pPr>
            <w:r>
              <w:rPr>
                <w:rFonts w:ascii="Arial" w:cs="Arial" w:eastAsia="Arial" w:hAnsi="Arial"/>
                <w:sz w:val="14"/>
                <w:szCs w:val="14"/>
                <w:color w:val="auto"/>
              </w:rPr>
              <w:t>Exercise of common stock warrants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17,719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16,164,994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293,060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7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64,064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payment of employees' taxes</w:t>
            </w: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245,186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75,740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82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208"/>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0" w:type="dxa"/>
            <w:vAlign w:val="bottom"/>
          </w:tcPr>
          <w:p>
            <w:pPr>
              <w:spacing w:after="0"/>
              <w:rPr>
                <w:sz w:val="1"/>
                <w:szCs w:val="1"/>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2022</w:t>
            </w:r>
          </w:p>
        </w:tc>
        <w:tc>
          <w:tcPr>
            <w:tcW w:w="16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16,549,984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(255,527)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1" w:name="page102"/>
    <w:bookmarkEnd w:id="101"/>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88"/>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(47,387)</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(26,851)</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208"/>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208"/>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assets impairment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(744)</w:t>
            </w:r>
          </w:p>
        </w:tc>
      </w:tr>
      <w:tr>
        <w:trPr>
          <w:trHeight w:val="208"/>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08"/>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r>
      <w:tr>
        <w:trPr>
          <w:trHeight w:val="208"/>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190"/>
        </w:trPr>
        <w:tc>
          <w:tcPr>
            <w:tcW w:w="8420" w:type="dxa"/>
            <w:vAlign w:val="bottom"/>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(20,269)</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(2,370)</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other assets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0"/>
        </w:trPr>
        <w:tc>
          <w:tcPr>
            <w:tcW w:w="8420" w:type="dxa"/>
            <w:vAlign w:val="bottom"/>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(4,318)</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(2,420)</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taxes withheld on vested restricted stock units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finance lease obligations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69,144</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w:t>
            </w:r>
          </w:p>
        </w:tc>
      </w:tr>
      <w:tr>
        <w:trPr>
          <w:trHeight w:val="196"/>
        </w:trPr>
        <w:tc>
          <w:tcPr>
            <w:tcW w:w="842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2"/>
        </w:trPr>
        <w:tc>
          <w:tcPr>
            <w:tcW w:w="8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64,683</w:t>
            </w: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41,994</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57,548</w:t>
            </w: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62,591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5"/>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1,111</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685</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bl>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562" w:right="4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Exagen Inc. (the Company) is a commercial-stage diagnostics company dedicated to helping patients suffering from debilitating and chronic autoimmune diseases by enabling timely differential diagnosis and optimizing therapeutic intervention.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December 31, 2022, the Company had cash and cash equivalents of $62.4 million and had an accumulated deficit of $255.5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4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9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4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estimated incremental borrowing rate for the determination of the Company's operating lease right-of-use (ROU) assets, the recoverability of its long-lived assets and the goodwill impairment test.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80"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We have not experienced any losses on our cash or cash equivalents.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revenue as a percentage of total revenue and accounts receivable as a percentage of total accounts receivable are as follows:</w:t>
      </w:r>
    </w:p>
    <w:p>
      <w:pPr>
        <w:spacing w:after="0" w:line="186"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26035</wp:posOffset>
            </wp:positionV>
            <wp:extent cx="20231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26035</wp:posOffset>
            </wp:positionV>
            <wp:extent cx="20231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70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97"/>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5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0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7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283"/>
        </w:trPr>
        <w:tc>
          <w:tcPr>
            <w:tcW w:w="1000" w:type="dxa"/>
            <w:vAlign w:val="bottom"/>
            <w:tcBorders>
              <w:bottom w:val="single" w:sz="8" w:color="auto"/>
            </w:tcBorders>
          </w:tcPr>
          <w:p>
            <w:pPr>
              <w:spacing w:after="0"/>
              <w:rPr>
                <w:sz w:val="24"/>
                <w:szCs w:val="24"/>
                <w:color w:val="auto"/>
              </w:rPr>
            </w:pPr>
          </w:p>
        </w:tc>
        <w:tc>
          <w:tcPr>
            <w:tcW w:w="80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9"/>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8080" w:type="dxa"/>
            <w:vAlign w:val="bottom"/>
            <w:gridSpan w:val="2"/>
          </w:tcPr>
          <w:p>
            <w:pPr>
              <w:jc w:val="right"/>
              <w:ind w:right="7008"/>
              <w:spacing w:after="0"/>
              <w:rPr>
                <w:sz w:val="20"/>
                <w:szCs w:val="20"/>
                <w:color w:val="auto"/>
              </w:rPr>
            </w:pPr>
            <w:r>
              <w:rPr>
                <w:rFonts w:ascii="Arial" w:cs="Arial" w:eastAsia="Arial" w:hAnsi="Arial"/>
                <w:sz w:val="14"/>
                <w:szCs w:val="14"/>
                <w:color w:val="auto"/>
              </w:rPr>
              <w:t>Less than 10%.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92"/>
        </w:trPr>
        <w:tc>
          <w:tcPr>
            <w:tcW w:w="10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rPr>
              <w:t>Accounts Receivable</w:t>
            </w:r>
          </w:p>
        </w:tc>
        <w:tc>
          <w:tcPr>
            <w:tcW w:w="480" w:type="dxa"/>
            <w:vAlign w:val="bottom"/>
            <w:tcBorders>
              <w:bottom w:val="single" w:sz="8" w:color="auto"/>
            </w:tcBorders>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0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r>
      <w:tr>
        <w:trPr>
          <w:trHeight w:val="202"/>
        </w:trPr>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70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5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7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90"/>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United Healthcare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6254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20" w:hanging="994"/>
        <w:spacing w:after="0"/>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68"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For the years ended December 31, 2022 and 2021, approximately 84% and 81%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respectively.</w:t>
      </w:r>
    </w:p>
    <w:p>
      <w:pPr>
        <w:spacing w:after="0" w:line="16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 is dependent on key suppliers for certain laboratory materials. For each of the years ended December 31, 2022 and 2021, approximately 96% of the Company's diagnostic testing supplies were purchased from two suppliers. An interruption in the supply of these materials would impact the Company's ability to perform testing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18,975</w:t>
            </w:r>
          </w:p>
        </w:tc>
        <w:tc>
          <w:tcPr>
            <w:tcW w:w="12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27,499</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w:t>
            </w: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7,928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9,288</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Janssen (SIMPONI</w:t>
            </w:r>
            <w:r>
              <w:rPr>
                <w:rFonts w:ascii="Arial" w:cs="Arial" w:eastAsia="Arial" w:hAnsi="Arial"/>
                <w:sz w:val="9"/>
                <w:szCs w:val="9"/>
                <w:color w:val="auto"/>
              </w:rPr>
              <w:t>®</w:t>
            </w: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221"/>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09"/>
        <w:spacing w:after="0"/>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4" w:lineRule="exact"/>
        <w:rPr>
          <w:rFonts w:ascii="Arial" w:cs="Arial" w:eastAsia="Arial" w:hAnsi="Arial"/>
          <w:sz w:val="14"/>
          <w:szCs w:val="14"/>
          <w:color w:val="auto"/>
        </w:rPr>
      </w:pPr>
    </w:p>
    <w:p>
      <w:pPr>
        <w:ind w:left="560" w:hanging="309"/>
        <w:spacing w:after="0"/>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patient self-pay.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4" w:name="page105"/>
    <w:bookmarkEnd w:id="104"/>
    <w:p>
      <w:pPr>
        <w:ind w:right="60"/>
        <w:spacing w:after="0" w:line="241" w:lineRule="auto"/>
        <w:rPr>
          <w:sz w:val="20"/>
          <w:szCs w:val="20"/>
          <w:color w:val="auto"/>
        </w:rPr>
      </w:pPr>
      <w:r>
        <w:rPr>
          <w:rFonts w:ascii="Arial" w:cs="Arial" w:eastAsia="Arial" w:hAnsi="Arial"/>
          <w:sz w:val="18"/>
          <w:szCs w:val="18"/>
          <w:color w:val="auto"/>
        </w:rPr>
        <w:t>deposit with this financial institution as collateral for the balances borrowed on these credit cards ($0.2 million and $0.1 million at December 31, 2022 and 2021, respectively).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1"/>
        </w:trPr>
        <w:tc>
          <w:tcPr>
            <w:tcW w:w="8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62,591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operating expenses in the statements of operations in the period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(see Note 5).</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amortize all finite lived intangible assets over their respective estimated useful lives. Operating lease assets are amortized over the term of the leases. In considering whether long-lived assets are impaired, we combine our intangible assets and other long-lived assets (excluding goodwill), into groupings, a determination which we principally make on the basis of whether the assets are specific to a particular test offered by us or technology we are developing. 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the Company recorded an impairment charge to fixed assets totaling $0.4 million (see Note 3).</w:t>
      </w:r>
    </w:p>
    <w:p>
      <w:pPr>
        <w:spacing w:after="0"/>
        <w:rPr>
          <w:sz w:val="20"/>
          <w:szCs w:val="20"/>
          <w:color w:val="auto"/>
        </w:rPr>
      </w:pPr>
      <w:r>
        <w:rPr>
          <w:rFonts w:ascii="Arial" w:cs="Arial" w:eastAsia="Arial" w:hAnsi="Arial"/>
          <w:sz w:val="18"/>
          <w:szCs w:val="18"/>
          <w:color w:val="auto"/>
        </w:rPr>
        <w:t>The impairment charge was classified within research and development expenses in the accompanying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 impaired; otherwise, an impairment loss is recorded.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During the year ended December 31, 2022, the Company recorded an impairment charge to goodwill totaling $5.5 million (see Note 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categorizes leases at their commencement as either operating or finance leases. Effective January 1, 2022 upon the adoption of Accounting Standards Codification (ASC) 842,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8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based on estimated progress of services performed, including actual level of subjects enrolled and progress of the clinical studies. Payments made prior to the completion of clinical study services are capitalized as a prepaid expense. The prepaid amounts are expensed as the related goods are delivered or the services are performed, or when it is no longer expected that the goods will be delivered or the services rendered. Expenses associated with clinical study activities are recorded in research and development expenses in the accompanying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5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Included in revenues for the years ended December 31, 2022 and 2021 was a net revenue decrease of $2.4 million and a net revenue increase of $0.7 million, respectively, associated with changes in estimated variable consideration related to performance obligations satisfied in previous periods. The transaction price is estimated using an expected value method on a portfolio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6" w:name="page107"/>
    <w:bookmarkEnd w:id="106"/>
    <w:p>
      <w:pPr>
        <w:ind w:right="140"/>
        <w:spacing w:after="0" w:line="248"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176"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August 31, 2021.</w:t>
      </w:r>
    </w:p>
    <w:p>
      <w:pPr>
        <w:spacing w:after="0" w:line="14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Pursuant to the Janssen Agreement, as amended, the Company was responsible for the costs associated with its sales force over the course of such co-promotion. Janssen was responsible for all other aspects of the commercialization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10"/>
          <w:szCs w:val="10"/>
          <w:color w:val="auto"/>
        </w:rPr>
        <w:t>®</w:t>
      </w:r>
      <w:r>
        <w:rPr>
          <w:rFonts w:ascii="Arial" w:cs="Arial" w:eastAsia="Arial" w:hAnsi="Arial"/>
          <w:sz w:val="18"/>
          <w:szCs w:val="18"/>
          <w:color w:val="auto"/>
        </w:rPr>
        <w:t xml:space="preserve"> for that quarter over a predetermined baseline. The Company's obligations relating to sales and co-promotion services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The Company recognized no co-promotion revenue and $1.2 million in co-promotion revenue during the years ended December 31, 2022 and December 31, 2021, respectively. The related expenses for marketing SIMPONI</w:t>
      </w:r>
      <w:r>
        <w:rPr>
          <w:rFonts w:ascii="Arial" w:cs="Arial" w:eastAsia="Arial" w:hAnsi="Arial"/>
          <w:sz w:val="10"/>
          <w:szCs w:val="10"/>
          <w:color w:val="auto"/>
        </w:rPr>
        <w:t>®</w:t>
      </w:r>
      <w:r>
        <w:rPr>
          <w:rFonts w:ascii="Arial" w:cs="Arial" w:eastAsia="Arial" w:hAnsi="Arial"/>
          <w:sz w:val="18"/>
          <w:szCs w:val="18"/>
          <w:color w:val="auto"/>
        </w:rPr>
        <w:t xml:space="preserve"> were included in selling, general and administrative expenses and were expensed as incurred.</w:t>
      </w:r>
    </w:p>
    <w:p>
      <w:pPr>
        <w:spacing w:after="0" w:line="1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Pursuant to the terms of the termination, the Company received $0.6 million in consideration (which was earned in the year ended December 31, 2021) and the Company was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93"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$3.0 million and $1.7 million for the years ended December 31, 2022 and 2021, respectively, and are included in selling, general and administrative expenses in the accompanying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80"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$2.7 million and $2.1 million, for the years ended December 31,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4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The risk-free interest rate for periods within the contractual term of the option is based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7" w:name="page108"/>
    <w:bookmarkEnd w:id="107"/>
    <w:p>
      <w:pPr>
        <w:ind w:right="40"/>
        <w:spacing w:after="0" w:line="246" w:lineRule="auto"/>
        <w:rPr>
          <w:sz w:val="20"/>
          <w:szCs w:val="20"/>
          <w:color w:val="auto"/>
        </w:rPr>
      </w:pPr>
      <w:r>
        <w:rPr>
          <w:rFonts w:ascii="Arial" w:cs="Arial" w:eastAsia="Arial" w:hAnsi="Arial"/>
          <w:sz w:val="18"/>
          <w:szCs w:val="18"/>
          <w:color w:val="auto"/>
        </w:rPr>
        <w:t>on the U.S. Treasury yield in effect at the time of grant. The dividend yield is zero, as the Company has never declared or paid dividends and has no plans to do so in the foreseeable future.</w:t>
      </w:r>
    </w:p>
    <w:p>
      <w:pPr>
        <w:spacing w:after="0" w:line="15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that date. The Company's restricted stock units generally vest in equal annual installments over four years from the date of grant or, for grants to new hires, date of hire. Vesting of restricted stock units is subject to the holder's continued service with the Company. The Company issues new shares to satisfy restricted stock units upon vesting.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0"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4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shares and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options and restricted stock units outstanding under the Company's 2019 Incentive Award Plan (the 2019 Plan) and shares of the Company's common stock pursuant to the ESPP. For the years ended December 31, 2022 and 2021, there is no difference in the number of shares used to calculate basic and diluted shares outstanding as the inclusion of the potentially dilutive securities would be antidilutive.</w:t>
      </w:r>
    </w:p>
    <w:p>
      <w:pPr>
        <w:spacing w:after="0" w:line="16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40" w:type="dxa"/>
            <w:vAlign w:val="bottom"/>
          </w:tcPr>
          <w:p>
            <w:pPr>
              <w:jc w:val="right"/>
              <w:spacing w:after="0"/>
              <w:rPr>
                <w:sz w:val="20"/>
                <w:szCs w:val="20"/>
                <w:color w:val="auto"/>
              </w:rPr>
            </w:pPr>
            <w:r>
              <w:rPr>
                <w:rFonts w:ascii="Arial" w:cs="Arial" w:eastAsia="Arial" w:hAnsi="Arial"/>
                <w:sz w:val="14"/>
                <w:szCs w:val="14"/>
                <w:color w:val="auto"/>
              </w:rPr>
              <w:t>1,421,235</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2,014,330</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1,036,208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58,711</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20,193</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2,925,262</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2,858,956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0"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was issued to provide relief to companies from restating comparative periods. On January 1, 2022, the Company adopted ASU 2016-12, using the modified retrospective transition method. Periods prior to January 1, 2022 have not been restated for the adoption of ASC 842 and continue to reflect the accounting treatment of leases in accordance with the prior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a cumulative effect to accumulated deficit and there was no impact to accumulated deficit upon adoption. The Company elected the package of practical expedients, which among other things allowed the Company to carry forward its historical lease classification. As part of the adoption, the Company recorded operating lease liabilities of $6.4 million, operating lease ROU assets of $5.9 million, adjusted for deferred rent and lease incentive obligations of $0.5 million previously included in other non-current liabilities and accrued and other current liabilities, pertaining to its office and laboratory space operating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p>
    <w:p>
      <w:pPr>
        <w:spacing w:after="0" w:line="27"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of expected credit losses for financial instruments carried at amortized cost, such as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receivable,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nonpublic entities. For non-emerging growth companies, ASU 2016-13 is effective for fiscal years beginning after December 15, 2019. For emerging growth companies, ASU 2016-13 is effective for fiscal years beginning after December 15, 2022, including interim periods within those fiscal years. The Company adopted this pronouncement on January 1, 2023 and the impact of the provisions of this standard on its Consolidated Financial Statements is expected to be immaterial.</w:t>
      </w:r>
    </w:p>
    <w:p>
      <w:pPr>
        <w:spacing w:after="0" w:line="144"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w:t>
      </w:r>
      <w:r>
        <w:rPr>
          <w:rFonts w:ascii="Arial" w:cs="Arial" w:eastAsia="Arial" w:hAnsi="Arial"/>
          <w:sz w:val="18"/>
          <w:szCs w:val="18"/>
          <w:color w:val="auto"/>
        </w:rPr>
        <w:t xml:space="preserve"> (Subtopic 470-20) and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w:t>
      </w:r>
      <w:r>
        <w:rPr>
          <w:rFonts w:ascii="Arial" w:cs="Arial" w:eastAsia="Arial" w:hAnsi="Arial"/>
          <w:sz w:val="18"/>
          <w:szCs w:val="18"/>
          <w:color w:val="auto"/>
        </w:rPr>
        <w:t>(Subtopic 815-40):</w:t>
      </w:r>
      <w:r>
        <w:rPr>
          <w:rFonts w:ascii="Arial" w:cs="Arial" w:eastAsia="Arial" w:hAnsi="Arial"/>
          <w:sz w:val="18"/>
          <w:szCs w:val="18"/>
          <w:i w:val="1"/>
          <w:iCs w:val="1"/>
          <w:color w:val="auto"/>
        </w:rPr>
        <w:t xml:space="preserve"> Accounting for Convertible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09" w:name="page110"/>
    <w:bookmarkEnd w:id="109"/>
    <w:p>
      <w:pPr>
        <w:spacing w:after="0" w:line="243" w:lineRule="auto"/>
        <w:rPr>
          <w:sz w:val="20"/>
          <w:szCs w:val="20"/>
          <w:color w:val="auto"/>
        </w:rPr>
      </w:pPr>
      <w:r>
        <w:rPr>
          <w:rFonts w:ascii="Arial" w:cs="Arial" w:eastAsia="Arial" w:hAnsi="Arial"/>
          <w:sz w:val="18"/>
          <w:szCs w:val="18"/>
          <w:i w:val="1"/>
          <w:iCs w:val="1"/>
          <w:color w:val="auto"/>
        </w:rPr>
        <w:t xml:space="preserve">Instruments and Contracts in an Entity’s Own Equity, </w:t>
      </w:r>
      <w:r>
        <w:rPr>
          <w:rFonts w:ascii="Arial" w:cs="Arial" w:eastAsia="Arial" w:hAnsi="Arial"/>
          <w:sz w:val="18"/>
          <w:szCs w:val="18"/>
          <w:color w:val="auto"/>
        </w:rPr>
        <w:t>which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on an entity’s own equity. Specifically, ASU 2020-06 simplifies accounting for the issuance of convertible instruments by removing major separation models required under current GAAP. In addition, the ASU removes certain settlement conditions that are required for equity contracts to qualify for the derivative scope exception and simplifies the diluted earnings per share (EPS) calculation in certain areas. ASU 2020-06 will be effective for fiscal years beginning after December 15, 2023, including interim periods within those fiscal years. Early adoption is permitted, beginning in fiscal years which begin after December 15, 2020, including interim periods within those fiscal years. The FASB has specified that an entity should adopt the guidance as of the beginning of its annual fiscal year. The amendment is to be adopted through either a modified retrospective or fully retrospective method of transition. The Company is currently evaluating the potential impact that the adoption of ASU 2020-06 may have on its consolidated financial statements and related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19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and other current assets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and other current assets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5,136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4,361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5,223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0"/>
        </w:trPr>
        <w:tc>
          <w:tcPr>
            <w:tcW w:w="824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13,321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8,656</w:t>
            </w:r>
          </w:p>
        </w:tc>
      </w:tr>
      <w:tr>
        <w:trPr>
          <w:trHeight w:val="209"/>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90"/>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8,197</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r>
      <w:tr>
        <w:trPr>
          <w:trHeight w:val="27"/>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Depreciation and amortization expense for the years ended December 31, 2022 and 2021, was approximately $1.6 million and $0.9 million, respectively. At December 31, 2022 and 2021, the gross book value of assets under finance leases was $2.8 million and $2.5 million, respectively, and is classified in "Laboratory equipment" in the table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Goodwill</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During the year ended December 31, 2022, the Company recorded an impairment charge of $0.4 million related to previously capitalized equipment used in research and development activities that were halted in the fourth quarter of 2022. The Company based the fair values of these assets on their anticipated disposal values, which is considered a Level 3 measurement. The impairment charge was classified within research and development expenses in the accompanying statements of operations.</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determined that the sustained decrease in its market capitalization constituted an indicator of impairment and as a result, instead of performing a qualitative test, the Company chose to proceed directly to performing a quantitative test during the fourth quarter. The Company determined the fair value of the reporting unit using the discounted cash flow (DCF) method, which is considered a Level 3 measurement. In applying the DCF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0" w:name="page111"/>
    <w:bookmarkEnd w:id="110"/>
    <w:p>
      <w:pPr>
        <w:ind w:right="120"/>
        <w:spacing w:after="0" w:line="243" w:lineRule="auto"/>
        <w:rPr>
          <w:sz w:val="20"/>
          <w:szCs w:val="20"/>
          <w:color w:val="auto"/>
        </w:rPr>
      </w:pPr>
      <w:r>
        <w:rPr>
          <w:rFonts w:ascii="Arial" w:cs="Arial" w:eastAsia="Arial" w:hAnsi="Arial"/>
          <w:sz w:val="18"/>
          <w:szCs w:val="18"/>
          <w:color w:val="auto"/>
        </w:rPr>
        <w:t>method, cash flows are estimated for a five-year financial forecast developed by management. A terminal value, which represents the value of additional cash flows into perpetuity, is also calculated. Cash flows are then discounted to present value at a discount rate commensurate with their risk. Based on this analysis, the carrying value of the reporting unit was in excess of the fair value and the goodwill was fully impaired. During the year ended December 31, 2022, the Company recorded an impairment charge of $5.5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the Company's goodwill for the year ended December 31,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r>
      <w:tr>
        <w:trPr>
          <w:trHeight w:val="196"/>
        </w:trPr>
        <w:tc>
          <w:tcPr>
            <w:tcW w:w="98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Goodwill impairment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w:t>
            </w:r>
          </w:p>
        </w:tc>
      </w:tr>
      <w:tr>
        <w:trPr>
          <w:trHeight w:val="22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176"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pursuant to which the Company has borrowed $25 million. At December 31, 2022, no additional amounts remain available to borrow under the 2017 Term Loan.</w:t>
      </w:r>
    </w:p>
    <w:p>
      <w:pPr>
        <w:spacing w:after="0" w:line="14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Loan Amendment using the effective interest method. For the years ended December 31, 2022 and 2021, the Company issued PIK Loans totaling $0.6 million and $0.5 million, respectively.</w:t>
      </w:r>
    </w:p>
    <w:p>
      <w:pPr>
        <w:spacing w:after="0" w:line="14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2017 Loan Amendment requires a prepayment premium of 2% of the aggregate outstanding principal. The prepayment premium decreases by 1% on each of November 1, 2023 and 2024.</w:t>
      </w:r>
    </w:p>
    <w:p>
      <w:pPr>
        <w:spacing w:after="0" w:line="13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1" w:name="page112"/>
    <w:bookmarkEnd w:id="111"/>
    <w:p>
      <w:pPr>
        <w:ind w:right="180"/>
        <w:spacing w:after="0" w:line="241"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Company was in compliance with all covenants of the 2017 Loan Amendment.</w:t>
      </w:r>
    </w:p>
    <w:p>
      <w:pPr>
        <w:spacing w:after="0" w:line="15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financial statements. Accordingly, the Company has reflected the amounts of the 2017 Loan Amendment due beyond twelve months of the balance sheet date as non-current.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Equipment Notes Payable</w:t>
      </w:r>
    </w:p>
    <w:p>
      <w:pPr>
        <w:spacing w:after="0" w:line="17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In May 2022, the Company purchased laboratory equipment using notes payable. At December 31, 2022, the total notes payable balance related to this financed equipment was $0.8 million, with $ 0.2 million classified within borrowings-current portion and $0.6 million within borrowings-non-current portion, net of discounts and debt issuance costs in the accompanying balance sheets. The financed equipment is subject to a 5.28% effective interest rate and will mature on October 1,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future minimum aggregate payments, including interest, for outstanding borrowings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Years Ending</w:t>
            </w:r>
          </w:p>
        </w:tc>
      </w:tr>
      <w:tr>
        <w:trPr>
          <w:trHeight w:val="189"/>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w:t>
            </w:r>
          </w:p>
        </w:tc>
      </w:tr>
      <w:tr>
        <w:trPr>
          <w:trHeight w:val="197"/>
        </w:trPr>
        <w:tc>
          <w:tcPr>
            <w:tcW w:w="9800" w:type="dxa"/>
            <w:vAlign w:val="bottom"/>
          </w:tcPr>
          <w:p>
            <w:pPr>
              <w:ind w:left="20"/>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3,205</w:t>
            </w:r>
          </w:p>
        </w:tc>
      </w:tr>
      <w:tr>
        <w:trPr>
          <w:trHeight w:val="208"/>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16,377</w:t>
            </w:r>
          </w:p>
        </w:tc>
      </w:tr>
      <w:tr>
        <w:trPr>
          <w:trHeight w:val="197"/>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2026</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14,973</w:t>
            </w:r>
          </w:p>
        </w:tc>
      </w:tr>
      <w:tr>
        <w:trPr>
          <w:trHeight w:val="202"/>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36,466</w:t>
            </w:r>
          </w:p>
        </w:tc>
      </w:tr>
      <w:tr>
        <w:trPr>
          <w:trHeight w:val="176"/>
        </w:trPr>
        <w:tc>
          <w:tcPr>
            <w:tcW w:w="9800" w:type="dxa"/>
            <w:vAlign w:val="bottom"/>
          </w:tcPr>
          <w:p>
            <w:pPr>
              <w:ind w:left="36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9"/>
        </w:trPr>
        <w:tc>
          <w:tcPr>
            <w:tcW w:w="9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98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w:t>
            </w:r>
          </w:p>
        </w:tc>
      </w:tr>
      <w:tr>
        <w:trPr>
          <w:trHeight w:val="202"/>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28,968</w:t>
            </w:r>
          </w:p>
        </w:tc>
      </w:tr>
      <w:tr>
        <w:trPr>
          <w:trHeight w:val="196"/>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Borrowings-current portion</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r>
        <w:trPr>
          <w:trHeight w:val="22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2022. Prior period amounts have not been adjusted and continue to be reported in accordance with the Company's historic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2" w:name="page113"/>
    <w:bookmarkEnd w:id="112"/>
    <w:p>
      <w:pPr>
        <w:ind w:right="200"/>
        <w:spacing w:after="0" w:line="243" w:lineRule="auto"/>
        <w:rPr>
          <w:sz w:val="20"/>
          <w:szCs w:val="20"/>
          <w:color w:val="auto"/>
        </w:rPr>
      </w:pPr>
      <w:r>
        <w:rPr>
          <w:rFonts w:ascii="Arial" w:cs="Arial" w:eastAsia="Arial" w:hAnsi="Arial"/>
          <w:sz w:val="18"/>
          <w:szCs w:val="18"/>
          <w:color w:val="auto"/>
        </w:rPr>
        <w:t>The Company leases office and laboratory spaces in Vista, California, under leases that expire in April 2027, with an option to extend portions of the leases for additional 5-year periods. The Company has not included the optional renewal periods in the measurement of the lease liabilities because it is not reasonably certain that the Company will exercise these renewal options. The Company's lease payments under each of these leases are subject to escalation clauses.</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increases by approximately 3% annually beginning October 1, 2022.</w:t>
      </w:r>
    </w:p>
    <w:p>
      <w:pPr>
        <w:spacing w:after="0" w:line="141"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The Company determines if a contract contains a lease at inception or modification of a contract. The Company discounts their lease obligations using its incremental borrowing rate at the commencement date. The incremental borrowing rate is the rate of interest the Company would have to pay to borrow on a collateralized basis over a similar term and amount equal to the lease payments in a similar economic environment. The Company primarily considers industry data, its credit rating and the lease term to determine its incremental borrowing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80"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57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2022</w:t>
            </w:r>
          </w:p>
        </w:tc>
      </w:tr>
      <w:tr>
        <w:trPr>
          <w:trHeight w:val="20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4,885</w:t>
            </w: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r>
      <w:tr>
        <w:trPr>
          <w:trHeight w:val="270"/>
        </w:trPr>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5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97"/>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4,493</w:t>
            </w:r>
          </w:p>
        </w:tc>
      </w:tr>
      <w:tr>
        <w:trPr>
          <w:trHeight w:val="208"/>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Year Ended December 31, 2022</w:t>
            </w:r>
          </w:p>
        </w:tc>
      </w:tr>
      <w:tr>
        <w:trPr>
          <w:trHeight w:val="202"/>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203"/>
        </w:trPr>
        <w:tc>
          <w:tcPr>
            <w:tcW w:w="756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240" w:type="dxa"/>
            <w:vAlign w:val="bottom"/>
          </w:tcPr>
          <w:p>
            <w:pPr>
              <w:jc w:val="right"/>
              <w:spacing w:after="0"/>
              <w:rPr>
                <w:sz w:val="20"/>
                <w:szCs w:val="20"/>
                <w:color w:val="auto"/>
              </w:rPr>
            </w:pPr>
            <w:r>
              <w:rPr>
                <w:rFonts w:ascii="Arial" w:cs="Arial" w:eastAsia="Arial" w:hAnsi="Arial"/>
                <w:sz w:val="14"/>
                <w:szCs w:val="14"/>
                <w:color w:val="auto"/>
              </w:rPr>
              <w:t>1,540</w:t>
            </w:r>
          </w:p>
        </w:tc>
      </w:tr>
      <w:tr>
        <w:trPr>
          <w:trHeight w:val="20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197"/>
        </w:trPr>
        <w:tc>
          <w:tcPr>
            <w:tcW w:w="756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440" w:type="dxa"/>
            <w:vAlign w:val="bottom"/>
          </w:tcPr>
          <w:p>
            <w:pPr>
              <w:spacing w:after="0"/>
              <w:rPr>
                <w:sz w:val="17"/>
                <w:szCs w:val="17"/>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03"/>
        </w:trPr>
        <w:tc>
          <w:tcPr>
            <w:tcW w:w="7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44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2"/>
        </w:trPr>
        <w:tc>
          <w:tcPr>
            <w:tcW w:w="756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w:t>
            </w:r>
          </w:p>
        </w:tc>
      </w:tr>
      <w:tr>
        <w:trPr>
          <w:trHeight w:val="21"/>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$165,000 for the year ended December 31,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Year Ended December 31, 2022</w:t>
            </w:r>
          </w:p>
        </w:tc>
      </w:tr>
      <w:tr>
        <w:trPr>
          <w:trHeight w:val="20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196"/>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2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b w:val="1"/>
                <w:bCs w:val="1"/>
                <w:color w:val="auto"/>
              </w:rPr>
              <w:t>December 31, 2022</w:t>
            </w:r>
          </w:p>
        </w:tc>
      </w:tr>
      <w:tr>
        <w:trPr>
          <w:trHeight w:val="188"/>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3760" w:type="dxa"/>
            <w:vAlign w:val="bottom"/>
            <w:shd w:val="clear" w:color="auto" w:fill="CCEEFF"/>
          </w:tcPr>
          <w:p>
            <w:pPr>
              <w:spacing w:after="0"/>
              <w:rPr>
                <w:sz w:val="16"/>
                <w:szCs w:val="16"/>
                <w:color w:val="auto"/>
              </w:rPr>
            </w:pPr>
          </w:p>
        </w:tc>
      </w:tr>
      <w:tr>
        <w:trPr>
          <w:trHeight w:val="197"/>
        </w:trPr>
        <w:tc>
          <w:tcPr>
            <w:tcW w:w="74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8"/>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97"/>
        </w:trPr>
        <w:tc>
          <w:tcPr>
            <w:tcW w:w="74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760" w:type="dxa"/>
            <w:vAlign w:val="bottom"/>
          </w:tcPr>
          <w:p>
            <w:pPr>
              <w:spacing w:after="0"/>
              <w:rPr>
                <w:sz w:val="17"/>
                <w:szCs w:val="17"/>
                <w:color w:val="auto"/>
              </w:rPr>
            </w:pPr>
          </w:p>
        </w:tc>
      </w:tr>
      <w:tr>
        <w:trPr>
          <w:trHeight w:val="208"/>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0"/>
        </w:trPr>
        <w:tc>
          <w:tcPr>
            <w:tcW w:w="74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4.8 %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December 31, 2022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97"/>
        </w:trPr>
        <w:tc>
          <w:tcPr>
            <w:tcW w:w="6560" w:type="dxa"/>
            <w:vAlign w:val="bottom"/>
          </w:tcPr>
          <w:p>
            <w:pPr>
              <w:ind w:left="20"/>
              <w:spacing w:after="0"/>
              <w:rPr>
                <w:sz w:val="20"/>
                <w:szCs w:val="20"/>
                <w:color w:val="auto"/>
              </w:rPr>
            </w:pPr>
            <w:r>
              <w:rPr>
                <w:rFonts w:ascii="Arial" w:cs="Arial" w:eastAsia="Arial" w:hAnsi="Arial"/>
                <w:sz w:val="14"/>
                <w:szCs w:val="14"/>
                <w:color w:val="auto"/>
              </w:rPr>
              <w:t>2024</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1,489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574</w:t>
            </w:r>
          </w:p>
        </w:tc>
      </w:tr>
      <w:tr>
        <w:trPr>
          <w:trHeight w:val="208"/>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97"/>
        </w:trPr>
        <w:tc>
          <w:tcPr>
            <w:tcW w:w="6560" w:type="dxa"/>
            <w:vAlign w:val="bottom"/>
          </w:tcPr>
          <w:p>
            <w:pPr>
              <w:ind w:left="20"/>
              <w:spacing w:after="0"/>
              <w:rPr>
                <w:sz w:val="20"/>
                <w:szCs w:val="20"/>
                <w:color w:val="auto"/>
              </w:rPr>
            </w:pPr>
            <w:r>
              <w:rPr>
                <w:rFonts w:ascii="Arial" w:cs="Arial" w:eastAsia="Arial" w:hAnsi="Arial"/>
                <w:sz w:val="14"/>
                <w:szCs w:val="14"/>
                <w:color w:val="auto"/>
              </w:rPr>
              <w:t>2026</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1,584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6560" w:type="dxa"/>
            <w:vAlign w:val="bottom"/>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6,591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1,826</w:t>
            </w:r>
          </w:p>
        </w:tc>
      </w:tr>
      <w:tr>
        <w:trPr>
          <w:trHeight w:val="203"/>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(1,058)</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96"/>
        </w:trPr>
        <w:tc>
          <w:tcPr>
            <w:tcW w:w="6560" w:type="dxa"/>
            <w:vAlign w:val="bottom"/>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5,533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1,548</w:t>
            </w:r>
          </w:p>
        </w:tc>
      </w:tr>
      <w:tr>
        <w:trPr>
          <w:trHeight w:val="203"/>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(1,040)</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202"/>
        </w:trPr>
        <w:tc>
          <w:tcPr>
            <w:tcW w:w="6560" w:type="dxa"/>
            <w:vAlign w:val="bottom"/>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4,493</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w:t>
            </w:r>
          </w:p>
        </w:tc>
      </w:tr>
      <w:tr>
        <w:trPr>
          <w:trHeight w:val="20"/>
        </w:trPr>
        <w:tc>
          <w:tcPr>
            <w:tcW w:w="65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Under ASC 840</w:t>
      </w:r>
    </w:p>
    <w:p>
      <w:pPr>
        <w:spacing w:after="0" w:line="180"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Minimum annual lease payments under non-cancelable operating lease arrangements as of December 31, 2021 are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940" w:type="dxa"/>
            <w:vAlign w:val="bottom"/>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202"/>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97"/>
        </w:trPr>
        <w:tc>
          <w:tcPr>
            <w:tcW w:w="876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08"/>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r>
      <w:tr>
        <w:trPr>
          <w:trHeight w:val="197"/>
        </w:trPr>
        <w:tc>
          <w:tcPr>
            <w:tcW w:w="876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08"/>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97"/>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27"/>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rent expense was $0.9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4" w:name="page115"/>
    <w:bookmarkEnd w:id="114"/>
    <w:p>
      <w:pPr>
        <w:ind w:right="200"/>
        <w:spacing w:after="0" w:line="243" w:lineRule="auto"/>
        <w:rPr>
          <w:sz w:val="20"/>
          <w:szCs w:val="20"/>
          <w:color w:val="auto"/>
        </w:rPr>
      </w:pPr>
      <w:r>
        <w:rPr>
          <w:rFonts w:ascii="Arial" w:cs="Arial" w:eastAsia="Arial" w:hAnsi="Arial"/>
          <w:sz w:val="18"/>
          <w:szCs w:val="18"/>
          <w:color w:val="auto"/>
        </w:rPr>
        <w:t>In connection with the acquisition of the medical diagnostics division of Royalty Pharma Collection Trust (Royalty Pharma) (formerly known as Cypress Bioscience, Inc.) in 2010, the Company was required to pay certain amounts in the event that certain revenue milestones were achieved and upon the first commercial sale of a product associated with this acquisition, for which the obligations no longer exist at December 31, 2022.</w:t>
      </w:r>
    </w:p>
    <w:p>
      <w:pPr>
        <w:spacing w:after="0" w:line="14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In addition, the Company has ongoing royalty payment obligations with Royalty Pharma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9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statement of operations.</w:t>
      </w:r>
    </w:p>
    <w:p>
      <w:pPr>
        <w:spacing w:after="0" w:line="147"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(QMUL) to obtain an exclusive license to QMUL's patent rights in certain inventions, pursuant to which the Company paid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 pay royalties in the high single-digits on net sales of testing products using the assigned patents, pending approvals and commercialization.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$6.0 million and $6.9 million for the years ended December 31, 2022 and 2023, respectively, with a 15% annual increase thereafter for unconditional minimum purchase commitments through the year ending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18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$0.4 million for the year ended December 31, 2022. Collaboration expenses under the AHN collaboration are included in research and development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0"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8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carrying value of the Company's cash, cash equivalents and restricted cash, accounts receivable, prepaid expenses and other current assets, accounts payable and accrued and other current liabilities approximate their fair values due to their short-term nature, which are determined to be a Level 1 measurement. The estimated fair values of the Company's long-term borrowings are determined by Level 2 inputs and are based primarily on quoted market prices for the same or similar issues. As of December 31, 2022, the 2017 Term Loan had a carrying value of $28.3 million and a fair value of $26.9 million. The estimated fair value of the 2017 Term Loan, which uses Level 2 fair value inputs, was determined based on a discounted cash flow approach using available market information on discount and borrowing rates with similar terms, maturities, and credit ratings. The recorded value of the Company's long-term borrowings as of December 31, 2021 approximated their fair values as the interest rate and other terms were that which were available to the Company at the time. See footnote 3 for discussion of recorded impairment charges related to long-lived assets and goodwill.</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158" w:lineRule="exact"/>
        <w:rPr>
          <w:sz w:val="20"/>
          <w:szCs w:val="20"/>
          <w:color w:val="auto"/>
        </w:rPr>
      </w:pPr>
    </w:p>
    <w:p>
      <w:pPr>
        <w:ind w:left="1300" w:right="100" w:hanging="1295"/>
        <w:spacing w:after="0" w:line="24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4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8"/>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197"/>
        </w:trPr>
        <w:tc>
          <w:tcPr>
            <w:tcW w:w="606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29,438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29,438</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02"/>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Certificate of deposit, included in cash and cash equivalents</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59,538</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59,538</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08"/>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0"/>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95,761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95,761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ind w:left="760"/>
              <w:spacing w:after="0"/>
              <w:rPr>
                <w:sz w:val="20"/>
                <w:szCs w:val="20"/>
                <w:color w:val="auto"/>
              </w:rPr>
            </w:pPr>
            <w:r>
              <w:rPr>
                <w:rFonts w:ascii="Arial" w:cs="Arial" w:eastAsia="Arial" w:hAnsi="Arial"/>
                <w:sz w:val="14"/>
                <w:szCs w:val="14"/>
                <w:color w:val="auto"/>
              </w:rPr>
              <w:t>—   $</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16" w:name="page117"/>
    <w:bookmarkEnd w:id="116"/>
    <w:p>
      <w:pPr>
        <w:ind w:right="300"/>
        <w:spacing w:after="0" w:line="248"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141"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December 31, 2022, the Company has not sold any shares of its common stock pursuant to the Sales Agreement</w:t>
      </w:r>
      <w:r>
        <w:rPr>
          <w:rFonts w:ascii="Arial" w:cs="Arial" w:eastAsia="Arial" w:hAnsi="Arial"/>
          <w:sz w:val="21"/>
          <w:szCs w:val="21"/>
          <w:color w:val="008080"/>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8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December 31, 2022, none of the Exchange Warrants have been exercised.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December 31,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20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2"/>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no warrants to purchase common stock were exercised.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7" w:name="page118"/>
    <w:bookmarkEnd w:id="117"/>
    <w:p>
      <w:pPr>
        <w:ind w:right="140"/>
        <w:spacing w:after="0" w:line="243" w:lineRule="auto"/>
        <w:rPr>
          <w:sz w:val="20"/>
          <w:szCs w:val="20"/>
          <w:color w:val="auto"/>
        </w:rPr>
      </w:pPr>
      <w:r>
        <w:rPr>
          <w:rFonts w:ascii="Arial" w:cs="Arial" w:eastAsia="Arial" w:hAnsi="Arial"/>
          <w:sz w:val="18"/>
          <w:szCs w:val="18"/>
          <w:color w:val="auto"/>
        </w:rPr>
        <w:t>years after the date of grant and are exercisable to the extent vested. Vesting is established by the Board of Directors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of Directors. As of December 31, 2022, 1,452,435 shares remained available for future awards. Under the evergreen provision, on January 1, 2023, an additional 661,999 shares became available for issuance under the 2019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80"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of Directors. As of December 31, 2022, 413,425 shares of common stock remained available for issuance under the ESPP. Under the evergreen provision, on January 1, 2023, an additional 165,500 shares became available for issuances under the ESPP.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1"/>
                <w:szCs w:val="11"/>
                <w:color w:val="auto"/>
              </w:rPr>
            </w:pPr>
          </w:p>
        </w:tc>
        <w:tc>
          <w:tcPr>
            <w:tcW w:w="108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2,014,330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7"/>
        </w:trPr>
        <w:tc>
          <w:tcPr>
            <w:tcW w:w="53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63,000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(257,982)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4"/>
                <w:szCs w:val="14"/>
                <w:color w:val="auto"/>
              </w:rPr>
              <w:t>Outstanding, December 31, 2022</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1,421,235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December 31, 2022</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1,421,235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2022</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1,129,333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2022 and 2021 was $2.74 and $8.83, respectively. The intrinsic value is calculated as the difference between the fair value of the Company's common stock and the exercise price of the stock options. The fair value of the Company's common stock was $2.40 and $11.63 per share at December 31, 2022 and 2021, respectively. The intrinsic value of options exercised for the years ended December 31, 2022 and 2021 was $0.6 million and $0.1 million, respectively. As of December 31, 2022, total unrecognized compensation cost related to option awards was $1.8 million, which is expected to be recognized over a remaining weighted-average vesting period of 1.1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196"/>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1,076,725</w:t>
            </w: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(100,586)</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(355,256)</w:t>
            </w:r>
          </w:p>
        </w:tc>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1,036,208</w:t>
            </w: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8" w:name="page119"/>
    <w:bookmarkEnd w:id="118"/>
    <w:p>
      <w:pPr>
        <w:ind w:right="100"/>
        <w:spacing w:after="0" w:line="241" w:lineRule="auto"/>
        <w:rPr>
          <w:sz w:val="20"/>
          <w:szCs w:val="20"/>
          <w:color w:val="auto"/>
        </w:rPr>
      </w:pPr>
      <w:r>
        <w:rPr>
          <w:rFonts w:ascii="Arial" w:cs="Arial" w:eastAsia="Arial" w:hAnsi="Arial"/>
          <w:sz w:val="18"/>
          <w:szCs w:val="18"/>
          <w:color w:val="auto"/>
        </w:rPr>
        <w:t>As of December 31, 2022, all of the outstanding restricted stock units are unvested. The fair value of restricted stock units vested in the year ended December 31, 2022 was $ 0.7 million. No restricted stock units vested in the year ended December 31, 2021. The weighted average grant date fair value for restricted stock units granted during the years ended December 31, 2022 and 2021 was $5.89 and $16.53, respectively. As of December 31, 2022, total unrecognized compensation cost related to restricted stock units was $6.0 million, which is expected to be recognized over a remaining weighted-average vesting period of 3.3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fair value of employee stock options was estimated using the following assumptions in the Black-Scholes options pricing model to determine the fair value of stock options granted: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56%-60%</w:t>
            </w: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0.8%-1.1%</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5.5-6.1</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45%-60%</w:t>
            </w: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0.6%-3.3%</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0.1%</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0.5</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related to the ESPP for the years ended December 31, 2022 and 2021 was less than $0.1 million and</w:t>
      </w:r>
    </w:p>
    <w:p>
      <w:pPr>
        <w:jc w:val="both"/>
        <w:spacing w:after="0" w:line="261" w:lineRule="auto"/>
        <w:rPr>
          <w:sz w:val="20"/>
          <w:szCs w:val="20"/>
          <w:color w:val="auto"/>
        </w:rPr>
      </w:pPr>
      <w:r>
        <w:rPr>
          <w:rFonts w:ascii="Arial" w:cs="Arial" w:eastAsia="Arial" w:hAnsi="Arial"/>
          <w:sz w:val="18"/>
          <w:szCs w:val="18"/>
          <w:color w:val="auto"/>
        </w:rPr>
        <w:t>$0.2 million, respectively. As of December 31, 2022, total unrecognized compensation cost related to stock purchase rights granted under the ESPP was less than $0.1 million, which is expected to be recognized over a remaining weighted-average vesting period of 0.2 years.</w:t>
      </w:r>
    </w:p>
    <w:p>
      <w:pPr>
        <w:spacing w:after="0" w:line="13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statement of operations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97"/>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3,860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3,943</w:t>
            </w:r>
          </w:p>
        </w:tc>
      </w:tr>
      <w:tr>
        <w:trPr>
          <w:trHeight w:val="208"/>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r>
      <w:tr>
        <w:trPr>
          <w:trHeight w:val="190"/>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r>
      <w:tr>
        <w:trPr>
          <w:trHeight w:val="26"/>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r>
      <w:tr>
        <w:trPr>
          <w:trHeight w:val="197"/>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1,421,235</w:t>
            </w:r>
          </w:p>
        </w:tc>
      </w:tr>
      <w:tr>
        <w:trPr>
          <w:trHeight w:val="208"/>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reserved for issuance upon vesting of outstanding restricted stock units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1,036,370</w:t>
            </w:r>
          </w:p>
        </w:tc>
      </w:tr>
      <w:tr>
        <w:trPr>
          <w:trHeight w:val="197"/>
        </w:trPr>
        <w:tc>
          <w:tcPr>
            <w:tcW w:w="9000" w:type="dxa"/>
            <w:vAlign w:val="bottom"/>
          </w:tcPr>
          <w:p>
            <w:pPr>
              <w:ind w:left="20"/>
              <w:spacing w:after="0"/>
              <w:rPr>
                <w:sz w:val="20"/>
                <w:szCs w:val="20"/>
                <w:color w:val="auto"/>
              </w:rPr>
            </w:pPr>
            <w:r>
              <w:rPr>
                <w:rFonts w:ascii="Arial" w:cs="Arial" w:eastAsia="Arial" w:hAnsi="Arial"/>
                <w:sz w:val="14"/>
                <w:szCs w:val="14"/>
                <w:color w:val="auto"/>
              </w:rPr>
              <w:t>Common shares available for grant under the 2019 Plan</w:t>
            </w:r>
          </w:p>
        </w:tc>
        <w:tc>
          <w:tcPr>
            <w:tcW w:w="2240" w:type="dxa"/>
            <w:vAlign w:val="bottom"/>
          </w:tcPr>
          <w:p>
            <w:pPr>
              <w:jc w:val="right"/>
              <w:spacing w:after="0"/>
              <w:rPr>
                <w:sz w:val="20"/>
                <w:szCs w:val="20"/>
                <w:color w:val="auto"/>
              </w:rPr>
            </w:pPr>
            <w:r>
              <w:rPr>
                <w:rFonts w:ascii="Arial" w:cs="Arial" w:eastAsia="Arial" w:hAnsi="Arial"/>
                <w:sz w:val="14"/>
                <w:szCs w:val="14"/>
                <w:color w:val="auto"/>
              </w:rPr>
              <w:t>1,452,435</w:t>
            </w:r>
          </w:p>
        </w:tc>
      </w:t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available for future issuance under ESPP</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413,425</w:t>
            </w:r>
          </w:p>
        </w:tc>
      </w:tr>
      <w:tr>
        <w:trPr>
          <w:trHeight w:val="202"/>
        </w:trPr>
        <w:tc>
          <w:tcPr>
            <w:tcW w:w="9000" w:type="dxa"/>
            <w:vAlign w:val="bottom"/>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5,537,524</w:t>
            </w:r>
          </w:p>
        </w:tc>
      </w:tr>
      <w:tr>
        <w:trPr>
          <w:trHeight w:val="21"/>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9.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6"/>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2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8"/>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3"/>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deferred</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2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w:t>
            </w: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4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0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7"/>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8"/>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7"/>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Stock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1.4 %</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08"/>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23.9 %</w:t>
            </w:r>
          </w:p>
        </w:tc>
        <w:tc>
          <w:tcPr>
            <w:tcW w:w="14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24.6 %</w:t>
            </w:r>
          </w:p>
        </w:tc>
      </w:tr>
      <w:tr>
        <w:trPr>
          <w:trHeight w:val="22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Significant components of the Company’s deferred tax assets at December 31, 2022 and 2021 are shown below (in thousands).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88"/>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29,789</w:t>
            </w:r>
          </w:p>
        </w:tc>
        <w:tc>
          <w:tcPr>
            <w:tcW w:w="140" w:type="dxa"/>
            <w:vAlign w:val="bottom"/>
          </w:tcPr>
          <w:p>
            <w:pPr>
              <w:spacing w:after="0"/>
              <w:rPr>
                <w:sz w:val="17"/>
                <w:szCs w:val="17"/>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22,365</w:t>
            </w:r>
          </w:p>
        </w:tc>
      </w:tr>
      <w:tr>
        <w:trPr>
          <w:trHeight w:val="208"/>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1,055</w:t>
            </w:r>
          </w:p>
        </w:tc>
      </w:tr>
      <w:tr>
        <w:trPr>
          <w:trHeight w:val="208"/>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compensation</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1,374</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Capitalization of research and experimentation costs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2,047</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580" w:type="dxa"/>
            <w:vAlign w:val="bottom"/>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39,979</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27,882</w:t>
            </w:r>
          </w:p>
        </w:tc>
      </w:tr>
      <w:tr>
        <w:trPr>
          <w:trHeight w:val="203"/>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(38,567)</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(27,158)</w:t>
            </w:r>
          </w:p>
        </w:tc>
      </w:tr>
      <w:tr>
        <w:trPr>
          <w:trHeight w:val="19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r>
      <w:tr>
        <w:trPr>
          <w:trHeight w:val="188"/>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Financing and acquisition-related liabilities</w:t>
            </w:r>
          </w:p>
        </w:tc>
        <w:tc>
          <w:tcPr>
            <w:tcW w:w="1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08"/>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97"/>
        </w:trPr>
        <w:tc>
          <w:tcPr>
            <w:tcW w:w="7580" w:type="dxa"/>
            <w:vAlign w:val="bottom"/>
          </w:tcPr>
          <w:p>
            <w:pPr>
              <w:ind w:left="240"/>
              <w:spacing w:after="0"/>
              <w:rPr>
                <w:sz w:val="20"/>
                <w:szCs w:val="20"/>
                <w:color w:val="auto"/>
              </w:rPr>
            </w:pPr>
            <w:r>
              <w:rPr>
                <w:rFonts w:ascii="Arial" w:cs="Arial" w:eastAsia="Arial" w:hAnsi="Arial"/>
                <w:sz w:val="14"/>
                <w:szCs w:val="14"/>
                <w:color w:val="auto"/>
              </w:rPr>
              <w:t>Right of use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(1,206)</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9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 net</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Changes in the valuation allowance for deferred tax assets during the years ended December 31, 2022 and 2021, which related primarily to increases in net operating loss (NOL) carryforwards, research and development tax credits, capitalization of research and experimentation costs, and impairment of goodwill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02"/>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27,158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20,596</w:t>
            </w:r>
          </w:p>
        </w:tc>
      </w:tr>
      <w:tr>
        <w:trPr>
          <w:trHeight w:val="19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11,409</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6,562</w:t>
            </w:r>
          </w:p>
        </w:tc>
      </w:tr>
      <w:tr>
        <w:trPr>
          <w:trHeight w:val="22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38,567</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At December 31, 2022 and 2021, the Company had federal NOL carryforwards of approximately $118.4 million and $ 89.4 million, respectively. At December 31, 2022 and 2021, the Company had state NOL carryforwards of $87.0 million and $61.0 million, respectively. Approximately $43.5 million of the federal tax loss carryforwards will begin to expire in 2023, unless previously utilized. The federal NOL carryforwards generated in after December 31, 2017 of $74.9 million will carryforward indefinitely. The Company’s state tax loss carryforwards will expire in 2030, unless previously utilized.</w:t>
      </w:r>
    </w:p>
    <w:p>
      <w:pPr>
        <w:spacing w:after="0" w:line="14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At December 31, 2022,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 2012, 2017 and 2019.</w:t>
      </w:r>
    </w:p>
    <w:p>
      <w:pPr>
        <w:spacing w:after="0" w:line="14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Company’s tax years for 2003 and forward are subject to examination by the U.S. and state tax authorities due to the carryforward of unutilized net operating losses and research and development credits.</w:t>
      </w:r>
    </w:p>
    <w:p>
      <w:pPr>
        <w:spacing w:after="0" w:line="14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recognizes interest and/or penalties related to income tax matters in its provision for income taxes. The Company does not have any material accruals for, and did not recognize any, material interest or penalties in these financial statements in any period presented.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401(k) Plan</w:t>
      </w:r>
    </w:p>
    <w:p>
      <w:pPr>
        <w:spacing w:after="0" w:line="18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2022 and 2021, the Company made contributions to the Plan at 4% and 3% of qualified employee compensation, respectively. For the years ended December 31, 2022 and 2021, these contributions totaled approximately $0.9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048" w:right="339" w:bottom="1440" w:gutter="0" w:footer="0" w:header="0"/>
        </w:sectPr>
      </w:pPr>
    </w:p>
    <w:bookmarkStart w:id="122" w:name="page123"/>
    <w:bookmarkEnd w:id="122"/>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333-250015) and Form S-8 (Nos. 333-233878, 333-256014 and 333-264867) of Exagen Inc. of our report dated March 20, 2023, relating to the financial statements, which appears in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2023</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7" w:lineRule="auto"/>
        <w:tabs>
          <w:tab w:leader="none" w:pos="4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7"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right="500" w:firstLine="332"/>
        <w:spacing w:after="0" w:line="357"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24" w:name="page125"/>
    <w:bookmarkEnd w:id="124"/>
    <w:p>
      <w:pPr>
        <w:ind w:left="-20" w:firstLine="332"/>
        <w:spacing w:after="0" w:line="371" w:lineRule="auto"/>
        <w:tabs>
          <w:tab w:leader="none" w:pos="7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20,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7" w:lineRule="auto"/>
        <w:tabs>
          <w:tab w:leader="none" w:pos="4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7" w:lineRule="auto"/>
        <w:tabs>
          <w:tab w:leader="none" w:pos="78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right="500" w:firstLine="332"/>
        <w:spacing w:after="0" w:line="357" w:lineRule="auto"/>
        <w:tabs>
          <w:tab w:leader="none" w:pos="78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26" w:name="page127"/>
    <w:bookmarkEnd w:id="126"/>
    <w:p>
      <w:pPr>
        <w:ind w:left="-20" w:firstLine="332"/>
        <w:spacing w:after="0" w:line="371" w:lineRule="auto"/>
        <w:tabs>
          <w:tab w:leader="none" w:pos="7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20,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111" w:right="4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2022 (the "Report") fully complies with the requirements of Section 13(a) or 15(d), as applicable, of the Securities Exchange Act of 1934, as amended; and</w:t>
      </w:r>
    </w:p>
    <w:p>
      <w:pPr>
        <w:spacing w:after="0" w:line="160"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2023</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66" w:lineRule="exact"/>
        <w:rPr>
          <w:sz w:val="20"/>
          <w:szCs w:val="20"/>
          <w:color w:val="auto"/>
        </w:rPr>
      </w:pPr>
    </w:p>
    <w:p>
      <w:pPr>
        <w:jc w:val="both"/>
        <w:ind w:left="660" w:right="240" w:hanging="4"/>
        <w:spacing w:after="0" w:line="350" w:lineRule="auto"/>
        <w:tabs>
          <w:tab w:leader="none" w:pos="11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2022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71" w:lineRule="auto"/>
        <w:tabs>
          <w:tab w:leader="none" w:pos="11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2023</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upperLetter"/>
      <w:start w:val="6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2" Type="http://schemas.openxmlformats.org/officeDocument/2006/relationships/image" Target="media/image95.png"/><Relationship Id="rId140" Type="http://schemas.openxmlformats.org/officeDocument/2006/relationships/image" Target="media/image96.png"/><Relationship Id="rId159" Type="http://schemas.openxmlformats.org/officeDocument/2006/relationships/image" Target="media/image97.png"/><Relationship Id="rId172" Type="http://schemas.openxmlformats.org/officeDocument/2006/relationships/image" Target="media/image98.png"/><Relationship Id="rId173" Type="http://schemas.openxmlformats.org/officeDocument/2006/relationships/image" Target="media/image99.png"/><Relationship Id="rId174" Type="http://schemas.openxmlformats.org/officeDocument/2006/relationships/image" Target="media/image100.png"/><Relationship Id="rId175" Type="http://schemas.openxmlformats.org/officeDocument/2006/relationships/image" Target="media/image101.png"/><Relationship Id="rId176" Type="http://schemas.openxmlformats.org/officeDocument/2006/relationships/image" Target="media/image102.png"/><Relationship Id="rId177" Type="http://schemas.openxmlformats.org/officeDocument/2006/relationships/image" Target="media/image103.png"/><Relationship Id="rId178" Type="http://schemas.openxmlformats.org/officeDocument/2006/relationships/image" Target="media/image104.png"/><Relationship Id="rId179" Type="http://schemas.openxmlformats.org/officeDocument/2006/relationships/image" Target="media/image105.png"/><Relationship Id="rId180" Type="http://schemas.openxmlformats.org/officeDocument/2006/relationships/image" Target="media/image106.png"/><Relationship Id="rId181" Type="http://schemas.openxmlformats.org/officeDocument/2006/relationships/image" Target="media/image107.png"/><Relationship Id="rId182" Type="http://schemas.openxmlformats.org/officeDocument/2006/relationships/image" Target="media/image108.png"/><Relationship Id="rId183" Type="http://schemas.openxmlformats.org/officeDocument/2006/relationships/image" Target="media/image109.png"/><Relationship Id="rId184" Type="http://schemas.openxmlformats.org/officeDocument/2006/relationships/image" Target="media/image110.png"/><Relationship Id="rId185" Type="http://schemas.openxmlformats.org/officeDocument/2006/relationships/image" Target="media/image111.png"/><Relationship Id="rId186" Type="http://schemas.openxmlformats.org/officeDocument/2006/relationships/image" Target="media/image112.png"/><Relationship Id="rId187" Type="http://schemas.openxmlformats.org/officeDocument/2006/relationships/image" Target="media/image113.png"/><Relationship Id="rId188" Type="http://schemas.openxmlformats.org/officeDocument/2006/relationships/image" Target="media/image114.png"/><Relationship Id="rId189"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192"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202" Type="http://schemas.openxmlformats.org/officeDocument/2006/relationships/image" Target="media/image128.png"/><Relationship Id="rId203" Type="http://schemas.openxmlformats.org/officeDocument/2006/relationships/image" Target="media/image129.png"/><Relationship Id="rId204" Type="http://schemas.openxmlformats.org/officeDocument/2006/relationships/image" Target="media/image130.png"/><Relationship Id="rId205" Type="http://schemas.openxmlformats.org/officeDocument/2006/relationships/image" Target="media/image131.png"/><Relationship Id="rId206" Type="http://schemas.openxmlformats.org/officeDocument/2006/relationships/image" Target="media/image132.png"/><Relationship Id="rId102" Type="http://schemas.openxmlformats.org/officeDocument/2006/relationships/hyperlink" Target="http://www.sec.gov/Archives/edgar/data/1274737/000119312519252366/d769261dex31.htm" TargetMode="External"/><Relationship Id="rId103" Type="http://schemas.openxmlformats.org/officeDocument/2006/relationships/hyperlink" Target="http://www.sec.gov/Archives/edgar/data/1274737/000127473721000017/ex31-amendedandrestatedbyl.htm" TargetMode="External"/><Relationship Id="rId104" Type="http://schemas.openxmlformats.org/officeDocument/2006/relationships/hyperlink" Target="https://www.sec.gov/Archives/edgar/data/1274737/000127473723000004/exhibit-exagenxamendmentto.htm" TargetMode="External"/><Relationship Id="rId105" Type="http://schemas.openxmlformats.org/officeDocument/2006/relationships/hyperlink" Target="http://www.sec.gov/Archives/edgar/data/1274737/000119312519240403/d692844dex41.htm" TargetMode="External"/><Relationship Id="rId106" Type="http://schemas.openxmlformats.org/officeDocument/2006/relationships/hyperlink" Target="http://www.sec.gov/Archives/edgar/data/1274737/000119312519228011/d692844dex42.htm" TargetMode="External"/><Relationship Id="rId107" Type="http://schemas.openxmlformats.org/officeDocument/2006/relationships/hyperlink" Target="http://www.sec.gov/Archives/edgar/data/1274737/000119312519228011/d692844dex43.htm" TargetMode="External"/><Relationship Id="rId108" Type="http://schemas.openxmlformats.org/officeDocument/2006/relationships/hyperlink" Target="http://www.sec.gov/Archives/edgar/data/1274737/000119312519228011/d692844dex44.htm" TargetMode="External"/><Relationship Id="rId109" Type="http://schemas.openxmlformats.org/officeDocument/2006/relationships/hyperlink" Target="http://www.sec.gov/Archives/edgar/data/1274737/000119312519228011/d692844dex48.htm" TargetMode="External"/><Relationship Id="rId110" Type="http://schemas.openxmlformats.org/officeDocument/2006/relationships/hyperlink" Target="http://www.sec.gov/Archives/edgar/data/1274737/000119312519228011/d692844dex49.htm" TargetMode="External"/><Relationship Id="rId111" Type="http://schemas.openxmlformats.org/officeDocument/2006/relationships/hyperlink" Target="http://www.sec.gov/Archives/edgar/data/1274737/000127473721000094/ex45-formofprexfundedwarra.htm" TargetMode="External"/><Relationship Id="rId112" Type="http://schemas.openxmlformats.org/officeDocument/2006/relationships/hyperlink" Target="http://www.sec.gov/Archives/edgar/data/1274737/000119312519228011/d692844dex101.htm" TargetMode="External"/><Relationship Id="rId113" Type="http://schemas.openxmlformats.org/officeDocument/2006/relationships/hyperlink" Target="http://www.sec.gov/Archives/edgar/data/1274737/000119312519228011/d692844dex102.htm" TargetMode="External"/><Relationship Id="rId114" Type="http://schemas.openxmlformats.org/officeDocument/2006/relationships/hyperlink" Target="http://www.sec.gov/Archives/edgar/data/1274737/000119312519240403/d692844dex103.htm" TargetMode="External"/><Relationship Id="rId115" Type="http://schemas.openxmlformats.org/officeDocument/2006/relationships/hyperlink" Target="http://www.sec.gov/Archives/edgar/data/1274737/000119312519240403/d692844dex104.htm" TargetMode="External"/><Relationship Id="rId116" Type="http://schemas.openxmlformats.org/officeDocument/2006/relationships/hyperlink" Target="http://www.sec.gov/Archives/edgar/data/1274737/000127473721000015/ex105-formofrsuagreement20.htm" TargetMode="External"/><Relationship Id="rId117" Type="http://schemas.openxmlformats.org/officeDocument/2006/relationships/hyperlink" Target="http://www.sec.gov/Archives/edgar/data/1274737/000119312519240403/d692844dex105.htm" TargetMode="External"/><Relationship Id="rId118" Type="http://schemas.openxmlformats.org/officeDocument/2006/relationships/hyperlink" Target="http://www.sec.gov/Archives/edgar/data/1274737/000119312519228011/d692844dex105.htm" TargetMode="External"/><Relationship Id="rId119" Type="http://schemas.openxmlformats.org/officeDocument/2006/relationships/hyperlink" Target="http://www.sec.gov/Archives/edgar/data/1274737/000119312519228011/d692844dex106.htm" TargetMode="External"/><Relationship Id="rId120" Type="http://schemas.openxmlformats.org/officeDocument/2006/relationships/hyperlink" Target="http://www.sec.gov/Archives/edgar/data/1274737/000127473721000115/ex106-letteragreementippur.htm" TargetMode="External"/><Relationship Id="rId121" Type="http://schemas.openxmlformats.org/officeDocument/2006/relationships/hyperlink" Target="http://www.sec.gov/Archives/edgar/data/1274737/000119312519228011/d692844dex1010.htm" TargetMode="External"/><Relationship Id="rId123" Type="http://schemas.openxmlformats.org/officeDocument/2006/relationships/hyperlink" Target="http://www.sec.gov/Archives/edgar/data/1274737/000119312519228011/d692844dex1011.htm" TargetMode="External"/><Relationship Id="rId124" Type="http://schemas.openxmlformats.org/officeDocument/2006/relationships/hyperlink" Target="http://www.sec.gov/Archives/edgar/data/1274737/000119312519228011/d692844dex1012.htm" TargetMode="External"/><Relationship Id="rId125" Type="http://schemas.openxmlformats.org/officeDocument/2006/relationships/hyperlink" Target="http://www.sec.gov/Archives/edgar/data/1274737/000119312519228011/d692844dex1013.htm" TargetMode="External"/><Relationship Id="rId126" Type="http://schemas.openxmlformats.org/officeDocument/2006/relationships/hyperlink" Target="http://www.sec.gov/Archives/edgar/data/1274737/000119312519228011/d692844dex1014.htm" TargetMode="External"/><Relationship Id="rId127" Type="http://schemas.openxmlformats.org/officeDocument/2006/relationships/hyperlink" Target="http://www.sec.gov/Archives/edgar/data/1274737/000119312519228011/d692844dex1015.htm" TargetMode="External"/><Relationship Id="rId128" Type="http://schemas.openxmlformats.org/officeDocument/2006/relationships/hyperlink" Target="http://www.sec.gov/Archives/edgar/data/1274737/000119312519228011/d692844dex1016.htm" TargetMode="External"/><Relationship Id="rId129" Type="http://schemas.openxmlformats.org/officeDocument/2006/relationships/hyperlink" Target="http://www.sec.gov/Archives/edgar/data/1274737/000119312519228011/d692844dex1017.htm" TargetMode="External"/><Relationship Id="rId130" Type="http://schemas.openxmlformats.org/officeDocument/2006/relationships/hyperlink" Target="http://www.sec.gov/Archives/edgar/data/1274737/000119312519228011/d692844dex1018.htm" TargetMode="External"/><Relationship Id="rId131" Type="http://schemas.openxmlformats.org/officeDocument/2006/relationships/hyperlink" Target="http://www.sec.gov/Archives/edgar/data/1274737/000119312519228011/d692844dex1019.htm" TargetMode="External"/><Relationship Id="rId132" Type="http://schemas.openxmlformats.org/officeDocument/2006/relationships/hyperlink" Target="http://www.sec.gov/Archives/edgar/data/1274737/000119312519228011/d692844dex1020.htm" TargetMode="External"/><Relationship Id="rId133" Type="http://schemas.openxmlformats.org/officeDocument/2006/relationships/hyperlink" Target="http://www.sec.gov/Archives/edgar/data/1274737/000119312519228011/d692844dex1021.htm" TargetMode="External"/><Relationship Id="rId134" Type="http://schemas.openxmlformats.org/officeDocument/2006/relationships/hyperlink" Target="http://www.sec.gov/Archives/edgar/data/1274737/000119312519228011/d692844dex1022.htm" TargetMode="External"/><Relationship Id="rId135" Type="http://schemas.openxmlformats.org/officeDocument/2006/relationships/hyperlink" Target="http://www.sec.gov/Archives/edgar/data/1274737/000119312519228011/d692844dex1023.htm" TargetMode="External"/><Relationship Id="rId136" Type="http://schemas.openxmlformats.org/officeDocument/2006/relationships/hyperlink" Target="http://www.sec.gov/Archives/edgar/data/1274737/000127473720000077/ex101-amend1tocoxpromo.htm" TargetMode="External"/><Relationship Id="rId137" Type="http://schemas.openxmlformats.org/officeDocument/2006/relationships/hyperlink" Target="http://www.sec.gov/Archives/edgar/data/1274737/000127473720000077/ex102-amend2tocoxpromo.htm" TargetMode="External"/><Relationship Id="rId138" Type="http://schemas.openxmlformats.org/officeDocument/2006/relationships/hyperlink" Target="http://www.sec.gov/Archives/edgar/data/1274737/000127473721000015/ex1025-amend3tocoxpromotio.htm" TargetMode="External"/><Relationship Id="rId139" Type="http://schemas.openxmlformats.org/officeDocument/2006/relationships/hyperlink" Target="http://www.sec.gov/Archives/edgar/data/1274737/000127473721000094/ex101-amend4tocoxpromotion.htm" TargetMode="External"/><Relationship Id="rId141" Type="http://schemas.openxmlformats.org/officeDocument/2006/relationships/hyperlink" Target="http://www.sec.gov/Archives/edgar/data/1274737/000119312519228011/d692844dex1024.htm" TargetMode="External"/><Relationship Id="rId142" Type="http://schemas.openxmlformats.org/officeDocument/2006/relationships/hyperlink" Target="http://www.sec.gov/Archives/edgar/data/1274737/000119312519228011/d692844dex1025.htm" TargetMode="External"/><Relationship Id="rId143" Type="http://schemas.openxmlformats.org/officeDocument/2006/relationships/hyperlink" Target="http://www.sec.gov/Archives/edgar/data/1274737/000127473720000026/secondamend1261suitebc.htm" TargetMode="External"/><Relationship Id="rId144" Type="http://schemas.openxmlformats.org/officeDocument/2006/relationships/hyperlink" Target="http://www.sec.gov/Archives/edgar/data/1274737/000127473720000026/thirdamend1261suitebc.htm" TargetMode="External"/><Relationship Id="rId145" Type="http://schemas.openxmlformats.org/officeDocument/2006/relationships/hyperlink" Target="http://www.sec.gov/Archives/edgar/data/1274737/000127473720000026/fourthamendmenttolease.htm" TargetMode="External"/><Relationship Id="rId146" Type="http://schemas.openxmlformats.org/officeDocument/2006/relationships/hyperlink" Target="http://www.sec.gov/Archives/edgar/data/1274737/000127473721000115/ex103-fifthaddendumtolease.htm" TargetMode="External"/><Relationship Id="rId147" Type="http://schemas.openxmlformats.org/officeDocument/2006/relationships/hyperlink" Target="http://www.sec.gov/Archives/edgar/data/1274737/000119312519228011/d692844dex1030.htm" TargetMode="External"/><Relationship Id="rId148" Type="http://schemas.openxmlformats.org/officeDocument/2006/relationships/hyperlink" Target="http://www.sec.gov/Archives/edgar/data/1274737/000127473720000026/firstamend1221lease.htm" TargetMode="External"/><Relationship Id="rId149" Type="http://schemas.openxmlformats.org/officeDocument/2006/relationships/hyperlink" Target="http://www.sec.gov/Archives/edgar/data/1274737/000127473720000026/a1221libertyway-leasea.htm" TargetMode="External"/><Relationship Id="rId150" Type="http://schemas.openxmlformats.org/officeDocument/2006/relationships/hyperlink" Target="http://www.sec.gov/Archives/edgar/data/1274737/000127473721000015/ex1034-amend1to1221liberty.htm" TargetMode="External"/><Relationship Id="rId151" Type="http://schemas.openxmlformats.org/officeDocument/2006/relationships/hyperlink" Target="http://www.sec.gov/Archives/edgar/data/1274737/000127473721000115/ex102-amend2to1221libertyw.htm" TargetMode="External"/><Relationship Id="rId152" Type="http://schemas.openxmlformats.org/officeDocument/2006/relationships/hyperlink" Target="http://www.sec.gov/Archives/edgar/data/1274737/000127473720000026/ex10331261suitealeasev2.htm" TargetMode="External"/><Relationship Id="rId153" Type="http://schemas.openxmlformats.org/officeDocument/2006/relationships/hyperlink" Target="http://www.sec.gov/Archives/edgar/data/1274737/000127473721000115/ex104-firstaddendumtolease.htm" TargetMode="External"/><Relationship Id="rId154" Type="http://schemas.openxmlformats.org/officeDocument/2006/relationships/hyperlink" Target="http://www.sec.gov/Archives/edgar/data/1274737/000127473721000115/ex101-subleaseagreement819.htm" TargetMode="External"/><Relationship Id="rId155" Type="http://schemas.openxmlformats.org/officeDocument/2006/relationships/hyperlink" Target="http://www.sec.gov/Archives/edgar/data/1274737/000119312519228011/d692844dex1031.htm" TargetMode="External"/><Relationship Id="rId156" Type="http://schemas.openxmlformats.org/officeDocument/2006/relationships/hyperlink" Target="http://www.sec.gov/Archives/edgar/data/1274737/000119312519228011/d692844dex1032.htm" TargetMode="External"/><Relationship Id="rId157" Type="http://schemas.openxmlformats.org/officeDocument/2006/relationships/hyperlink" Target="http://www.sec.gov/Archives/edgar/data/1274737/000127473720000026/ex1036-innovatusxexage.htm" TargetMode="External"/><Relationship Id="rId158" Type="http://schemas.openxmlformats.org/officeDocument/2006/relationships/hyperlink" Target="http://www.sec.gov/Archives/edgar/data/1274737/000127473720000097/ex101-innovatusacknowl.htm" TargetMode="External"/><Relationship Id="rId160" Type="http://schemas.openxmlformats.org/officeDocument/2006/relationships/hyperlink" Target="http://www.sec.gov/Archives/edgar/data/1274737/000127473721000115/ex105-secondamendmentloana.htm" TargetMode="External"/><Relationship Id="rId161" Type="http://schemas.openxmlformats.org/officeDocument/2006/relationships/hyperlink" Target="http://www.sec.gov/Archives/edgar/data/1274737/000119312519240403/d692844dex1034.htm" TargetMode="External"/><Relationship Id="rId162" Type="http://schemas.openxmlformats.org/officeDocument/2006/relationships/hyperlink" Target="http://www.sec.gov/Archives/edgar/data/1274737/000119312519228011/d692844dex1034.htm" TargetMode="External"/><Relationship Id="rId163" Type="http://schemas.openxmlformats.org/officeDocument/2006/relationships/hyperlink" Target="http://www.sec.gov/Archives/edgar/data/1274737/000119312519240403/d692844dex1036.htm" TargetMode="External"/><Relationship Id="rId164" Type="http://schemas.openxmlformats.org/officeDocument/2006/relationships/hyperlink" Target="http://www.sec.gov/Archives/edgar/data/1274737/000119312519240403/d692844dex1037.htm" TargetMode="External"/><Relationship Id="rId165" Type="http://schemas.openxmlformats.org/officeDocument/2006/relationships/hyperlink" Target="http://www.sec.gov/Archives/edgar/data/1274737/000127473720000026/ex1041-zackofferletter.htm" TargetMode="External"/><Relationship Id="rId166" Type="http://schemas.openxmlformats.org/officeDocument/2006/relationships/hyperlink" Target="http://www.sec.gov/Archives/edgar/data/1274737/000119312519240403/d692844dex1038.htm" TargetMode="External"/><Relationship Id="rId167" Type="http://schemas.openxmlformats.org/officeDocument/2006/relationships/hyperlink" Target="http://www.sec.gov/Archives/edgar/data/1274737/000127473721000015/ex1046-executivecicseveran.htm" TargetMode="External"/><Relationship Id="rId168" Type="http://schemas.openxmlformats.org/officeDocument/2006/relationships/hyperlink" Target="https://www.sec.gov/Archives/edgar/data/1274737/000127473722000067/johnaballiceoemploymentagr.htm" TargetMode="External"/><Relationship Id="rId169" Type="http://schemas.openxmlformats.org/officeDocument/2006/relationships/hyperlink" Target="https://www.sec.gov/Archives/edgar/data/1274737/000127473722000067/exagenseveranceagreement-r.htm" TargetMode="External"/><Relationship Id="rId170" Type="http://schemas.openxmlformats.org/officeDocument/2006/relationships/hyperlink" Target="https://www.sec.gov/Archives/edgar/data/1274737/000127473722000064/ex11-xgnxsalesagreement.htm" TargetMode="External"/><Relationship Id="rId171" Type="http://schemas.openxmlformats.org/officeDocument/2006/relationships/hyperlink" Target="https://www.sec.gov/Archives/edgar/data/1274737/000127473722000080/debzackconsulting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2023-03-20T16:39:38Z</dcterms:created>
  <dcterms:modified xsi:type="dcterms:W3CDTF">2023-03-20T16:39:38Z</dcterms:modified>
</cp:coreProperties>
</file>