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Hazeltine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92081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100,000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193,872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100,000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2023, subject to the Reporting Person's continued service through the applicable vesting date. In addition, the award may become fully vested upon a qualifying termination of employment in accordance with the Company's Amended and Restated Executive Change in Control Severance Plan, as the same may be amended from time to time.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2986"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2023-03-01T15:25:08Z</dcterms:created>
  <dcterms:modified xsi:type="dcterms:W3CDTF">2023-03-01T15:25:08Z</dcterms:modified>
</cp:coreProperties>
</file>