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May 18, 2023</w:t>
      </w:r>
    </w:p>
    <w:p>
      <w:pPr>
        <w:pStyle w:val="TextBody"/>
        <w:bidi w:val="0"/>
        <w:spacing w:before="0" w:after="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Registration No. 333-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2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S-8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REGISTRATION STATEMENT UNDER </w:t>
      </w:r>
    </w:p>
    <w:p>
      <w:pPr>
        <w:pStyle w:val="TextBody"/>
        <w:bidi w:val="0"/>
        <w:spacing w:lineRule="auto" w:line="288" w:before="0" w:after="0"/>
        <w:jc w:val="center"/>
        <w:rPr/>
      </w:pPr>
      <w:r>
        <w:rPr>
          <w:rFonts w:ascii="Times New Roman;sans-serif" w:hAnsi="Times New Roman;sans-serif"/>
          <w:b/>
          <w:color w:val="000000"/>
          <w:sz w:val="24"/>
        </w:rPr>
        <w:t xml:space="preserve">THE SECURITIES ACT OF 1933 </w:t>
      </w:r>
      <w:r>
        <w:rPr>
          <w:color w:val="000000"/>
        </w:rPr>
        <w:t> </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EXAGEN INC. </w:t>
      </w:r>
    </w:p>
    <w:p>
      <w:pPr>
        <w:pStyle w:val="TextBody"/>
        <w:bidi w:val="0"/>
        <w:spacing w:lineRule="auto" w:line="288" w:before="0" w:after="0"/>
        <w:jc w:val="center"/>
        <w:rPr/>
      </w:pPr>
      <w:r>
        <w:rPr>
          <w:rFonts w:ascii="Times New Roman;sans-serif" w:hAnsi="Times New Roman;sans-serif"/>
          <w:b w:val="false"/>
          <w:color w:val="000000"/>
          <w:sz w:val="20"/>
        </w:rPr>
        <w:t xml:space="preserve">(Exact name of registrant as specified in its charter) </w:t>
      </w:r>
      <w:r>
        <w:rPr>
          <w:color w:val="000000"/>
        </w:rPr>
        <w:t> </w:t>
      </w:r>
    </w:p>
    <w:tbl>
      <w:tblPr>
        <w:tblW w:w="4835"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109"/>
        <w:gridCol w:w="109"/>
        <w:gridCol w:w="109"/>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20-0434866</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California 92081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(Zip code) </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Exagen Inc. 2019 Incentive Award Plan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Exagen Inc. 2019 Employee Stock Purchase Plan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 of the plans)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John Aballi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President and Chief Executive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Exagen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1261 Liberty 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Vista, California 92081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(760) 560-1501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address, and telephone number, including area code, of agent for service)  </w:t>
      </w:r>
    </w:p>
    <w:p>
      <w:pPr>
        <w:pStyle w:val="TextBody"/>
        <w:bidi w:val="0"/>
        <w:spacing w:lineRule="auto" w:line="288" w:before="16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on Form S-8 is being filed with the Securities and Exchange Commission (the "SEC") for the purpose of registering an additional 827,499 shares of common stock of Exagen Inc. (the "Registrant") issuable or which may become issuable under the Exagen Inc. 2019 Incentive Award Plan (the "2019 Plan") and the Exagen Inc. 2019 Employee Stock Purchase Plan (the "2019 ESPP") pursuant to the evergreen provision of such plans.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General Instruction E on Form S-8, the contents of the prior registration statements on Form S-8, File Nos. 333-233878, 333-256014 and 333-264867, previously filed with respect to the 2019 Plan and 2019 ESPP, are incorporated into this Registration Statement by reference to the extent not modified or superseded hereby or by any subsequently filed document, which is incorporated by reference herein or therein.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3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containing the information specified in Part I of Form S-8 will be sent or given to participants as specified by Rule 428(b)(1) of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3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24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Registration Statement, Exagen Inc. is sometimes referred to as "Registrant," "we," "us" or "our."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Annual Report on Form 10-K for the year ended December 31, 2022, filed with the SEC on </w:t>
      </w:r>
      <w:hyperlink r:id="rId2">
        <w:r>
          <w:rPr>
            <w:rStyle w:val="InternetLink"/>
            <w:rFonts w:ascii="Times New Roman;sans-serif" w:hAnsi="Times New Roman;sans-serif"/>
            <w:b w:val="false"/>
            <w:color w:val="0000FF"/>
            <w:sz w:val="20"/>
            <w:u w:val="single"/>
          </w:rPr>
          <w:t>March 20, 2023</w:t>
        </w:r>
      </w:hyperlink>
      <w:r>
        <w:rPr>
          <w:rFonts w:ascii="Times New Roman;sans-serif" w:hAnsi="Times New Roman;sans-serif"/>
          <w:b w:val="false"/>
          <w:color w:val="000000"/>
          <w:sz w:val="20"/>
        </w:rPr>
        <w:t>, including the information incorporated by reference into our Annual Report on Form 10-K from our definitive proxy statement for our 2023 Annual Meeting of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Quarterly Report on Form 10-Q for the quarter ended March 31, 2023, filed with the SEC on </w:t>
      </w:r>
      <w:hyperlink r:id="rId3">
        <w:r>
          <w:rPr>
            <w:rStyle w:val="InternetLink"/>
          </w:rPr>
          <w:t>May 1</w:t>
        </w:r>
      </w:hyperlink>
      <w:hyperlink r:id="rId4">
        <w:r>
          <w:rPr>
            <w:rStyle w:val="InternetLink"/>
          </w:rPr>
          <w:t>5</w:t>
        </w:r>
      </w:hyperlink>
      <w:hyperlink r:id="rId5">
        <w:r>
          <w:rPr>
            <w:rStyle w:val="InternetLink"/>
          </w:rPr>
          <w:t>, 202</w:t>
        </w:r>
      </w:hyperlink>
      <w:hyperlink r:id="rId6">
        <w:r>
          <w:rPr>
            <w:rStyle w:val="InternetLink"/>
          </w:rPr>
          <w:t>3</w:t>
        </w:r>
      </w:hyperlink>
      <w:r>
        <w:rPr>
          <w:rFonts w:ascii="Times New Roman;sans-serif" w:hAnsi="Times New Roman;sans-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Registrant's Current Reports on Form 8-K filed with the SEC on </w:t>
      </w:r>
      <w:hyperlink r:id="rId7">
        <w:r>
          <w:rPr>
            <w:rStyle w:val="InternetLink"/>
            <w:rFonts w:ascii="Times New Roman;sans-serif" w:hAnsi="Times New Roman;sans-serif"/>
            <w:b w:val="false"/>
            <w:color w:val="0000FF"/>
            <w:sz w:val="20"/>
            <w:u w:val="single"/>
          </w:rPr>
          <w:t>January 9, 2023</w:t>
        </w:r>
      </w:hyperlink>
      <w:r>
        <w:rPr>
          <w:rFonts w:ascii="Times New Roman;sans-serif" w:hAnsi="Times New Roman;sans-serif"/>
          <w:b w:val="false"/>
          <w:color w:val="000000"/>
          <w:sz w:val="20"/>
        </w:rPr>
        <w:t xml:space="preserve">, </w:t>
      </w:r>
      <w:hyperlink r:id="rId8">
        <w:r>
          <w:rPr>
            <w:rStyle w:val="InternetLink"/>
            <w:rFonts w:ascii="Times New Roman;sans-serif" w:hAnsi="Times New Roman;sans-serif"/>
            <w:b w:val="false"/>
            <w:color w:val="0000FF"/>
            <w:sz w:val="20"/>
            <w:u w:val="single"/>
          </w:rPr>
          <w:t>January 23, 2023</w:t>
        </w:r>
      </w:hyperlink>
      <w:r>
        <w:rPr>
          <w:rFonts w:ascii="Times New Roman;sans-serif" w:hAnsi="Times New Roman;sans-serif"/>
          <w:b w:val="false"/>
          <w:color w:val="000000"/>
          <w:sz w:val="20"/>
        </w:rPr>
        <w:t xml:space="preserve">, </w:t>
      </w:r>
      <w:hyperlink r:id="rId9">
        <w:r>
          <w:rPr>
            <w:rStyle w:val="InternetLink"/>
            <w:rFonts w:ascii="Times New Roman;sans-serif" w:hAnsi="Times New Roman;sans-serif"/>
            <w:b w:val="false"/>
            <w:color w:val="0000FF"/>
            <w:sz w:val="20"/>
            <w:u w:val="single"/>
          </w:rPr>
          <w:t>March 23, 2023</w:t>
        </w:r>
      </w:hyperlink>
      <w:r>
        <w:rPr>
          <w:rFonts w:ascii="Times New Roman;sans-serif" w:hAnsi="Times New Roman;sans-serif"/>
          <w:b w:val="false"/>
          <w:color w:val="000000"/>
          <w:sz w:val="20"/>
        </w:rPr>
        <w:t xml:space="preserve">, and </w:t>
      </w:r>
      <w:hyperlink r:id="rId10">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description of the Registrant's common stock set forth in the Registrant's registration statement on Form 8-A12B (Registration No. 001-39049), filed by the Registrant with the SEC under Section 12(b) of the Securities Exchange Act of 1934, as amended (the "Exchange Act"), on </w:t>
      </w:r>
      <w:hyperlink r:id="rId11">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statement contained herein shall be deemed to be modified or superseded for purposes of this registration statement to the extent that a statement contained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no circumstances shall any information furnished under Item 2.02 or 7.01 of Form 8-K be deemed incorporated herein by reference unless such Form 8-K expressly provides to the contrary.</w:t>
      </w:r>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83"/>
        <w:gridCol w:w="338"/>
        <w:gridCol w:w="339"/>
        <w:gridCol w:w="1513"/>
        <w:gridCol w:w="1446"/>
        <w:gridCol w:w="1451"/>
        <w:gridCol w:w="171"/>
        <w:gridCol w:w="171"/>
        <w:gridCol w:w="170"/>
        <w:gridCol w:w="313"/>
        <w:gridCol w:w="293"/>
        <w:gridCol w:w="244"/>
        <w:gridCol w:w="210"/>
        <w:gridCol w:w="210"/>
        <w:gridCol w:w="211"/>
        <w:gridCol w:w="387"/>
        <w:gridCol w:w="387"/>
        <w:gridCol w:w="389"/>
        <w:gridCol w:w="460"/>
        <w:gridCol w:w="460"/>
        <w:gridCol w:w="659"/>
      </w:tblGrid>
      <w:tr>
        <w:trPr/>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Filing Date</w:t>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Filed/Furnished Herewith</w:t>
            </w:r>
          </w:p>
        </w:tc>
      </w:tr>
      <w:tr>
        <w:trPr/>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FF"/>
                  <w:sz w:val="16"/>
                  <w:u w:val="single"/>
                </w:rPr>
                <w:t>Amended and Restated Certificate of Incorporation.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9/23/2019</w:t>
            </w:r>
          </w:p>
        </w:tc>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FF"/>
                  <w:sz w:val="16"/>
                  <w:u w:val="single"/>
                </w:rPr>
                <w:t>Amended Restated Bylaws.</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3/22/2021</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FF"/>
                  <w:sz w:val="16"/>
                  <w:u w:val="single"/>
                </w:rPr>
                <w:t>Specimen stock certificate evidencing the shares of common stock.</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formsx8xopinionm.htm">
              <w:r>
                <w:rPr>
                  <w:rStyle w:val="InternetLink"/>
                  <w:rFonts w:ascii="Times New Roman;sans-serif" w:hAnsi="Times New Roman;sans-serif"/>
                  <w:b w:val="false"/>
                  <w:color w:val="0000FF"/>
                  <w:sz w:val="16"/>
                  <w:u w:val="single"/>
                </w:rPr>
                <w:t>Opinion of Mintz, Levin, Cohn, Ferris, Glovsky and Popeo, P.C.</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bdosx82023consent.htm">
              <w:r>
                <w:rPr>
                  <w:rStyle w:val="InternetLink"/>
                  <w:rFonts w:ascii="Times New Roman;sans-serif" w:hAnsi="Times New Roman;sans-serif"/>
                  <w:b w:val="false"/>
                  <w:color w:val="0000FF"/>
                  <w:sz w:val="16"/>
                  <w:u w:val="single"/>
                </w:rPr>
                <w:t>Consent of BDO USA, LLP, independent registered public accounting firm.</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51-formsx8xopinionm.htm">
              <w:r>
                <w:rPr>
                  <w:rStyle w:val="InternetLink"/>
                  <w:rFonts w:ascii="Times New Roman;sans-serif" w:hAnsi="Times New Roman;sans-serif"/>
                  <w:b w:val="false"/>
                  <w:color w:val="0000FF"/>
                  <w:sz w:val="16"/>
                  <w:u w:val="single"/>
                </w:rPr>
                <w:t>Consent of Mintz, Levin, Cohn, Ferris, Glovsky and Popeo, P.C. (included in Exhibit 5.1).</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2c803fb5e3e4db0bf00224235e0190b_16">
              <w:r>
                <w:rPr>
                  <w:rStyle w:val="InternetLink"/>
                  <w:rFonts w:ascii="Times New Roman;sans-serif" w:hAnsi="Times New Roman;sans-serif"/>
                  <w:b w:val="false"/>
                  <w:color w:val="0000FF"/>
                  <w:sz w:val="16"/>
                  <w:u w:val="single"/>
                </w:rPr>
                <w:t>Power of Attorney (see signature page)</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FF"/>
                  <w:sz w:val="16"/>
                  <w:u w:val="single"/>
                </w:rPr>
                <w:t>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99.2</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6"/>
                  <w:u w:val="single"/>
                </w:rPr>
                <w:t>Form of Option Agreement under 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99.3</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6"/>
                  <w:u w:val="single"/>
                </w:rPr>
                <w:t>Form of Restricted Stock Unit Agreement under Exagen Inc. 2019 Incentive Award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001-39049</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3/16/2021</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6"/>
                  <w:u w:val="single"/>
                </w:rPr>
                <w:t>Exagen Inc. 2019 Employee Stock Purchase Plan.</w:t>
              </w:r>
            </w:hyperlink>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333-233446</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1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9/9/2019</w:t>
            </w:r>
          </w:p>
        </w:tc>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44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7-formsx8calculat.htm">
              <w:r>
                <w:rPr>
                  <w:rStyle w:val="InternetLink"/>
                  <w:rFonts w:ascii="Times New Roman;sans-serif" w:hAnsi="Times New Roman;sans-serif"/>
                  <w:b w:val="false"/>
                  <w:color w:val="0000FF"/>
                  <w:sz w:val="16"/>
                  <w:u w:val="single"/>
                </w:rPr>
                <w:t>Filing Fee Table.</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Vista, State of California, on May 18, 2023.</w:t>
      </w:r>
    </w:p>
    <w:p>
      <w:pPr>
        <w:pStyle w:val="TextBody"/>
        <w:bidi w:val="0"/>
        <w:spacing w:before="0" w:after="0"/>
        <w:jc w:val="left"/>
        <w:rPr/>
      </w:pPr>
      <w:r>
        <w:rPr/>
      </w:r>
    </w:p>
    <w:tbl>
      <w:tblPr>
        <w:tblW w:w="3927"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EXAGEN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hereby constitutes and appoints John Aballi and Kamal Adawi, and each of them singly (with full power to each of them to act alone), his attorneys-in-fact, each with the full power of substitution, for him in any and all capacities, to sign this registration statement, and any amendments thereto (including post-effective amendments), and to file the same, with all exhibits thereto and other documents in connection therewith, with the SEC, hereby ratifying and confirming all that each of said attorneys-in-fact, or his substitute or substitutes, may do or cause to be done by virtue hereof. Pursuant to the requirements of the Securities Act, this registration statement has been signed below by the following persons on behalf of the Registrant and in the capacities and on the dates indicated.</w:t>
      </w:r>
    </w:p>
    <w:p>
      <w:pPr>
        <w:pStyle w:val="TextBody"/>
        <w:bidi w:val="0"/>
        <w:ind w:left="0" w:right="0" w:firstLine="3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420" w:type="dxa"/>
        <w:jc w:val="center"/>
        <w:tblInd w:w="0" w:type="dxa"/>
        <w:tblLayout w:type="fixed"/>
        <w:tblCellMar>
          <w:top w:w="28" w:type="dxa"/>
          <w:left w:w="28" w:type="dxa"/>
          <w:bottom w:w="28" w:type="dxa"/>
          <w:right w:w="28" w:type="dxa"/>
        </w:tblCellMar>
      </w:tblPr>
      <w:tblGrid>
        <w:gridCol w:w="456"/>
        <w:gridCol w:w="403"/>
        <w:gridCol w:w="403"/>
        <w:gridCol w:w="403"/>
        <w:gridCol w:w="403"/>
        <w:gridCol w:w="404"/>
        <w:gridCol w:w="109"/>
        <w:gridCol w:w="109"/>
        <w:gridCol w:w="109"/>
        <w:gridCol w:w="1329"/>
        <w:gridCol w:w="1329"/>
        <w:gridCol w:w="1346"/>
        <w:gridCol w:w="109"/>
        <w:gridCol w:w="109"/>
        <w:gridCol w:w="109"/>
        <w:gridCol w:w="377"/>
        <w:gridCol w:w="377"/>
        <w:gridCol w:w="536"/>
      </w:tblGrid>
      <w:tr>
        <w:trPr/>
        <w:tc>
          <w:tcPr>
            <w:tcW w:w="4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4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Aballi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Kamal Adawi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Kamal Adawi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Chairperson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Tina S. Nova,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Birk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Birk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 Hooker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Wendy 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Wendy S.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Ebetuel Pallares,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Ebetuel Pallares,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Bruce C. Robertson,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Stokes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L.L. Tullis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18, 2023</w:t>
            </w:r>
          </w:p>
        </w:tc>
      </w:tr>
      <w:tr>
        <w:trPr/>
        <w:tc>
          <w:tcPr>
            <w:tcW w:w="24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L.L. Tullis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107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Calculation of Filing Fee Table </w:t>
      </w:r>
    </w:p>
    <w:p>
      <w:pPr>
        <w:pStyle w:val="TextBody"/>
        <w:bidi w:val="0"/>
        <w:spacing w:lineRule="auto" w:line="240"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Form S-8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bidi w:val="0"/>
        <w:spacing w:lineRule="auto" w:line="240"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Exagen Inc. </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Table 1: Newly Registered </w:t>
      </w:r>
    </w:p>
    <w:tbl>
      <w:tblPr>
        <w:tblW w:w="10205" w:type="dxa"/>
        <w:jc w:val="left"/>
        <w:tblInd w:w="0" w:type="dxa"/>
        <w:tblLayout w:type="fixed"/>
        <w:tblCellMar>
          <w:top w:w="28" w:type="dxa"/>
          <w:left w:w="28" w:type="dxa"/>
          <w:bottom w:w="28" w:type="dxa"/>
          <w:right w:w="28" w:type="dxa"/>
        </w:tblCellMar>
      </w:tblPr>
      <w:tblGrid>
        <w:gridCol w:w="312"/>
        <w:gridCol w:w="249"/>
        <w:gridCol w:w="250"/>
        <w:gridCol w:w="823"/>
        <w:gridCol w:w="758"/>
        <w:gridCol w:w="716"/>
        <w:gridCol w:w="358"/>
        <w:gridCol w:w="358"/>
        <w:gridCol w:w="359"/>
        <w:gridCol w:w="363"/>
        <w:gridCol w:w="363"/>
        <w:gridCol w:w="364"/>
        <w:gridCol w:w="389"/>
        <w:gridCol w:w="389"/>
        <w:gridCol w:w="390"/>
        <w:gridCol w:w="449"/>
        <w:gridCol w:w="449"/>
        <w:gridCol w:w="422"/>
        <w:gridCol w:w="364"/>
        <w:gridCol w:w="364"/>
        <w:gridCol w:w="368"/>
        <w:gridCol w:w="392"/>
        <w:gridCol w:w="392"/>
        <w:gridCol w:w="564"/>
      </w:tblGrid>
      <w:tr>
        <w:trPr/>
        <w:tc>
          <w:tcPr>
            <w:tcW w:w="3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Security Type</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Security Class Title</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Fee Calculation Rule</w:t>
            </w:r>
          </w:p>
        </w:tc>
        <w:tc>
          <w:tcPr>
            <w:tcW w:w="10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Amount Registered(1)</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Proposed Maximum</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Offering Price Per Unit(4)</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Maximum Aggregate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Offering Price</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Fee Rate</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color w:val="000000"/>
                <w:sz w:val="14"/>
              </w:rPr>
            </w:pPr>
            <w:r>
              <w:rPr>
                <w:rFonts w:ascii="Times New Roman;sans-serif" w:hAnsi="Times New Roman;sans-serif"/>
                <w:b/>
                <w:color w:val="000000"/>
                <w:sz w:val="14"/>
              </w:rPr>
              <w:t>Amount of Registration Fee</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29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Common Stock, par value $0.001 per share</w:t>
            </w:r>
          </w:p>
        </w:tc>
        <w:tc>
          <w:tcPr>
            <w:tcW w:w="1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457(h)</w:t>
            </w:r>
          </w:p>
        </w:tc>
        <w:tc>
          <w:tcPr>
            <w:tcW w:w="10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661,999 (2)</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$1,899,937.13</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$0.0001102</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$209.37</w:t>
            </w:r>
          </w:p>
        </w:tc>
      </w:tr>
      <w:tr>
        <w:trPr/>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229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Common Stock, par value $0.001 per share</w:t>
            </w:r>
          </w:p>
        </w:tc>
        <w:tc>
          <w:tcPr>
            <w:tcW w:w="1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457(c)</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457(h)</w:t>
            </w:r>
          </w:p>
        </w:tc>
        <w:tc>
          <w:tcPr>
            <w:tcW w:w="10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165,500 (3)</w:t>
            </w:r>
          </w:p>
        </w:tc>
        <w:tc>
          <w:tcPr>
            <w:tcW w:w="11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$474,985.00</w:t>
            </w:r>
          </w:p>
        </w:tc>
        <w:tc>
          <w:tcPr>
            <w:tcW w:w="10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$0.0001102</w:t>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$52.34</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Offering Amount</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$2,374,922.13</w:t>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$261.71</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Fees Previously Paid</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Total Fee Offsets</w:t>
            </w:r>
          </w:p>
        </w:tc>
        <w:tc>
          <w:tcPr>
            <w:tcW w:w="11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0" w:after="283"/>
              <w:jc w:val="center"/>
              <w:rPr>
                <w:color w:val="000000"/>
              </w:rPr>
            </w:pPr>
            <w:r>
              <w:rPr>
                <w:color w:val="000000"/>
              </w:rPr>
              <w:t>—</w:t>
            </w:r>
          </w:p>
        </w:tc>
      </w:tr>
      <w:tr>
        <w:trPr/>
        <w:tc>
          <w:tcPr>
            <w:tcW w:w="5273" w:type="dxa"/>
            <w:gridSpan w:val="12"/>
            <w:tcBorders>
              <w:top w:val="single" w:sz="8" w:space="0" w:color="000000"/>
              <w:left w:val="single" w:sz="8" w:space="0" w:color="000000"/>
              <w:bottom w:val="single" w:sz="8" w:space="0" w:color="000000"/>
            </w:tcBorders>
            <w:tcMar>
              <w:top w:w="30" w:type="dxa"/>
              <w:left w:w="135" w:type="dxa"/>
              <w:bottom w:w="3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Net Fee Due</w:t>
            </w:r>
          </w:p>
        </w:tc>
        <w:tc>
          <w:tcPr>
            <w:tcW w:w="116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$261.71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1"/>
        <w:gridCol w:w="2879"/>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Rule 416(a) under the Securities Act of 1933, as amended (the “Securities Act”), this Registration Statement also covers an indeterminate number of additional shares of common stock, par value $0.001 per share (“Common Stock”), of Exagen Inc. (the “Registrant”), which may be subject to grant or otherwise issuable after the operation of any anti-dilution and other provisions of the Registrant’s 2019 Incentive Award Plan (the “2019 Plan”), or the Registrant’s 2019 Employee Stock Purchase Plan (the “2019 ESPP”).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an increase of 661,999 shares of Common Stock of the Registrant authorized for issuance for compensatory purposes only, as previously authorized under the 2019 Plan as of January 1, 2023, in connection with an “evergreen” provision in the 2019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an increase of 165,500 shares of Common Stock of the Registrant authorized for issuance for compensatory purposes only, as previously authorized under the 2019 ESPP as of January 1, 2023, in connection with an “evergreen” provision in the 2019 ESPP.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solely for the purpose of calculating the amount of the registration fee pursuant to Rule 457(c) and Rule 457(h) promulgated under the Securities Act. The offering price per share and the aggregate offering price are based on the average of the high and the low price of the Registrant’s Common Stock as reported on The Nasdaq Global Select Market as of a date (May 15, 2023) within five business days prior to filing this Registration Statement.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65" w:type="dxa"/>
        <w:jc w:val="left"/>
        <w:tblInd w:w="0" w:type="dxa"/>
        <w:tblLayout w:type="fixed"/>
        <w:tblCellMar>
          <w:top w:w="28" w:type="dxa"/>
          <w:left w:w="28" w:type="dxa"/>
          <w:bottom w:w="28" w:type="dxa"/>
          <w:right w:w="28" w:type="dxa"/>
        </w:tblCellMar>
      </w:tblPr>
      <w:tblGrid>
        <w:gridCol w:w="124"/>
        <w:gridCol w:w="109"/>
        <w:gridCol w:w="109"/>
        <w:gridCol w:w="467"/>
        <w:gridCol w:w="467"/>
        <w:gridCol w:w="470"/>
        <w:gridCol w:w="649"/>
        <w:gridCol w:w="649"/>
        <w:gridCol w:w="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drawing>
                <wp:inline distT="0" distB="0" distL="0" distR="0">
                  <wp:extent cx="800100" cy="10096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9"/>
                          <a:stretch>
                            <a:fillRect/>
                          </a:stretch>
                        </pic:blipFill>
                        <pic:spPr bwMode="auto">
                          <a:xfrm>
                            <a:off x="0" y="0"/>
                            <a:ext cx="800100" cy="1009650"/>
                          </a:xfrm>
                          <a:prstGeom prst="rect">
                            <a:avLst/>
                          </a:prstGeom>
                        </pic:spPr>
                      </pic:pic>
                    </a:graphicData>
                  </a:graphic>
                </wp:inline>
              </w:drawing>
            </w:r>
            <w:r>
              <w:rPr>
                <w:color w:val="000000"/>
              </w:rPr>
              <w:t xml:space="preserve"> </w:t>
            </w:r>
          </w:p>
        </w:tc>
        <w:tc>
          <w:tcPr>
            <w:tcW w:w="2219" w:type="dxa"/>
            <w:gridSpan w:val="3"/>
            <w:tcBorders/>
            <w:tcMar>
              <w:top w:w="0" w:type="dxa"/>
              <w:left w:w="0" w:type="dxa"/>
              <w:bottom w:w="0" w:type="dxa"/>
              <w:right w:w="0" w:type="dxa"/>
            </w:tcMar>
            <w:vAlign w:val="center"/>
          </w:tcPr>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3580 Carmel Mountain Road</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Suite 300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San Diego, CA 92130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858 314 1500</w:t>
            </w:r>
          </w:p>
          <w:p>
            <w:pPr>
              <w:pStyle w:val="TableContents"/>
              <w:bidi w:val="0"/>
              <w:spacing w:lineRule="auto" w:line="266"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Mintz.com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ind w:left="0" w:right="0" w:firstLine="810"/>
        <w:jc w:val="right"/>
        <w:rPr>
          <w:rFonts w:ascii="Times New Roman;sans-serif" w:hAnsi="Times New Roman;sans-serif"/>
          <w:b w:val="false"/>
          <w:color w:val="000000"/>
          <w:sz w:val="22"/>
        </w:rPr>
      </w:pPr>
      <w:r>
        <w:rPr>
          <w:rFonts w:ascii="Times New Roman;sans-serif" w:hAnsi="Times New Roman;sans-serif"/>
          <w:b w:val="false"/>
          <w:color w:val="000000"/>
          <w:sz w:val="22"/>
        </w:rPr>
        <w:t>May 18, 2023</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Exagen Inc.</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1261 Liberty Way</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Vista, CA 92081</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acted as legal counsel to Exagen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827,499 shares (the “Shares”) of the Company’s common stock, $0.001 par value per share, in accordance with the terms of the Exagen Inc. 2019 Incentive Award Plan and the Exagen Inc. 2019 Employee Stock Purchase Plan (together, the “Plans”).  This opinion is being rendered in connection with the filing of the Registration Statement with the Commission.   </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this opinion, we have examined the Company’s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Plans.</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Based upon the foregoing, we are of the opinion that the Shares, when issued and delivered in accordance with the terms of the Plans, will be validly issued, fully paid and non-assessable.</w:t>
      </w:r>
    </w:p>
    <w:p>
      <w:pPr>
        <w:pStyle w:val="TextBody"/>
        <w:bidi w:val="0"/>
        <w:spacing w:lineRule="auto" w:line="240" w:before="0" w:after="240"/>
        <w:ind w:left="0" w:right="0" w:firstLine="94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understand that you wish to file this opinion with the Commission as an exhibit to the Registration Statement in accordance with the requirements of Item 601(b)(5) of Regulation S-K </w:t>
      </w:r>
    </w:p>
    <w:p>
      <w:pPr>
        <w:pStyle w:val="TextBody"/>
        <w:bidi w:val="0"/>
        <w:spacing w:lineRule="auto" w:line="240" w:before="0" w:after="240"/>
        <w:jc w:val="left"/>
        <w:rPr>
          <w:rFonts w:ascii="Arial;sans-serif" w:hAnsi="Arial;sans-serif"/>
          <w:b/>
          <w:color w:val="000000"/>
          <w:sz w:val="20"/>
        </w:rPr>
      </w:pPr>
      <w:r>
        <w:rPr>
          <w:rFonts w:ascii="Arial;sans-serif" w:hAnsi="Arial;sans-serif"/>
          <w:b/>
          <w:color w:val="000000"/>
          <w:sz w:val="20"/>
        </w:rPr>
        <w:t>MINTZ</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1415"/>
                <wp:effectExtent l="0" t="0" r="0" b="0"/>
                <wp:wrapNone/>
                <wp:docPr id="9" name="Frame8"/>
                <a:graphic xmlns:a="http://schemas.openxmlformats.org/drawingml/2006/main">
                  <a:graphicData uri="http://schemas.microsoft.com/office/word/2010/wordprocessingShape">
                    <wps:wsp>
                      <wps:cNvSpPr txBox="1"/>
                      <wps:spPr>
                        <a:xfrm>
                          <a:off x="0" y="0"/>
                          <a:ext cx="6480175" cy="1161415"/>
                        </a:xfrm>
                        <a:prstGeom prst="rect"/>
                        <a:solidFill>
                          <a:srgbClr val="FFFFFF"/>
                        </a:solidFill>
                      </wps:spPr>
                      <wps:txbx>
                        <w:txbxContent>
                          <w:tbl>
                            <w:tblPr>
                              <w:tblW w:w="8865" w:type="dxa"/>
                              <w:jc w:val="left"/>
                              <w:tblInd w:w="0" w:type="dxa"/>
                              <w:tblLayout w:type="fixed"/>
                              <w:tblCellMar>
                                <w:top w:w="28" w:type="dxa"/>
                                <w:left w:w="28" w:type="dxa"/>
                                <w:bottom w:w="28" w:type="dxa"/>
                                <w:right w:w="28" w:type="dxa"/>
                              </w:tblCellMar>
                            </w:tblPr>
                            <w:tblGrid>
                              <w:gridCol w:w="2839"/>
                              <w:gridCol w:w="2495"/>
                              <w:gridCol w:w="3531"/>
                            </w:tblGrid>
                            <w:tr>
                              <w:trPr/>
                              <w:tc>
                                <w:tcPr>
                                  <w:tcW w:w="2839" w:type="dxa"/>
                                  <w:tcBorders/>
                                  <w:vAlign w:val="center"/>
                                </w:tcPr>
                                <w:p>
                                  <w:pPr>
                                    <w:pStyle w:val="TableContents"/>
                                    <w:bidi w:val="0"/>
                                    <w:spacing w:before="0" w:after="283"/>
                                    <w:jc w:val="left"/>
                                    <w:rPr>
                                      <w:sz w:val="4"/>
                                      <w:szCs w:val="4"/>
                                    </w:rPr>
                                  </w:pPr>
                                  <w:r>
                                    <w:rPr>
                                      <w:sz w:val="4"/>
                                      <w:szCs w:val="4"/>
                                    </w:rPr>
                                  </w:r>
                                  <w:r>
                                    <w:br w:type="page"/>
                                  </w:r>
                                </w:p>
                              </w:tc>
                              <w:tc>
                                <w:tcPr>
                                  <w:tcW w:w="2495"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Arial;sans-serif" w:hAnsi="Arial;sans-serif"/>
                                      <w:b w:val="false"/>
                                      <w:color w:val="000000"/>
                                      <w:sz w:val="16"/>
                                    </w:rPr>
                                  </w:pPr>
                                  <w:r>
                                    <w:rPr>
                                      <w:rFonts w:ascii="Arial;sans-serif" w:hAnsi="Arial;sans-serif"/>
                                      <w:b w:val="false"/>
                                      <w:color w:val="000000"/>
                                      <w:sz w:val="16"/>
                                    </w:rPr>
                                    <w:t>BOSTON       LONDON       LOS ANGELES       NEW YORK       SAN DIEGO       SAN FRANCISCO      WASHINGTON</w:t>
                                  </w:r>
                                </w:p>
                                <w:p>
                                  <w:pPr>
                                    <w:pStyle w:val="TableContents"/>
                                    <w:bidi w:val="0"/>
                                    <w:spacing w:lineRule="auto" w:line="240"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1.45pt;mso-wrap-distance-left:0pt;mso-wrap-distance-right:0pt;mso-wrap-distance-top:0pt;mso-wrap-distance-bottom:0pt;margin-top:0pt;mso-position-vertical:top;mso-position-vertical-relative:text;margin-left:0pt;mso-position-horizontal:left;mso-position-horizontal-relative:text">
                <v:textbox>
                  <w:txbxContent>
                    <w:tbl>
                      <w:tblPr>
                        <w:tblW w:w="8865" w:type="dxa"/>
                        <w:jc w:val="left"/>
                        <w:tblInd w:w="0" w:type="dxa"/>
                        <w:tblLayout w:type="fixed"/>
                        <w:tblCellMar>
                          <w:top w:w="28" w:type="dxa"/>
                          <w:left w:w="28" w:type="dxa"/>
                          <w:bottom w:w="28" w:type="dxa"/>
                          <w:right w:w="28" w:type="dxa"/>
                        </w:tblCellMar>
                      </w:tblPr>
                      <w:tblGrid>
                        <w:gridCol w:w="2839"/>
                        <w:gridCol w:w="2495"/>
                        <w:gridCol w:w="3531"/>
                      </w:tblGrid>
                      <w:tr>
                        <w:trPr/>
                        <w:tc>
                          <w:tcPr>
                            <w:tcW w:w="283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r>
                      <w:tr>
                        <w:trPr/>
                        <w:tc>
                          <w:tcPr>
                            <w:tcW w:w="88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Arial;sans-serif" w:hAnsi="Arial;sans-serif"/>
                                <w:b w:val="false"/>
                                <w:color w:val="000000"/>
                                <w:sz w:val="16"/>
                              </w:rPr>
                            </w:pPr>
                            <w:r>
                              <w:rPr>
                                <w:rFonts w:ascii="Arial;sans-serif" w:hAnsi="Arial;sans-serif"/>
                                <w:b w:val="false"/>
                                <w:color w:val="000000"/>
                                <w:sz w:val="16"/>
                              </w:rPr>
                              <w:t>BOSTON       LONDON       LOS ANGELES       NEW YORK       SAN DIEGO       SAN FRANCISCO      WASHINGTON</w:t>
                            </w:r>
                          </w:p>
                          <w:p>
                            <w:pPr>
                              <w:pStyle w:val="TableContents"/>
                              <w:bidi w:val="0"/>
                              <w:spacing w:lineRule="auto" w:line="240" w:before="120" w:after="283"/>
                              <w:jc w:val="center"/>
                              <w:rPr>
                                <w:rFonts w:ascii="Arial;sans-serif" w:hAnsi="Arial;sans-serif"/>
                                <w:b w:val="false"/>
                                <w:color w:val="000000"/>
                                <w:sz w:val="12"/>
                              </w:rPr>
                            </w:pPr>
                            <w:r>
                              <w:rPr>
                                <w:rFonts w:ascii="Arial;sans-serif" w:hAnsi="Arial;sans-serif"/>
                                <w:b w:val="false"/>
                                <w:color w:val="000000"/>
                                <w:sz w:val="12"/>
                              </w:rPr>
                              <w:t>MINTZ, LEVIN, COHN, FERRIS, GLOVSKY AND POPEO, P.C.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May 18, 2023</w:t>
      </w:r>
    </w:p>
    <w:p>
      <w:pPr>
        <w:pStyle w:val="TextBody"/>
        <w:bidi w:val="0"/>
        <w:spacing w:lineRule="auto" w:line="240" w:before="0" w:after="0"/>
        <w:jc w:val="left"/>
        <w:rPr/>
      </w:pPr>
      <w:r>
        <w:rPr>
          <w:rFonts w:ascii="Times New Roman;sans-serif" w:hAnsi="Times New Roman;sans-serif"/>
          <w:b w:val="false"/>
          <w:color w:val="000000"/>
          <w:sz w:val="22"/>
        </w:rPr>
        <w:t>Page 2</w:t>
      </w:r>
      <w:r>
        <w:rPr>
          <w:color w:val="000000"/>
        </w:rPr>
        <w:t>    </w:t>
      </w:r>
    </w:p>
    <w:p>
      <w:pPr>
        <w:pStyle w:val="TextBody"/>
        <w:bidi w:val="0"/>
        <w:spacing w:before="0" w:after="0"/>
        <w:jc w:val="right"/>
        <w:rPr/>
      </w:pPr>
      <w:r>
        <w:rPr/>
        <w:drawing>
          <wp:inline distT="0" distB="0" distL="0" distR="0">
            <wp:extent cx="409575" cy="5143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20"/>
                    <a:stretch>
                      <a:fillRect/>
                    </a:stretch>
                  </pic:blipFill>
                  <pic:spPr bwMode="auto">
                    <a:xfrm>
                      <a:off x="0" y="0"/>
                      <a:ext cx="409575" cy="514350"/>
                    </a:xfrm>
                    <a:prstGeom prst="rect">
                      <a:avLst/>
                    </a:prstGeom>
                  </pic:spPr>
                </pic:pic>
              </a:graphicData>
            </a:graphic>
          </wp:inline>
        </w:drawing>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tbl>
      <w:tblPr>
        <w:tblW w:w="63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37"/>
        <w:gridCol w:w="837"/>
        <w:gridCol w:w="837"/>
        <w:gridCol w:w="837"/>
        <w:gridCol w:w="837"/>
        <w:gridCol w:w="1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Mintz, Levin, Cohn, Ferris, Glovsky and Popeo, P.C.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Mintz, Levin, Cohn, Ferris, Glovsky and Popeo, P.C.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right"/>
        <w:rPr/>
      </w:pPr>
      <w:r>
        <w:rPr/>
      </w:r>
    </w:p>
    <w:p>
      <w:pPr>
        <w:pStyle w:val="TextBody"/>
        <w:bidi w:val="0"/>
        <w:spacing w:lineRule="auto" w:line="288" w:before="0" w:after="0"/>
        <w:jc w:val="center"/>
        <w:rPr>
          <w:rFonts w:ascii="Calibri;sans-serif" w:hAnsi="Calibri;sans-serif"/>
          <w:b/>
          <w:color w:val="000000"/>
          <w:sz w:val="22"/>
          <w:u w:val="single"/>
        </w:rPr>
      </w:pPr>
      <w:r>
        <w:rPr>
          <w:rFonts w:ascii="Calibri;sans-serif" w:hAnsi="Calibri;sans-serif"/>
          <w:b/>
          <w:color w:val="000000"/>
          <w:sz w:val="22"/>
          <w:u w:val="single"/>
        </w:rPr>
        <w:t>Consent of Independent Registered Public Accounting Firm</w:t>
      </w:r>
    </w:p>
    <w:p>
      <w:pPr>
        <w:pStyle w:val="TextBody"/>
        <w:bidi w:val="0"/>
        <w:spacing w:lineRule="auto" w:line="288" w:before="240" w:after="283"/>
        <w:jc w:val="both"/>
        <w:rPr>
          <w:rFonts w:ascii="Calibri;sans-serif" w:hAnsi="Calibri;sans-serif"/>
          <w:b w:val="false"/>
          <w:color w:val="000000"/>
          <w:sz w:val="22"/>
        </w:rPr>
      </w:pPr>
      <w:r>
        <w:rPr>
          <w:rFonts w:ascii="Calibri;sans-serif" w:hAnsi="Calibri;sans-serif"/>
          <w:b w:val="false"/>
          <w:color w:val="000000"/>
          <w:sz w:val="22"/>
        </w:rPr>
        <w:t>Exagen Inc.</w:t>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Vista, California</w:t>
      </w:r>
    </w:p>
    <w:p>
      <w:pPr>
        <w:pStyle w:val="TextBody"/>
        <w:bidi w:val="0"/>
        <w:spacing w:lineRule="auto" w:line="288" w:before="240" w:after="1"/>
        <w:jc w:val="both"/>
        <w:rPr>
          <w:rFonts w:ascii="Calibri;sans-serif" w:hAnsi="Calibri;sans-serif"/>
          <w:b w:val="false"/>
          <w:color w:val="000000"/>
          <w:sz w:val="22"/>
        </w:rPr>
      </w:pPr>
      <w:r>
        <w:rPr>
          <w:rFonts w:ascii="Calibri;sans-serif" w:hAnsi="Calibri;sans-serif"/>
          <w:b w:val="false"/>
          <w:color w:val="000000"/>
          <w:sz w:val="22"/>
        </w:rPr>
        <w:t xml:space="preserve">We hereby consent to the incorporation by reference in this Registration Statement of our report dated March 20, 2023, relating to the financial statements of Exagen Inc. (the “Company”), appearing in the Company’s Annual Report on Form 10-K for the year ended December 31, 2022. </w:t>
      </w:r>
    </w:p>
    <w:p>
      <w:pPr>
        <w:pStyle w:val="TextBody"/>
        <w:bidi w:val="0"/>
        <w:spacing w:lineRule="auto" w:line="288" w:before="240" w:after="283"/>
        <w:jc w:val="both"/>
        <w:rPr>
          <w:rFonts w:ascii="Calibri;sans-serif" w:hAnsi="Calibri;sans-serif"/>
          <w:b w:val="false"/>
          <w:color w:val="000000"/>
          <w:sz w:val="22"/>
        </w:rPr>
      </w:pPr>
      <w:r>
        <w:rPr>
          <w:rFonts w:ascii="Calibri;sans-serif" w:hAnsi="Calibri;sans-serif"/>
          <w:b w:val="false"/>
          <w:color w:val="000000"/>
          <w:sz w:val="22"/>
        </w:rPr>
        <w:t>/s/ BDO USA, LLP</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May 18, 2023</w:t>
      </w:r>
    </w:p>
    <w:p>
      <w:pPr>
        <w:pStyle w:val="TextBody"/>
        <w:bidi w:val="0"/>
        <w:spacing w:before="240" w:after="1"/>
        <w:ind w:left="0" w:right="0" w:hanging="4"/>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74737/000127473723000019/exdx-20221231.htm" TargetMode="External"/><Relationship Id="rId3" Type="http://schemas.openxmlformats.org/officeDocument/2006/relationships/hyperlink" Target="https://www.sec.gov/ix?doc=/Archives/edgar/data/0001274737/000127473723000049/exdx-20230331.htm" TargetMode="External"/><Relationship Id="rId4" Type="http://schemas.openxmlformats.org/officeDocument/2006/relationships/hyperlink" Target="https://www.sec.gov/ix?doc=/Archives/edgar/data/0001274737/000127473723000049/exdx-20230331.htm" TargetMode="External"/><Relationship Id="rId5" Type="http://schemas.openxmlformats.org/officeDocument/2006/relationships/hyperlink" Target="https://www.sec.gov/ix?doc=/Archives/edgar/data/0001274737/000127473723000049/exdx-20230331.htm" TargetMode="External"/><Relationship Id="rId6" Type="http://schemas.openxmlformats.org/officeDocument/2006/relationships/hyperlink" Target="https://www.sec.gov/ix?doc=/Archives/edgar/data/0001274737/000127473723000049/exdx-20230331.htm" TargetMode="External"/><Relationship Id="rId7" Type="http://schemas.openxmlformats.org/officeDocument/2006/relationships/hyperlink" Target="https://www.sec.gov/ix?doc=/Archives/edgar/data/0001274737/000127473723000002/exdx-20230109.htm" TargetMode="External"/><Relationship Id="rId8" Type="http://schemas.openxmlformats.org/officeDocument/2006/relationships/hyperlink" Target="https://www.sec.gov/ix?doc=/Archives/edgar/data/0001274737/000127473723000004/exdx-20230123.htm" TargetMode="External"/><Relationship Id="rId9" Type="http://schemas.openxmlformats.org/officeDocument/2006/relationships/hyperlink" Target="https://www.sec.gov/ix?doc=/Archives/edgar/data/0001274737/000127473723000024/exdx-20230320.htm" TargetMode="External"/><Relationship Id="rId10" Type="http://schemas.openxmlformats.org/officeDocument/2006/relationships/hyperlink" Target="https://www.sec.gov/ix?doc=/Archives/edgar/data/0001274737/000127473723000041/exdx-20230428.htm" TargetMode="External"/><Relationship Id="rId11" Type="http://schemas.openxmlformats.org/officeDocument/2006/relationships/hyperlink" Target="https://www.sec.gov/Archives/edgar/data/1274737/000119312519244881/d756255d8a12b.htm" TargetMode="External"/><Relationship Id="rId12" Type="http://schemas.openxmlformats.org/officeDocument/2006/relationships/hyperlink" Target="http://www.sec.gov/Archives/edgar/data/1274737/000119312519252366/d769261dex31.htm" TargetMode="External"/><Relationship Id="rId13" Type="http://schemas.openxmlformats.org/officeDocument/2006/relationships/hyperlink" Target="http://www.sec.gov/Archives/edgar/data/1274737/000127473721000017/ex31-amendedandrestatedbyl.htm" TargetMode="External"/><Relationship Id="rId14" Type="http://schemas.openxmlformats.org/officeDocument/2006/relationships/hyperlink" Target="http://www.sec.gov/Archives/edgar/data/1274737/000119312519240403/d692844dex41.htm" TargetMode="External"/><Relationship Id="rId15" Type="http://schemas.openxmlformats.org/officeDocument/2006/relationships/hyperlink" Target="http://www.sec.gov/Archives/edgar/data/1274737/000119312519240403/d692844dex103.htm" TargetMode="External"/><Relationship Id="rId16" Type="http://schemas.openxmlformats.org/officeDocument/2006/relationships/hyperlink" Target="http://www.sec.gov/Archives/edgar/data/1274737/000119312519240403/d692844dex104.htm" TargetMode="External"/><Relationship Id="rId17" Type="http://schemas.openxmlformats.org/officeDocument/2006/relationships/hyperlink" Target="http://www.sec.gov/Archives/edgar/data/1274737/000127473721000015/ex105-formofrsuagreement20.htm" TargetMode="External"/><Relationship Id="rId18" Type="http://schemas.openxmlformats.org/officeDocument/2006/relationships/hyperlink" Target="http://www.sec.gov/Archives/edgar/data/1274737/000119312519240403/d692844dex105.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2442</Words>
  <Characters>13144</Characters>
  <CharactersWithSpaces>15414</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