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8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-236855</wp:posOffset>
            </wp:positionV>
            <wp:extent cx="133350" cy="133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33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8"/>
        </w:trPr>
        <w:tc>
          <w:tcPr>
            <w:tcW w:w="6500" w:type="dxa"/>
            <w:vAlign w:val="bottom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5447030</wp:posOffset>
            </wp:positionH>
            <wp:positionV relativeFrom="paragraph">
              <wp:posOffset>-637540</wp:posOffset>
            </wp:positionV>
            <wp:extent cx="59055" cy="65087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0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4112260</wp:posOffset>
            </wp:positionH>
            <wp:positionV relativeFrom="paragraph">
              <wp:posOffset>-637540</wp:posOffset>
            </wp:positionV>
            <wp:extent cx="59055" cy="65087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0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-1736090</wp:posOffset>
            </wp:positionH>
            <wp:positionV relativeFrom="paragraph">
              <wp:posOffset>17780</wp:posOffset>
            </wp:positionV>
            <wp:extent cx="7324725" cy="44888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4488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420"/>
            <w:col w:w="8800"/>
          </w:cols>
          <w:pgMar w:left="240" w:top="223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Rocca Fortunato R.</w:t>
        </w:r>
      </w:hyperlink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EXAGEN INC.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1261 LIBERTY WAY, SUITE C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EXAGEN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XGN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09/18/2019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6" w:right="700" w:firstLine="6"/>
        <w:spacing w:after="0" w:line="243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14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9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and CEO</w:t>
      </w:r>
    </w:p>
    <w:p>
      <w:pPr>
        <w:spacing w:after="0" w:line="4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6" w:space="720"/>
            <w:col w:w="3474"/>
          </w:cols>
          <w:pgMar w:left="240" w:top="223" w:right="139" w:bottom="1440" w:gutter="0" w:footer="0" w:header="0"/>
          <w:type w:val="continuous"/>
        </w:sectPr>
      </w:pPr>
    </w:p>
    <w:p>
      <w:pPr>
        <w:spacing w:after="0" w:line="21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92081</w:t>
            </w:r>
          </w:p>
        </w:tc>
      </w:tr>
      <w:tr>
        <w:trPr>
          <w:trHeight w:val="15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5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3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6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138,659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8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Option(right</w:t>
            </w:r>
          </w:p>
        </w:tc>
        <w:tc>
          <w:tcPr>
            <w:tcW w:w="800" w:type="dxa"/>
            <w:vAlign w:val="bottom"/>
          </w:tcPr>
          <w:p>
            <w:pPr>
              <w:ind w:left="30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99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09/18/2019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138,659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09/17/2029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960" w:type="dxa"/>
            <w:vAlign w:val="bottom"/>
          </w:tcPr>
          <w:p>
            <w:pPr>
              <w:ind w:left="2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138,659</w:t>
            </w: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to 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40" w:right="600" w:firstLine="5"/>
        <w:spacing w:after="0" w:line="257" w:lineRule="auto"/>
        <w:tabs>
          <w:tab w:leader="none" w:pos="17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is exercisable as it vests. 25% of the shares subject to the option vest on September 18, 2020, and 1/48th of the total number of shares subject to the option vest monthly thereafter, subject to the Reporting Person's continued service to the Issuer through each such vesting date.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5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/s/ Kamal Adawi, as attorney-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09/20/2019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4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4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3900" w:firstLine="5"/>
        <w:spacing w:after="0" w:line="314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3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92734" TargetMode="External"/><Relationship Id="rId13" Type="http://schemas.openxmlformats.org/officeDocument/2006/relationships/hyperlink" Target="http://www.sec.gov/cgi-bin/browse-edgar?action=getcompany&amp;CIK=00012747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2019-12-23T16:08:55Z</dcterms:created>
  <dcterms:modified xsi:type="dcterms:W3CDTF">2019-12-23T16:08:55Z</dcterms:modified>
</cp:coreProperties>
</file>