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Johnson Wendy S.</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06/17/2021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EXAGEN INC.</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940" w:type="dxa"/>
            <w:vAlign w:val="bottom"/>
            <w:gridSpan w:val="2"/>
            <w:vMerge w:val="restart"/>
          </w:tcPr>
          <w:p>
            <w:pPr>
              <w:jc w:val="right"/>
              <w:ind w:right="76"/>
              <w:spacing w:after="0" w:line="142" w:lineRule="exact"/>
              <w:rPr>
                <w:sz w:val="20"/>
                <w:szCs w:val="20"/>
                <w:color w:val="auto"/>
              </w:rPr>
            </w:pPr>
            <w:r>
              <w:rPr>
                <w:rFonts w:ascii="Arial" w:cs="Arial" w:eastAsia="Arial" w:hAnsi="Arial"/>
                <w:sz w:val="13"/>
                <w:szCs w:val="13"/>
                <w:color w:val="0000FF"/>
              </w:rPr>
              <w:t>06/17/2021</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2822"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2021-06-21T07:39:49Z</dcterms:created>
  <dcterms:modified xsi:type="dcterms:W3CDTF">2021-06-21T07:39:49Z</dcterms:modified>
</cp:coreProperties>
</file>