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32"/>
        </w:rPr>
        <w:t>FORM 10-Q</w:t>
      </w:r>
    </w:p>
    <w:p>
      <w:pPr>
        <w:pStyle w:val="TextBody"/>
        <w:bidi w:val="0"/>
        <w:spacing w:before="0" w:after="0"/>
        <w:jc w:val="center"/>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For the quarterly period ended September 30,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color w:val="000000"/>
          <w:sz w:val="18"/>
        </w:rPr>
        <w:t xml:space="preserve">Commission File Number: </w:t>
      </w:r>
      <w:r>
        <w:rPr>
          <w:rFonts w:ascii="Arial;sans-serif" w:hAnsi="Arial;sans-serif"/>
          <w:b/>
          <w:color w:val="000000"/>
          <w:sz w:val="20"/>
        </w:rPr>
        <w:t>001-39049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EXAGEN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5494" w:type="dxa"/>
        <w:jc w:val="center"/>
        <w:tblInd w:w="0" w:type="dxa"/>
        <w:tblLayout w:type="fixed"/>
        <w:tblCellMar>
          <w:top w:w="28" w:type="dxa"/>
          <w:left w:w="28" w:type="dxa"/>
          <w:bottom w:w="28" w:type="dxa"/>
          <w:right w:w="28" w:type="dxa"/>
        </w:tblCellMar>
      </w:tblPr>
      <w:tblGrid>
        <w:gridCol w:w="306"/>
        <w:gridCol w:w="269"/>
        <w:gridCol w:w="269"/>
        <w:gridCol w:w="269"/>
        <w:gridCol w:w="269"/>
        <w:gridCol w:w="269"/>
        <w:gridCol w:w="269"/>
        <w:gridCol w:w="269"/>
        <w:gridCol w:w="269"/>
        <w:gridCol w:w="269"/>
        <w:gridCol w:w="269"/>
        <w:gridCol w:w="269"/>
        <w:gridCol w:w="109"/>
        <w:gridCol w:w="109"/>
        <w:gridCol w:w="109"/>
        <w:gridCol w:w="109"/>
        <w:gridCol w:w="109"/>
        <w:gridCol w:w="109"/>
        <w:gridCol w:w="244"/>
        <w:gridCol w:w="244"/>
        <w:gridCol w:w="244"/>
        <w:gridCol w:w="244"/>
        <w:gridCol w:w="244"/>
        <w:gridCol w:w="355"/>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20-0434866</w:t>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16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1261 Liberty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Vista,</w:t>
            </w:r>
          </w:p>
        </w:tc>
        <w:tc>
          <w:tcPr>
            <w:tcW w:w="16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92081</w:t>
            </w:r>
          </w:p>
        </w:tc>
      </w:tr>
      <w:tr>
        <w:trPr/>
        <w:tc>
          <w:tcPr>
            <w:tcW w:w="326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tbl>
      <w:tblPr>
        <w:tblW w:w="4512" w:type="dxa"/>
        <w:jc w:val="center"/>
        <w:tblInd w:w="0" w:type="dxa"/>
        <w:tblLayout w:type="fixed"/>
        <w:tblCellMar>
          <w:top w:w="28" w:type="dxa"/>
          <w:left w:w="28" w:type="dxa"/>
          <w:bottom w:w="28" w:type="dxa"/>
          <w:right w:w="28" w:type="dxa"/>
        </w:tblCellMar>
      </w:tblPr>
      <w:tblGrid>
        <w:gridCol w:w="615"/>
        <w:gridCol w:w="541"/>
        <w:gridCol w:w="548"/>
        <w:gridCol w:w="819"/>
        <w:gridCol w:w="819"/>
        <w:gridCol w:w="1170"/>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(760)</w:t>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560-1501</w:t>
            </w:r>
          </w:p>
        </w:tc>
      </w:tr>
      <w:tr>
        <w:trPr/>
        <w:tc>
          <w:tcPr>
            <w:tcW w:w="45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(Registrant's Telephone Number, Including Area Code)</w:t>
            </w:r>
          </w:p>
        </w:tc>
      </w:tr>
    </w:tbl>
    <w:p>
      <w:pPr>
        <w:pStyle w:val="TextBody"/>
        <w:bidi w:val="0"/>
        <w:spacing w:lineRule="auto" w:line="288" w:before="0" w:after="0"/>
        <w:jc w:val="left"/>
        <w:rPr/>
      </w:pPr>
      <w:r>
        <w:rPr>
          <w:color w:val="000000"/>
        </w:rPr>
        <w:t> </w:t>
      </w:r>
      <w:r>
        <w:rPr>
          <w:rFonts w:ascii="Arial;sans-serif" w:hAnsi="Arial;sans-serif"/>
          <w:b w:val="false"/>
          <w:color w:val="000000"/>
          <w:sz w:val="16"/>
        </w:rPr>
        <w:t>Securities registered pursuant to Section 12(b) of the Act:</w:t>
      </w:r>
    </w:p>
    <w:tbl>
      <w:tblPr>
        <w:tblW w:w="9367" w:type="dxa"/>
        <w:jc w:val="left"/>
        <w:tblInd w:w="0" w:type="dxa"/>
        <w:tblLayout w:type="fixed"/>
        <w:tblCellMar>
          <w:top w:w="28" w:type="dxa"/>
          <w:left w:w="28" w:type="dxa"/>
          <w:bottom w:w="28" w:type="dxa"/>
          <w:right w:w="28" w:type="dxa"/>
        </w:tblCellMar>
      </w:tblPr>
      <w:tblGrid>
        <w:gridCol w:w="1258"/>
        <w:gridCol w:w="1104"/>
        <w:gridCol w:w="1118"/>
        <w:gridCol w:w="109"/>
        <w:gridCol w:w="109"/>
        <w:gridCol w:w="109"/>
        <w:gridCol w:w="524"/>
        <w:gridCol w:w="524"/>
        <w:gridCol w:w="526"/>
        <w:gridCol w:w="109"/>
        <w:gridCol w:w="109"/>
        <w:gridCol w:w="109"/>
        <w:gridCol w:w="1071"/>
        <w:gridCol w:w="1071"/>
        <w:gridCol w:w="1517"/>
      </w:tblGrid>
      <w:tr>
        <w:trPr/>
        <w:tc>
          <w:tcPr>
            <w:tcW w:w="12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XGN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Global Market</w:t>
            </w:r>
          </w:p>
        </w:tc>
      </w:tr>
    </w:tbl>
    <w:p>
      <w:pPr>
        <w:pStyle w:val="TextBody"/>
        <w:bidi w:val="0"/>
        <w:spacing w:lineRule="auto" w:line="276" w:before="18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 No ☐ </w:t>
      </w:r>
    </w:p>
    <w:p>
      <w:pPr>
        <w:pStyle w:val="TextBody"/>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20" w:after="283"/>
        <w:jc w:val="left"/>
        <w:rPr/>
      </w:pPr>
      <w:r>
        <w:rPr/>
      </w:r>
    </w:p>
    <w:p>
      <w:pPr>
        <w:pStyle w:val="TextBody"/>
        <w:bidi w:val="0"/>
        <w:spacing w:lineRule="auto" w:line="288" w:before="60" w:after="283"/>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88" w:before="120" w:after="283"/>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No</w:t>
      </w:r>
      <w:r>
        <w:rPr>
          <w:color w:val="000000"/>
        </w:rPr>
        <w:t xml:space="preserve">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Total shares of common stock outstanding as of the close of business on November 8, 2024 was 17,637,278.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
        <w:gridCol w:w="248"/>
        <w:gridCol w:w="250"/>
        <w:gridCol w:w="2960"/>
        <w:gridCol w:w="2918"/>
        <w:gridCol w:w="2925"/>
        <w:gridCol w:w="180"/>
        <w:gridCol w:w="180"/>
        <w:gridCol w:w="260"/>
      </w:tblGrid>
      <w:tr>
        <w:trPr/>
        <w:tc>
          <w:tcPr>
            <w:tcW w:w="2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Information</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 </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13">
              <w:r>
                <w:rPr>
                  <w:rStyle w:val="InternetLink"/>
                  <w:rFonts w:ascii="Arial;sans-serif" w:hAnsi="Arial;sans-serif"/>
                  <w:b w:val="false"/>
                  <w:color w:val="0000FF"/>
                  <w:sz w:val="20"/>
                  <w:u w:val="single"/>
                </w:rPr>
                <w:t>Unaudited Condensed Financial Statements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13">
              <w:r>
                <w:rPr>
                  <w:rStyle w:val="InternetLink"/>
                  <w:rFonts w:ascii="Arial;sans-serif" w:hAnsi="Arial;sans-serif"/>
                  <w:b w:val="false"/>
                  <w:color w:val="0000FF"/>
                  <w:sz w:val="20"/>
                  <w:u w:val="single"/>
                </w:rPr>
                <w:t>1</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16">
              <w:r>
                <w:rPr>
                  <w:rStyle w:val="InternetLink"/>
                  <w:rFonts w:ascii="Arial;sans-serif" w:hAnsi="Arial;sans-serif"/>
                  <w:b w:val="false"/>
                  <w:color w:val="000080"/>
                  <w:sz w:val="20"/>
                  <w:u w:val="single"/>
                </w:rPr>
                <w:t xml:space="preserve">Unaudited Condensed Balance Sheets as of </w:t>
              </w:r>
            </w:hyperlink>
            <w:hyperlink w:anchor="i2c7228b66f244d639be8d3257f7ab579_16">
              <w:r>
                <w:rPr>
                  <w:rStyle w:val="InternetLink"/>
                  <w:rFonts w:ascii="Arial;sans-serif" w:hAnsi="Arial;sans-serif"/>
                  <w:b w:val="false"/>
                  <w:color w:val="000080"/>
                  <w:sz w:val="20"/>
                  <w:u w:val="single"/>
                </w:rPr>
                <w:t>September</w:t>
              </w:r>
            </w:hyperlink>
            <w:hyperlink w:anchor="i2c7228b66f244d639be8d3257f7ab579_16">
              <w:r>
                <w:rPr>
                  <w:rStyle w:val="InternetLink"/>
                  <w:rFonts w:ascii="Arial;sans-serif" w:hAnsi="Arial;sans-serif"/>
                  <w:b w:val="false"/>
                  <w:color w:val="000080"/>
                  <w:sz w:val="20"/>
                  <w:u w:val="single"/>
                </w:rPr>
                <w:t xml:space="preserve"> 30, 2024 and December 31, 2023</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16">
              <w:r>
                <w:rPr>
                  <w:rStyle w:val="InternetLink"/>
                  <w:rFonts w:ascii="Arial;sans-serif" w:hAnsi="Arial;sans-serif"/>
                  <w:b w:val="false"/>
                  <w:color w:val="0000FF"/>
                  <w:sz w:val="20"/>
                  <w:u w:val="single"/>
                </w:rPr>
                <w:t>1</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19">
              <w:r>
                <w:rPr>
                  <w:rStyle w:val="InternetLink"/>
                  <w:rFonts w:ascii="Arial;sans-serif" w:hAnsi="Arial;sans-serif"/>
                  <w:b w:val="false"/>
                  <w:color w:val="000080"/>
                  <w:sz w:val="20"/>
                  <w:u w:val="single"/>
                </w:rPr>
                <w:t xml:space="preserve">Unaudited Condensed Statements of Operations for the Three and </w:t>
              </w:r>
            </w:hyperlink>
            <w:hyperlink w:anchor="i2c7228b66f244d639be8d3257f7ab579_19">
              <w:r>
                <w:rPr>
                  <w:rStyle w:val="InternetLink"/>
                  <w:rFonts w:ascii="Arial;sans-serif" w:hAnsi="Arial;sans-serif"/>
                  <w:b w:val="false"/>
                  <w:color w:val="000080"/>
                  <w:sz w:val="20"/>
                  <w:u w:val="single"/>
                </w:rPr>
                <w:t>Nine</w:t>
              </w:r>
            </w:hyperlink>
            <w:hyperlink w:anchor="i2c7228b66f244d639be8d3257f7ab579_19">
              <w:r>
                <w:rPr>
                  <w:rStyle w:val="InternetLink"/>
                  <w:rFonts w:ascii="Arial;sans-serif" w:hAnsi="Arial;sans-serif"/>
                  <w:b w:val="false"/>
                  <w:color w:val="000080"/>
                  <w:sz w:val="20"/>
                  <w:u w:val="single"/>
                </w:rPr>
                <w:t xml:space="preserve"> Months ended </w:t>
              </w:r>
            </w:hyperlink>
            <w:hyperlink w:anchor="i2c7228b66f244d639be8d3257f7ab579_19">
              <w:r>
                <w:rPr>
                  <w:rStyle w:val="InternetLink"/>
                  <w:rFonts w:ascii="Arial;sans-serif" w:hAnsi="Arial;sans-serif"/>
                  <w:b w:val="false"/>
                  <w:color w:val="000080"/>
                  <w:sz w:val="20"/>
                  <w:u w:val="single"/>
                </w:rPr>
                <w:t>September</w:t>
              </w:r>
            </w:hyperlink>
            <w:hyperlink w:anchor="i2c7228b66f244d639be8d3257f7ab579_19">
              <w:r>
                <w:rPr>
                  <w:rStyle w:val="InternetLink"/>
                  <w:rFonts w:ascii="Arial;sans-serif" w:hAnsi="Arial;sans-serif"/>
                  <w:b w:val="false"/>
                  <w:color w:val="000080"/>
                  <w:sz w:val="20"/>
                  <w:u w:val="single"/>
                </w:rPr>
                <w:t xml:space="preserve"> 30,</w:t>
              </w:r>
            </w:hyperlink>
            <w:r>
              <w:rPr>
                <w:color w:val="000000"/>
              </w:rPr>
              <w:t xml:space="preserve"> </w:t>
            </w:r>
            <w:hyperlink w:anchor="i2c7228b66f244d639be8d3257f7ab579_16">
              <w:r>
                <w:rPr>
                  <w:rStyle w:val="InternetLink"/>
                  <w:rFonts w:ascii="Arial;sans-serif" w:hAnsi="Arial;sans-serif"/>
                  <w:b w:val="false"/>
                  <w:color w:val="000080"/>
                  <w:sz w:val="20"/>
                  <w:u w:val="single"/>
                </w:rPr>
                <w:t>2024</w:t>
              </w:r>
            </w:hyperlink>
            <w:hyperlink w:anchor="i2c7228b66f244d639be8d3257f7ab579_19">
              <w:r>
                <w:rPr>
                  <w:rStyle w:val="InternetLink"/>
                  <w:rFonts w:ascii="Arial;sans-serif" w:hAnsi="Arial;sans-serif"/>
                  <w:b w:val="false"/>
                  <w:color w:val="000080"/>
                  <w:sz w:val="20"/>
                  <w:u w:val="single"/>
                </w:rPr>
                <w:t xml:space="preserve"> and 2023</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19">
              <w:r>
                <w:rPr>
                  <w:rStyle w:val="InternetLink"/>
                  <w:rFonts w:ascii="Arial;sans-serif" w:hAnsi="Arial;sans-serif"/>
                  <w:b w:val="false"/>
                  <w:color w:val="0000FF"/>
                  <w:sz w:val="20"/>
                  <w:u w:val="single"/>
                </w:rPr>
                <w:t>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22">
              <w:r>
                <w:rPr>
                  <w:rStyle w:val="InternetLink"/>
                  <w:rFonts w:ascii="Arial;sans-serif" w:hAnsi="Arial;sans-serif"/>
                  <w:b w:val="false"/>
                  <w:color w:val="000080"/>
                  <w:sz w:val="20"/>
                  <w:u w:val="single"/>
                </w:rPr>
                <w:t xml:space="preserve">Unaudited Condensed Statements of Stockholders' Equity for the Three and </w:t>
              </w:r>
            </w:hyperlink>
            <w:hyperlink w:anchor="i2c7228b66f244d639be8d3257f7ab579_22">
              <w:r>
                <w:rPr>
                  <w:rStyle w:val="InternetLink"/>
                  <w:rFonts w:ascii="Arial;sans-serif" w:hAnsi="Arial;sans-serif"/>
                  <w:b w:val="false"/>
                  <w:color w:val="000080"/>
                  <w:sz w:val="20"/>
                  <w:u w:val="single"/>
                </w:rPr>
                <w:t>Nine</w:t>
              </w:r>
            </w:hyperlink>
            <w:hyperlink w:anchor="i2c7228b66f244d639be8d3257f7ab579_22">
              <w:r>
                <w:rPr>
                  <w:rStyle w:val="InternetLink"/>
                  <w:rFonts w:ascii="Arial;sans-serif" w:hAnsi="Arial;sans-serif"/>
                  <w:b w:val="false"/>
                  <w:color w:val="000080"/>
                  <w:sz w:val="20"/>
                  <w:u w:val="single"/>
                </w:rPr>
                <w:t xml:space="preserve"> Months ended </w:t>
              </w:r>
            </w:hyperlink>
            <w:hyperlink w:anchor="i2c7228b66f244d639be8d3257f7ab579_22">
              <w:r>
                <w:rPr>
                  <w:rStyle w:val="InternetLink"/>
                  <w:rFonts w:ascii="Arial;sans-serif" w:hAnsi="Arial;sans-serif"/>
                  <w:b w:val="false"/>
                  <w:color w:val="000080"/>
                  <w:sz w:val="20"/>
                  <w:u w:val="single"/>
                </w:rPr>
                <w:t>September</w:t>
              </w:r>
            </w:hyperlink>
            <w:hyperlink w:anchor="i2c7228b66f244d639be8d3257f7ab579_22">
              <w:r>
                <w:rPr>
                  <w:rStyle w:val="InternetLink"/>
                  <w:rFonts w:ascii="Arial;sans-serif" w:hAnsi="Arial;sans-serif"/>
                  <w:b w:val="false"/>
                  <w:color w:val="000080"/>
                  <w:sz w:val="20"/>
                  <w:u w:val="single"/>
                </w:rPr>
                <w:t xml:space="preserve"> 30</w:t>
              </w:r>
            </w:hyperlink>
            <w:hyperlink w:anchor="i2c7228b66f244d639be8d3257f7ab579_16">
              <w:r>
                <w:rPr>
                  <w:rStyle w:val="InternetLink"/>
                  <w:rFonts w:ascii="Arial;sans-serif" w:hAnsi="Arial;sans-serif"/>
                  <w:b w:val="false"/>
                  <w:color w:val="000080"/>
                  <w:sz w:val="20"/>
                  <w:u w:val="single"/>
                </w:rPr>
                <w:t>, 2024</w:t>
              </w:r>
            </w:hyperlink>
            <w:hyperlink w:anchor="i2c7228b66f244d639be8d3257f7ab579_22">
              <w:r>
                <w:rPr>
                  <w:rStyle w:val="InternetLink"/>
                  <w:rFonts w:ascii="Arial;sans-serif" w:hAnsi="Arial;sans-serif"/>
                  <w:b w:val="false"/>
                  <w:color w:val="000080"/>
                  <w:sz w:val="20"/>
                  <w:u w:val="single"/>
                </w:rPr>
                <w:t xml:space="preserve"> and 2023</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22">
              <w:r>
                <w:rPr>
                  <w:rStyle w:val="InternetLink"/>
                  <w:rFonts w:ascii="Arial;sans-serif" w:hAnsi="Arial;sans-serif"/>
                  <w:b w:val="false"/>
                  <w:color w:val="0000FF"/>
                  <w:sz w:val="20"/>
                  <w:u w:val="single"/>
                </w:rPr>
                <w:t>3</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25">
              <w:r>
                <w:rPr>
                  <w:rStyle w:val="InternetLink"/>
                  <w:rFonts w:ascii="Arial;sans-serif" w:hAnsi="Arial;sans-serif"/>
                  <w:b w:val="false"/>
                  <w:color w:val="000080"/>
                  <w:sz w:val="20"/>
                  <w:u w:val="single"/>
                </w:rPr>
                <w:t xml:space="preserve">Unaudited Condensed Statements of Cash Flows for the </w:t>
              </w:r>
            </w:hyperlink>
            <w:hyperlink w:anchor="i2c7228b66f244d639be8d3257f7ab579_25">
              <w:r>
                <w:rPr>
                  <w:rStyle w:val="InternetLink"/>
                  <w:rFonts w:ascii="Arial;sans-serif" w:hAnsi="Arial;sans-serif"/>
                  <w:b w:val="false"/>
                  <w:color w:val="000080"/>
                  <w:sz w:val="20"/>
                  <w:u w:val="single"/>
                </w:rPr>
                <w:t>Nine</w:t>
              </w:r>
            </w:hyperlink>
            <w:hyperlink w:anchor="i2c7228b66f244d639be8d3257f7ab579_25">
              <w:r>
                <w:rPr>
                  <w:rStyle w:val="InternetLink"/>
                  <w:rFonts w:ascii="Arial;sans-serif" w:hAnsi="Arial;sans-serif"/>
                  <w:b w:val="false"/>
                  <w:color w:val="000080"/>
                  <w:sz w:val="20"/>
                  <w:u w:val="single"/>
                </w:rPr>
                <w:t xml:space="preserve"> Months ended </w:t>
              </w:r>
            </w:hyperlink>
            <w:hyperlink w:anchor="i2c7228b66f244d639be8d3257f7ab579_25">
              <w:r>
                <w:rPr>
                  <w:rStyle w:val="InternetLink"/>
                  <w:rFonts w:ascii="Arial;sans-serif" w:hAnsi="Arial;sans-serif"/>
                  <w:b w:val="false"/>
                  <w:color w:val="000080"/>
                  <w:sz w:val="20"/>
                  <w:u w:val="single"/>
                </w:rPr>
                <w:t>Septem</w:t>
              </w:r>
            </w:hyperlink>
            <w:hyperlink w:anchor="i2c7228b66f244d639be8d3257f7ab579_25">
              <w:r>
                <w:rPr>
                  <w:rStyle w:val="InternetLink"/>
                  <w:rFonts w:ascii="Arial;sans-serif" w:hAnsi="Arial;sans-serif"/>
                  <w:b w:val="false"/>
                  <w:color w:val="000080"/>
                  <w:sz w:val="20"/>
                  <w:u w:val="single"/>
                </w:rPr>
                <w:t>ber</w:t>
              </w:r>
            </w:hyperlink>
            <w:hyperlink w:anchor="i2c7228b66f244d639be8d3257f7ab579_25">
              <w:r>
                <w:rPr>
                  <w:rStyle w:val="InternetLink"/>
                  <w:rFonts w:ascii="Arial;sans-serif" w:hAnsi="Arial;sans-serif"/>
                  <w:b w:val="false"/>
                  <w:color w:val="000080"/>
                  <w:sz w:val="20"/>
                  <w:u w:val="single"/>
                </w:rPr>
                <w:t xml:space="preserve"> 30</w:t>
              </w:r>
            </w:hyperlink>
            <w:hyperlink w:anchor="i2c7228b66f244d639be8d3257f7ab579_16">
              <w:r>
                <w:rPr>
                  <w:rStyle w:val="InternetLink"/>
                  <w:rFonts w:ascii="Arial;sans-serif" w:hAnsi="Arial;sans-serif"/>
                  <w:b w:val="false"/>
                  <w:color w:val="000080"/>
                  <w:sz w:val="20"/>
                  <w:u w:val="single"/>
                </w:rPr>
                <w:t>, 2024</w:t>
              </w:r>
            </w:hyperlink>
            <w:hyperlink w:anchor="i2c7228b66f244d639be8d3257f7ab579_25">
              <w:r>
                <w:rPr>
                  <w:rStyle w:val="InternetLink"/>
                  <w:rFonts w:ascii="Arial;sans-serif" w:hAnsi="Arial;sans-serif"/>
                  <w:b w:val="false"/>
                  <w:color w:val="000080"/>
                  <w:sz w:val="20"/>
                  <w:u w:val="single"/>
                </w:rPr>
                <w:t xml:space="preserve"> and 2023</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25">
              <w:r>
                <w:rPr>
                  <w:rStyle w:val="InternetLink"/>
                  <w:rFonts w:ascii="Arial;sans-serif" w:hAnsi="Arial;sans-serif"/>
                  <w:b w:val="false"/>
                  <w:color w:val="0000FF"/>
                  <w:sz w:val="20"/>
                  <w:u w:val="single"/>
                </w:rPr>
                <w:t>5</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28">
              <w:r>
                <w:rPr>
                  <w:rStyle w:val="InternetLink"/>
                  <w:rFonts w:ascii="Arial;sans-serif" w:hAnsi="Arial;sans-serif"/>
                  <w:b w:val="false"/>
                  <w:color w:val="0000FF"/>
                  <w:sz w:val="20"/>
                  <w:u w:val="single"/>
                </w:rPr>
                <w:t>Notes to Unaudited Condensed Financial Statements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28">
              <w:r>
                <w:rPr>
                  <w:rStyle w:val="InternetLink"/>
                  <w:rFonts w:ascii="Arial;sans-serif" w:hAnsi="Arial;sans-serif"/>
                  <w:b w:val="false"/>
                  <w:color w:val="0000FF"/>
                  <w:sz w:val="20"/>
                  <w:u w:val="single"/>
                </w:rPr>
                <w:t>6</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55">
              <w:r>
                <w:rPr>
                  <w:rStyle w:val="InternetLink"/>
                  <w:rFonts w:ascii="Arial;sans-serif" w:hAnsi="Arial;sans-serif"/>
                  <w:b w:val="false"/>
                  <w:color w:val="0000FF"/>
                  <w:sz w:val="20"/>
                  <w:u w:val="single"/>
                </w:rPr>
                <w:t>Management's Discussion and Analysis of Financial Condition and Results of Operations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55">
              <w:r>
                <w:rPr>
                  <w:rStyle w:val="InternetLink"/>
                  <w:rFonts w:ascii="Arial;sans-serif" w:hAnsi="Arial;sans-serif"/>
                  <w:b w:val="false"/>
                  <w:color w:val="0000FF"/>
                  <w:sz w:val="20"/>
                  <w:u w:val="single"/>
                </w:rPr>
                <w:t>19</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70">
              <w:r>
                <w:rPr>
                  <w:rStyle w:val="InternetLink"/>
                  <w:rFonts w:ascii="Arial;sans-serif" w:hAnsi="Arial;sans-serif"/>
                  <w:b w:val="false"/>
                  <w:color w:val="0000FF"/>
                  <w:sz w:val="20"/>
                  <w:u w:val="single"/>
                </w:rPr>
                <w:t>Quantitative and Qualitative Disclosures About Market Risk</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70">
              <w:r>
                <w:rPr>
                  <w:rStyle w:val="InternetLink"/>
                  <w:rFonts w:ascii="Arial;sans-serif" w:hAnsi="Arial;sans-serif"/>
                  <w:b w:val="false"/>
                  <w:color w:val="0000FF"/>
                  <w:sz w:val="20"/>
                  <w:u w:val="single"/>
                </w:rPr>
                <w:t>29</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73">
              <w:r>
                <w:rPr>
                  <w:rStyle w:val="InternetLink"/>
                  <w:rFonts w:ascii="Arial;sans-serif" w:hAnsi="Arial;sans-serif"/>
                  <w:b w:val="false"/>
                  <w:color w:val="0000FF"/>
                  <w:sz w:val="20"/>
                  <w:u w:val="single"/>
                </w:rPr>
                <w:t>Controls and Procedures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73">
              <w:r>
                <w:rPr>
                  <w:rStyle w:val="InternetLink"/>
                  <w:rFonts w:ascii="Arial;sans-serif" w:hAnsi="Arial;sans-serif"/>
                  <w:b w:val="false"/>
                  <w:color w:val="0000FF"/>
                  <w:sz w:val="20"/>
                  <w:u w:val="single"/>
                </w:rPr>
                <w:t>30</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79">
              <w:r>
                <w:rPr>
                  <w:rStyle w:val="InternetLink"/>
                  <w:rFonts w:ascii="Arial;sans-serif" w:hAnsi="Arial;sans-serif"/>
                  <w:b w:val="false"/>
                  <w:color w:val="0000FF"/>
                  <w:sz w:val="20"/>
                  <w:u w:val="single"/>
                </w:rPr>
                <w:t>Legal Proceedings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79">
              <w:r>
                <w:rPr>
                  <w:rStyle w:val="InternetLink"/>
                  <w:rFonts w:ascii="Arial;sans-serif" w:hAnsi="Arial;sans-serif"/>
                  <w:b w:val="false"/>
                  <w:color w:val="0000FF"/>
                  <w:sz w:val="20"/>
                  <w:u w:val="single"/>
                </w:rPr>
                <w:t>31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82">
              <w:r>
                <w:rPr>
                  <w:rStyle w:val="InternetLink"/>
                  <w:rFonts w:ascii="Arial;sans-serif" w:hAnsi="Arial;sans-serif"/>
                  <w:b w:val="false"/>
                  <w:color w:val="0000FF"/>
                  <w:sz w:val="20"/>
                  <w:u w:val="single"/>
                </w:rPr>
                <w:t>Risk Factors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82">
              <w:r>
                <w:rPr>
                  <w:rStyle w:val="InternetLink"/>
                  <w:rFonts w:ascii="Arial;sans-serif" w:hAnsi="Arial;sans-serif"/>
                  <w:b w:val="false"/>
                  <w:color w:val="0000FF"/>
                  <w:sz w:val="20"/>
                  <w:u w:val="single"/>
                </w:rPr>
                <w:t>31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88">
              <w:r>
                <w:rPr>
                  <w:rStyle w:val="InternetLink"/>
                  <w:rFonts w:ascii="Arial;sans-serif" w:hAnsi="Arial;sans-serif"/>
                  <w:b w:val="false"/>
                  <w:color w:val="0000FF"/>
                  <w:sz w:val="20"/>
                  <w:u w:val="single"/>
                </w:rPr>
                <w:t>Other Information</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88">
              <w:r>
                <w:rPr>
                  <w:rStyle w:val="InternetLink"/>
                  <w:rFonts w:ascii="Arial;sans-serif" w:hAnsi="Arial;sans-serif"/>
                  <w:b w:val="false"/>
                  <w:color w:val="0000FF"/>
                  <w:sz w:val="20"/>
                  <w:u w:val="single"/>
                </w:rPr>
                <w:t>31</w:t>
              </w:r>
            </w:hyperlink>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91">
              <w:r>
                <w:rPr>
                  <w:rStyle w:val="InternetLink"/>
                  <w:rFonts w:ascii="Arial;sans-serif" w:hAnsi="Arial;sans-serif"/>
                  <w:b w:val="false"/>
                  <w:color w:val="0000FF"/>
                  <w:sz w:val="20"/>
                  <w:u w:val="single"/>
                </w:rPr>
                <w:t>Exhibits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91">
              <w:r>
                <w:rPr>
                  <w:rStyle w:val="InternetLink"/>
                  <w:rFonts w:ascii="Arial;sans-serif" w:hAnsi="Arial;sans-serif"/>
                  <w:b w:val="false"/>
                  <w:color w:val="0000FF"/>
                  <w:sz w:val="20"/>
                  <w:u w:val="single"/>
                </w:rPr>
                <w:t>32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94">
              <w:r>
                <w:rPr>
                  <w:rStyle w:val="InternetLink"/>
                  <w:rFonts w:ascii="Arial;sans-serif" w:hAnsi="Arial;sans-serif"/>
                  <w:b w:val="false"/>
                  <w:color w:val="0000FF"/>
                  <w:sz w:val="20"/>
                  <w:u w:val="single"/>
                </w:rPr>
                <w:t>Signatures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7228b66f244d639be8d3257f7ab579_94">
              <w:r>
                <w:rPr>
                  <w:rStyle w:val="InternetLink"/>
                  <w:rFonts w:ascii="Arial;sans-serif" w:hAnsi="Arial;sans-serif"/>
                  <w:b w:val="false"/>
                  <w:color w:val="0000FF"/>
                  <w:sz w:val="20"/>
                  <w:u w:val="single"/>
                </w:rPr>
                <w:t>33</w:t>
              </w:r>
            </w:hyperlink>
          </w:p>
        </w:tc>
      </w:tr>
    </w:tbl>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40"/>
        <w:gridCol w:w="2184"/>
        <w:gridCol w:w="2052"/>
        <w:gridCol w:w="109"/>
        <w:gridCol w:w="109"/>
        <w:gridCol w:w="109"/>
        <w:gridCol w:w="242"/>
        <w:gridCol w:w="798"/>
        <w:gridCol w:w="135"/>
        <w:gridCol w:w="109"/>
        <w:gridCol w:w="109"/>
        <w:gridCol w:w="109"/>
        <w:gridCol w:w="235"/>
        <w:gridCol w:w="776"/>
        <w:gridCol w:w="189"/>
      </w:tblGrid>
      <w:tr>
        <w:trPr/>
        <w:tc>
          <w:tcPr>
            <w:tcW w:w="294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35,557 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47,841 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56,944 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Borrowings-non-current portion,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$0.001 par value per share; 10,000,000 shares authorized, no shares issued or outstanding as of September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$0.001 par value per share; 200,000,000 shares authorized as of September 30, 2024 and December 31, 2023; 17,520,335 and 17,045,954 shares issued and outstanding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303,420 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301,893 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56,944 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91"/>
        <w:gridCol w:w="1223"/>
        <w:gridCol w:w="1236"/>
        <w:gridCol w:w="109"/>
        <w:gridCol w:w="109"/>
        <w:gridCol w:w="109"/>
        <w:gridCol w:w="257"/>
        <w:gridCol w:w="777"/>
        <w:gridCol w:w="126"/>
        <w:gridCol w:w="126"/>
        <w:gridCol w:w="126"/>
        <w:gridCol w:w="126"/>
        <w:gridCol w:w="257"/>
        <w:gridCol w:w="777"/>
        <w:gridCol w:w="126"/>
        <w:gridCol w:w="109"/>
        <w:gridCol w:w="109"/>
        <w:gridCol w:w="109"/>
        <w:gridCol w:w="232"/>
        <w:gridCol w:w="794"/>
        <w:gridCol w:w="119"/>
        <w:gridCol w:w="119"/>
        <w:gridCol w:w="119"/>
        <w:gridCol w:w="119"/>
        <w:gridCol w:w="232"/>
        <w:gridCol w:w="794"/>
        <w:gridCol w:w="175"/>
      </w:tblGrid>
      <w:tr>
        <w:trPr/>
        <w:tc>
          <w:tcPr>
            <w:tcW w:w="16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(18,116)</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(0.31)</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to compute 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18,254,937 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17,692,603 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18,127,549 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17,626,686 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29"/>
        <w:gridCol w:w="977"/>
        <w:gridCol w:w="983"/>
        <w:gridCol w:w="109"/>
        <w:gridCol w:w="109"/>
        <w:gridCol w:w="109"/>
        <w:gridCol w:w="480"/>
        <w:gridCol w:w="481"/>
        <w:gridCol w:w="216"/>
        <w:gridCol w:w="112"/>
        <w:gridCol w:w="112"/>
        <w:gridCol w:w="112"/>
        <w:gridCol w:w="228"/>
        <w:gridCol w:w="386"/>
        <w:gridCol w:w="137"/>
        <w:gridCol w:w="109"/>
        <w:gridCol w:w="109"/>
        <w:gridCol w:w="109"/>
        <w:gridCol w:w="196"/>
        <w:gridCol w:w="736"/>
        <w:gridCol w:w="109"/>
        <w:gridCol w:w="109"/>
        <w:gridCol w:w="109"/>
        <w:gridCol w:w="109"/>
        <w:gridCol w:w="214"/>
        <w:gridCol w:w="822"/>
        <w:gridCol w:w="120"/>
        <w:gridCol w:w="109"/>
        <w:gridCol w:w="109"/>
        <w:gridCol w:w="109"/>
        <w:gridCol w:w="245"/>
        <w:gridCol w:w="808"/>
        <w:gridCol w:w="194"/>
      </w:tblGrid>
      <w:tr>
        <w:trPr/>
        <w:tc>
          <w:tcPr>
            <w:tcW w:w="122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17,045,954 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(279,216)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17,317,941 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(282,576)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Balances 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17,381,575 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(285,542)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84,162 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17,520,335 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(290,570)</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04"/>
        <w:gridCol w:w="989"/>
        <w:gridCol w:w="996"/>
        <w:gridCol w:w="109"/>
        <w:gridCol w:w="109"/>
        <w:gridCol w:w="109"/>
        <w:gridCol w:w="480"/>
        <w:gridCol w:w="481"/>
        <w:gridCol w:w="216"/>
        <w:gridCol w:w="112"/>
        <w:gridCol w:w="112"/>
        <w:gridCol w:w="112"/>
        <w:gridCol w:w="228"/>
        <w:gridCol w:w="386"/>
        <w:gridCol w:w="137"/>
        <w:gridCol w:w="109"/>
        <w:gridCol w:w="109"/>
        <w:gridCol w:w="109"/>
        <w:gridCol w:w="196"/>
        <w:gridCol w:w="736"/>
        <w:gridCol w:w="109"/>
        <w:gridCol w:w="109"/>
        <w:gridCol w:w="109"/>
        <w:gridCol w:w="109"/>
        <w:gridCol w:w="214"/>
        <w:gridCol w:w="822"/>
        <w:gridCol w:w="120"/>
        <w:gridCol w:w="109"/>
        <w:gridCol w:w="109"/>
        <w:gridCol w:w="109"/>
        <w:gridCol w:w="245"/>
        <w:gridCol w:w="808"/>
        <w:gridCol w:w="194"/>
      </w:tblGrid>
      <w:tr>
        <w:trPr/>
        <w:tc>
          <w:tcPr>
            <w:tcW w:w="120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16,549,984 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(255,527)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16,827,014 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16,858,194 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(268,228)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31,902 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59,276 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16,931,894 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(273,643)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27,504 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color w:val="000000"/>
        </w:rPr>
      </w:pPr>
      <w:r>
        <w:rPr>
          <w:color w:val="000000"/>
        </w:rPr>
        <w:t> </w:t>
      </w:r>
    </w:p>
    <w:tbl>
      <w:tblPr>
        <w:tblW w:w="8856" w:type="dxa"/>
        <w:jc w:val="center"/>
        <w:tblInd w:w="0" w:type="dxa"/>
        <w:tblLayout w:type="fixed"/>
        <w:tblCellMar>
          <w:top w:w="28" w:type="dxa"/>
          <w:left w:w="28" w:type="dxa"/>
          <w:bottom w:w="28" w:type="dxa"/>
          <w:right w:w="28" w:type="dxa"/>
        </w:tblCellMar>
      </w:tblPr>
      <w:tblGrid>
        <w:gridCol w:w="2049"/>
        <w:gridCol w:w="1800"/>
        <w:gridCol w:w="1805"/>
        <w:gridCol w:w="109"/>
        <w:gridCol w:w="109"/>
        <w:gridCol w:w="109"/>
        <w:gridCol w:w="232"/>
        <w:gridCol w:w="856"/>
        <w:gridCol w:w="129"/>
        <w:gridCol w:w="129"/>
        <w:gridCol w:w="129"/>
        <w:gridCol w:w="129"/>
        <w:gridCol w:w="232"/>
        <w:gridCol w:w="856"/>
        <w:gridCol w:w="183"/>
      </w:tblGrid>
      <w:tr>
        <w:trPr/>
        <w:tc>
          <w:tcPr>
            <w:tcW w:w="204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common stock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 on note payable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28,648 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Equipment purchased under notes payable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incurred, but not paid, in connection with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Unaudited Interim Condensed Financial Statements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 Organization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Description of Business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Exagen Inc. (the Company) is a commercial-stage diagnostics company which exists to provide clarity in autoimmune disease decision making with the goal of improving patients' clinical outcomes.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incurred recurring losses and negative cash flows from operating activities since inception. The Company anticipates that it will continue to incur net losses. As of September 30, 2024, the Company had cash and cash equivalents of $22.0 million and had an accumulated deficit of $290.6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which could have a material adverse effect on the Company's business, operating results and financial condition and the Company's ability to achieve its intended business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 and Use of Estimates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accompanying interim condensed balance sheet as of September 30, 2024, condensed statements of operations and stockholders' equity for the three and nine months ended September 30, 2024 and 2023, cash flows for the nine months ended September 30, 2024 and 2023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2023, included in its Annual Report on Form 10-K filed with the SEC on March 18, 2024. In management's opinion, the unaudited interim condensed financial statements have been prepared on the same basis as the audited financial statements and include all normal adjustments necessary for the fair presentation of the Company's financial position as of September 30, 2024 and its results of operations for the periods presented. The results for the three and nine months ended September 30, 2024 are not necessarily indicative of the results expected for the full fiscal year or any other interim period. The year-end condensed balance sheet data was derived from audited financial statements, but does not include all disclosures required by GAAP.</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Significant estimates and assumptions made in the accompanying condensed financial statements include, but are not limited to revenue recognition,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Concentration of Credit Risk and Other Risk and Uncertainties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pStyle w:val="TextBody"/>
        <w:bidi w:val="0"/>
        <w:spacing w:lineRule="auto" w:line="288" w:before="0" w:after="0"/>
        <w:jc w:val="left"/>
        <w:rPr>
          <w:color w:val="000000"/>
        </w:rPr>
      </w:pPr>
      <w:r>
        <w:rPr>
          <w:color w:val="000000"/>
        </w:rPr>
        <w:t> </w:t>
      </w:r>
    </w:p>
    <w:tbl>
      <w:tblPr>
        <w:tblW w:w="5896" w:type="dxa"/>
        <w:jc w:val="left"/>
        <w:tblInd w:w="0" w:type="dxa"/>
        <w:tblLayout w:type="fixed"/>
        <w:tblCellMar>
          <w:top w:w="28" w:type="dxa"/>
          <w:left w:w="28" w:type="dxa"/>
          <w:bottom w:w="28" w:type="dxa"/>
          <w:right w:w="28" w:type="dxa"/>
        </w:tblCellMar>
      </w:tblPr>
      <w:tblGrid>
        <w:gridCol w:w="586"/>
        <w:gridCol w:w="516"/>
        <w:gridCol w:w="518"/>
        <w:gridCol w:w="109"/>
        <w:gridCol w:w="109"/>
        <w:gridCol w:w="109"/>
        <w:gridCol w:w="165"/>
        <w:gridCol w:w="166"/>
        <w:gridCol w:w="352"/>
        <w:gridCol w:w="150"/>
        <w:gridCol w:w="150"/>
        <w:gridCol w:w="150"/>
        <w:gridCol w:w="165"/>
        <w:gridCol w:w="166"/>
        <w:gridCol w:w="352"/>
        <w:gridCol w:w="109"/>
        <w:gridCol w:w="109"/>
        <w:gridCol w:w="109"/>
        <w:gridCol w:w="165"/>
        <w:gridCol w:w="166"/>
        <w:gridCol w:w="331"/>
        <w:gridCol w:w="141"/>
        <w:gridCol w:w="141"/>
        <w:gridCol w:w="141"/>
        <w:gridCol w:w="165"/>
        <w:gridCol w:w="166"/>
        <w:gridCol w:w="390"/>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Advantage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tbl>
      <w:tblPr>
        <w:tblW w:w="19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7"/>
        <w:gridCol w:w="377"/>
        <w:gridCol w:w="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10%.</w:t>
            </w:r>
          </w:p>
        </w:tc>
      </w:tr>
    </w:tbl>
    <w:p>
      <w:pPr>
        <w:pStyle w:val="TextBody"/>
        <w:bidi w:val="0"/>
        <w:spacing w:before="60" w:after="283"/>
        <w:jc w:val="left"/>
        <w:rPr/>
      </w:pPr>
      <w:r>
        <w:rPr/>
      </w:r>
    </w:p>
    <w:tbl>
      <w:tblPr>
        <w:tblW w:w="5737" w:type="dxa"/>
        <w:jc w:val="left"/>
        <w:tblInd w:w="0" w:type="dxa"/>
        <w:tblLayout w:type="fixed"/>
        <w:tblCellMar>
          <w:top w:w="28" w:type="dxa"/>
          <w:left w:w="28" w:type="dxa"/>
          <w:bottom w:w="28" w:type="dxa"/>
          <w:right w:w="28" w:type="dxa"/>
        </w:tblCellMar>
      </w:tblPr>
      <w:tblGrid>
        <w:gridCol w:w="584"/>
        <w:gridCol w:w="514"/>
        <w:gridCol w:w="521"/>
        <w:gridCol w:w="109"/>
        <w:gridCol w:w="109"/>
        <w:gridCol w:w="109"/>
        <w:gridCol w:w="374"/>
        <w:gridCol w:w="374"/>
        <w:gridCol w:w="886"/>
        <w:gridCol w:w="179"/>
        <w:gridCol w:w="179"/>
        <w:gridCol w:w="179"/>
        <w:gridCol w:w="339"/>
        <w:gridCol w:w="339"/>
        <w:gridCol w:w="942"/>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Net</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Advantage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9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7"/>
        <w:gridCol w:w="377"/>
        <w:gridCol w:w="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10%.</w:t>
            </w:r>
          </w:p>
        </w:tc>
      </w:tr>
    </w:tbl>
    <w:p>
      <w:pPr>
        <w:pStyle w:val="TextBody"/>
        <w:bidi w:val="0"/>
        <w:spacing w:lineRule="auto" w:line="288" w:before="240" w:after="283"/>
        <w:jc w:val="left"/>
        <w:rPr/>
      </w:pPr>
      <w:r>
        <w:rPr>
          <w:rFonts w:ascii="Arial;sans-serif" w:hAnsi="Arial;sans-serif"/>
          <w:b w:val="false"/>
          <w:color w:val="000000"/>
          <w:sz w:val="20"/>
        </w:rPr>
        <w:t>For the three months ended September 30, 2024 and 2023, approximately 93% and 89%, respectively, of the Company's revenue was related to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Revenue related to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for the nine months ended September 30, 2024 and 2023 was approximately 91% and 88%,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is dependent on key suppliers for certain laboratory materials. For the three months ended September 30, 2024 and 2023, approximately 98% and 98%, respectively, of the Company's diagnostic testing supplies were purchased from two suppliers. For the nine months ended September 30, 2024 and 2023, approximately 97% and 97%, respectively, of the Company's diagnostic testing supplies were purchased from two suppliers. An interruption in the supply of these materials would impact the Company's ability to perform testing services.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includes the Company's revenues as disaggregated by payor and customer category (in thousands):</w:t>
      </w:r>
    </w:p>
    <w:p>
      <w:pPr>
        <w:pStyle w:val="TextBody"/>
        <w:bidi w:val="0"/>
        <w:spacing w:lineRule="auto" w:line="288" w:before="0" w:after="0"/>
        <w:jc w:val="left"/>
        <w:rPr>
          <w:color w:val="000000"/>
        </w:rPr>
      </w:pPr>
      <w:r>
        <w:rPr>
          <w:color w:val="000000"/>
        </w:rPr>
        <w:t> </w:t>
      </w:r>
    </w:p>
    <w:tbl>
      <w:tblPr>
        <w:tblW w:w="7582" w:type="dxa"/>
        <w:jc w:val="left"/>
        <w:tblInd w:w="0" w:type="dxa"/>
        <w:tblLayout w:type="fixed"/>
        <w:tblCellMar>
          <w:top w:w="28" w:type="dxa"/>
          <w:left w:w="28" w:type="dxa"/>
          <w:bottom w:w="28" w:type="dxa"/>
          <w:right w:w="28" w:type="dxa"/>
        </w:tblCellMar>
      </w:tblPr>
      <w:tblGrid>
        <w:gridCol w:w="407"/>
        <w:gridCol w:w="356"/>
        <w:gridCol w:w="361"/>
        <w:gridCol w:w="109"/>
        <w:gridCol w:w="109"/>
        <w:gridCol w:w="109"/>
        <w:gridCol w:w="257"/>
        <w:gridCol w:w="848"/>
        <w:gridCol w:w="143"/>
        <w:gridCol w:w="143"/>
        <w:gridCol w:w="143"/>
        <w:gridCol w:w="143"/>
        <w:gridCol w:w="257"/>
        <w:gridCol w:w="848"/>
        <w:gridCol w:w="143"/>
        <w:gridCol w:w="109"/>
        <w:gridCol w:w="109"/>
        <w:gridCol w:w="109"/>
        <w:gridCol w:w="248"/>
        <w:gridCol w:w="818"/>
        <w:gridCol w:w="138"/>
        <w:gridCol w:w="138"/>
        <w:gridCol w:w="138"/>
        <w:gridCol w:w="138"/>
        <w:gridCol w:w="248"/>
        <w:gridCol w:w="818"/>
        <w:gridCol w:w="195"/>
      </w:tblGrid>
      <w:tr>
        <w:trPr/>
        <w:tc>
          <w:tcPr>
            <w:tcW w:w="4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13,570 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41,986 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38,783 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hospitals, other laboratories, etc.</w:t>
      </w:r>
    </w:p>
    <w:p>
      <w:pPr>
        <w:pStyle w:val="TextBody"/>
        <w:bidi w:val="0"/>
        <w:spacing w:lineRule="auto" w:line="288" w:before="0" w:after="0"/>
        <w:ind w:left="0" w:right="0" w:hanging="360"/>
        <w:jc w:val="left"/>
        <w:rPr/>
      </w:pPr>
      <w:r>
        <w:rPr>
          <w:rFonts w:ascii="Arial;sans-serif" w:hAnsi="Arial;sans-serif"/>
          <w:b w:val="false"/>
          <w:color w:val="000000"/>
          <w:sz w:val="16"/>
        </w:rPr>
        <w:t>(2)Includes patient self-pay</w:t>
      </w:r>
      <w:r>
        <w:rPr>
          <w:rFonts w:ascii="Times New Roman;sans-serif" w:hAnsi="Times New Roman;sans-serif"/>
          <w:b w:val="false"/>
          <w:color w:val="000000"/>
          <w:sz w:val="20"/>
        </w:rPr>
        <w: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considers all highly-liquid investments purchased with a remaining maturity date of three months or less upon acquisition to be cash equivalents. These investments are stated at cost, which approximates fair value.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presented in the accompanying statements of cash flows consist of the following (in thousands):</w:t>
      </w:r>
    </w:p>
    <w:p>
      <w:pPr>
        <w:pStyle w:val="TextBody"/>
        <w:bidi w:val="0"/>
        <w:spacing w:lineRule="auto" w:line="288" w:before="0" w:after="0"/>
        <w:jc w:val="left"/>
        <w:rPr>
          <w:color w:val="000000"/>
        </w:rPr>
      </w:pPr>
      <w:r>
        <w:rPr>
          <w:color w:val="000000"/>
        </w:rPr>
        <w:t> </w:t>
      </w:r>
    </w:p>
    <w:tbl>
      <w:tblPr>
        <w:tblW w:w="600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337"/>
        <w:gridCol w:w="1109"/>
        <w:gridCol w:w="188"/>
        <w:gridCol w:w="109"/>
        <w:gridCol w:w="109"/>
        <w:gridCol w:w="109"/>
        <w:gridCol w:w="318"/>
        <w:gridCol w:w="1051"/>
        <w:gridCol w:w="25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36,493 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36,693 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Long-lived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intangible assets and other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(hospitals, other laboratories, etc.) and patient self-pay. </w:t>
      </w:r>
    </w:p>
    <w:p>
      <w:pPr>
        <w:pStyle w:val="TextBody"/>
        <w:bidi w:val="0"/>
        <w:spacing w:lineRule="auto" w:line="288" w:before="240" w:after="283"/>
        <w:jc w:val="left"/>
        <w:rPr/>
      </w:pPr>
      <w:r>
        <w:rPr>
          <w:rFonts w:ascii="Arial;sans-serif" w:hAnsi="Arial;sans-serif"/>
          <w:b w:val="false"/>
          <w:color w:val="000000"/>
          <w:sz w:val="20"/>
        </w:rPr>
        <w:t xml:space="preserve">The Company recognizes revenue in accordance with Accounting Standards Codification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and follows a five-step process to determine the amount and timing of revenue recognized: (1) identify the contract 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September 30, 2024 and 2023 was a $0.6 million net revenue increase and a $2.5 million net revenue increase, respectively, associated with changes in estimated variable consideration related to performance obligations satisfied in previous periods. Included in revenues for the nine months ended September 30, 2024 and 2023 was a $6.2 million net revenue increase and a $2.6 million net revenue increase, respectively, associated with changes in estimated variable consideration related to performance obligations satisfied in previous periods. The transaction price is estimated using an expected value method on a portfolio basis.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Accounts Receivable and Allowance for Credit Losses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September 30, 2024 and 2023. Adjustments for implicit price concessions attributable to variable consideration, as discussed above, are incorporated into the measurement of the accounts receivable balances and are not part of the allowance for credit losses.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depreciation; amortization and allocated overhead, including rent and utilities.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Advertising and Marketing Costs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associated with advertising and marketing activities are expensed as incurred. Total advertising and marketing costs were approximately $0.4 million and $0.5 million for the three months ended September 30, 2024 and 2023, respectively. For the nine months ended September 30, 2024 and 2023, total advertising and marketing costs were approximately $1.0 million and $1.2 million, respectively. These costs are included in selling, general and administrative expenses in the accompanying condensed statements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Shipping and Handling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incurred for shipping and handling are included in costs of revenue in the accompanying condensed statements of operations and were approximately $0.9 million and $0.6 million for the three months ended September 30, 2024 and 2023, respectively. For the nine months ended September 30, 2024 and 2023, shipping and handling costs were approximately $2.5 million and $1.9 million, respectively.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as we have concluded that our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the three and nine months ended September 30, 2024 and 2023, there is no difference in the number of shares used to calculate basic and diluted shares outstanding, as the inclusion of the potentially dilutive securities would be antidilutive.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not included in the calculation of diluted net loss per share, because to do so would be anti-dilutive, are as follows (in common stock equivalent shares):</w:t>
      </w:r>
    </w:p>
    <w:p>
      <w:pPr>
        <w:pStyle w:val="TextBody"/>
        <w:bidi w:val="0"/>
        <w:spacing w:lineRule="auto" w:line="288" w:before="0" w:after="0"/>
        <w:jc w:val="left"/>
        <w:rPr>
          <w:color w:val="000000"/>
        </w:rPr>
      </w:pPr>
      <w:r>
        <w:rPr>
          <w:color w:val="000000"/>
        </w:rPr>
        <w:t> </w:t>
      </w:r>
    </w:p>
    <w:tbl>
      <w:tblPr>
        <w:tblW w:w="6803" w:type="dxa"/>
        <w:jc w:val="left"/>
        <w:tblInd w:w="0" w:type="dxa"/>
        <w:tblLayout w:type="fixed"/>
        <w:tblCellMar>
          <w:top w:w="28" w:type="dxa"/>
          <w:left w:w="28" w:type="dxa"/>
          <w:bottom w:w="28" w:type="dxa"/>
          <w:right w:w="28" w:type="dxa"/>
        </w:tblCellMar>
      </w:tblPr>
      <w:tblGrid>
        <w:gridCol w:w="1028"/>
        <w:gridCol w:w="902"/>
        <w:gridCol w:w="905"/>
        <w:gridCol w:w="109"/>
        <w:gridCol w:w="109"/>
        <w:gridCol w:w="109"/>
        <w:gridCol w:w="544"/>
        <w:gridCol w:w="544"/>
        <w:gridCol w:w="546"/>
        <w:gridCol w:w="109"/>
        <w:gridCol w:w="109"/>
        <w:gridCol w:w="109"/>
        <w:gridCol w:w="491"/>
        <w:gridCol w:w="491"/>
        <w:gridCol w:w="698"/>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325,330 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409,108 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576,151 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1,004,855 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1,810,468 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1,568,112 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12,542 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2,724,519 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2,994,617 </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Segment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Accounting Standards Updates (ASU) not included in the Company’s disclosures were assessed and determined to be either not applicable or are not expected to have a material impact on the Company's financial statements or disclosures.</w:t>
      </w:r>
    </w:p>
    <w:p>
      <w:pPr>
        <w:pStyle w:val="TextBody"/>
        <w:bidi w:val="0"/>
        <w:spacing w:lineRule="auto" w:line="288" w:before="240" w:after="283"/>
        <w:jc w:val="left"/>
        <w:rPr/>
      </w:pPr>
      <w:r>
        <w:rPr>
          <w:rFonts w:ascii="Arial;sans-serif" w:hAnsi="Arial;sans-serif"/>
          <w:b w:val="false"/>
          <w:color w:val="000000"/>
          <w:sz w:val="20"/>
        </w:rPr>
        <w:t xml:space="preserve">In November 2023, the FASB issued ASU No. 2023-07,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(ASU 2023-07), which requires public entities to disclose significant segment expenses that are regularly provided to the Chief Operating Decision Maker (CODM) and details of how the CODM uses financial reporting to assess the performance of a segment. ASU 2023-07 is effective for fiscal years beginning after December 15, 2023, and interim periods within fiscal years beginning after December 15, 2024, with early adoption permitted. This ASU will likely result in additional required disclosure when adopted.</w:t>
      </w:r>
    </w:p>
    <w:p>
      <w:pPr>
        <w:pStyle w:val="TextBody"/>
        <w:bidi w:val="0"/>
        <w:spacing w:lineRule="auto" w:line="288" w:before="240" w:after="283"/>
        <w:jc w:val="left"/>
        <w:rPr/>
      </w:pPr>
      <w:r>
        <w:rPr>
          <w:rFonts w:ascii="Arial;sans-serif" w:hAnsi="Arial;sans-serif"/>
          <w:b w:val="false"/>
          <w:color w:val="000000"/>
          <w:sz w:val="20"/>
        </w:rPr>
        <w:t>In December 2023, the FASB issued ASU 2023-09,</w:t>
      </w:r>
      <w:r>
        <w:rPr>
          <w:color w:val="000000"/>
        </w:rPr>
        <w:t xml:space="preserve">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(ASU 2023-09), which requires additional income tax disclosures in the rate reconciliation table for federal, state and foreign income taxes, in addition to more details about the reconciling items in some categories when items meet a certain quantitative threshold. ASU 2023-09 is effective for annual periods beginning after December 15, 2024 with early adoption permitted. The Company does not expect that this standard will have a material impact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Other Financial Information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Prepaid Expenses and Other Current Assets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 consist of the following (in thousands):</w:t>
      </w:r>
    </w:p>
    <w:p>
      <w:pPr>
        <w:pStyle w:val="TextBody"/>
        <w:bidi w:val="0"/>
        <w:spacing w:lineRule="auto" w:line="288" w:before="0" w:after="0"/>
        <w:jc w:val="left"/>
        <w:rPr>
          <w:color w:val="000000"/>
        </w:rPr>
      </w:pPr>
      <w:r>
        <w:rPr>
          <w:color w:val="000000"/>
        </w:rPr>
        <w:t>                                                                     </w:t>
      </w:r>
    </w:p>
    <w:tbl>
      <w:tblPr>
        <w:tblW w:w="7752" w:type="dxa"/>
        <w:jc w:val="left"/>
        <w:tblInd w:w="0" w:type="dxa"/>
        <w:tblLayout w:type="fixed"/>
        <w:tblCellMar>
          <w:top w:w="28" w:type="dxa"/>
          <w:left w:w="28" w:type="dxa"/>
          <w:bottom w:w="28" w:type="dxa"/>
          <w:right w:w="28" w:type="dxa"/>
        </w:tblCellMar>
      </w:tblPr>
      <w:tblGrid>
        <w:gridCol w:w="1353"/>
        <w:gridCol w:w="1190"/>
        <w:gridCol w:w="1191"/>
        <w:gridCol w:w="109"/>
        <w:gridCol w:w="109"/>
        <w:gridCol w:w="109"/>
        <w:gridCol w:w="371"/>
        <w:gridCol w:w="1055"/>
        <w:gridCol w:w="209"/>
        <w:gridCol w:w="109"/>
        <w:gridCol w:w="109"/>
        <w:gridCol w:w="109"/>
        <w:gridCol w:w="358"/>
        <w:gridCol w:w="1016"/>
        <w:gridCol w:w="20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Diagnostic testing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product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maintenance and 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Property and equipment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692" w:type="dxa"/>
        <w:jc w:val="left"/>
        <w:tblInd w:w="0" w:type="dxa"/>
        <w:tblLayout w:type="fixed"/>
        <w:tblCellMar>
          <w:top w:w="28" w:type="dxa"/>
          <w:left w:w="28" w:type="dxa"/>
          <w:bottom w:w="28" w:type="dxa"/>
          <w:right w:w="28" w:type="dxa"/>
        </w:tblCellMar>
      </w:tblPr>
      <w:tblGrid>
        <w:gridCol w:w="1332"/>
        <w:gridCol w:w="1169"/>
        <w:gridCol w:w="1173"/>
        <w:gridCol w:w="109"/>
        <w:gridCol w:w="109"/>
        <w:gridCol w:w="109"/>
        <w:gridCol w:w="371"/>
        <w:gridCol w:w="1055"/>
        <w:gridCol w:w="209"/>
        <w:gridCol w:w="109"/>
        <w:gridCol w:w="109"/>
        <w:gridCol w:w="109"/>
        <w:gridCol w:w="358"/>
        <w:gridCol w:w="1016"/>
        <w:gridCol w:w="20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Laboratory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4,855 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Depreciation and amortization expense for the three months ended September 30, 2024 and 2023 was approximately $0.4 million and $0.6 million, respectively. For the nine months ended September 30, 2024 and 2023, depreciation and amortization expense was approximately $1.3 million and $1.7 million, respectively.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Accrued and Other Current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Accrued and other current liabilities consist of the following (in thousands):</w:t>
      </w:r>
    </w:p>
    <w:p>
      <w:pPr>
        <w:pStyle w:val="TextBody"/>
        <w:bidi w:val="0"/>
        <w:spacing w:lineRule="auto" w:line="288" w:before="0" w:after="0"/>
        <w:jc w:val="left"/>
        <w:rPr>
          <w:color w:val="000000"/>
        </w:rPr>
      </w:pPr>
      <w:r>
        <w:rPr>
          <w:color w:val="000000"/>
        </w:rPr>
        <w:t> </w:t>
      </w:r>
    </w:p>
    <w:tbl>
      <w:tblPr>
        <w:tblW w:w="7243" w:type="dxa"/>
        <w:jc w:val="left"/>
        <w:tblInd w:w="0" w:type="dxa"/>
        <w:tblLayout w:type="fixed"/>
        <w:tblCellMar>
          <w:top w:w="28" w:type="dxa"/>
          <w:left w:w="28" w:type="dxa"/>
          <w:bottom w:w="28" w:type="dxa"/>
          <w:right w:w="28" w:type="dxa"/>
        </w:tblCellMar>
      </w:tblPr>
      <w:tblGrid>
        <w:gridCol w:w="1169"/>
        <w:gridCol w:w="1027"/>
        <w:gridCol w:w="1029"/>
        <w:gridCol w:w="109"/>
        <w:gridCol w:w="109"/>
        <w:gridCol w:w="109"/>
        <w:gridCol w:w="371"/>
        <w:gridCol w:w="1055"/>
        <w:gridCol w:w="209"/>
        <w:gridCol w:w="109"/>
        <w:gridCol w:w="109"/>
        <w:gridCol w:w="109"/>
        <w:gridCol w:w="358"/>
        <w:gridCol w:w="1016"/>
        <w:gridCol w:w="20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purchases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obligations,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Refund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 Borrowings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2017 Term Loan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2017, the Company executed a term loan agreement (the 2017 Term Loan) with Innovatus Life Sciences Lending Fund I, LP (Innovatus), as amended (the Amended Loan Agreement), pursuant to which the Company borrowed $25.0 million. As of September 30, 2024, no additional amounts remained available to borrow under the Amended Loan Agreement.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April 28, 2023, the Company entered into the Amended Loan Agreement. The Amended Loan Agreement was treated as a modification. In connection with the Amended Loan Agreement, the Company repaid $10.0 million of the principal balance outstanding, for which the prepayment premium was waived. Pursuant to the Amended Loan Agreement, the interest rate on all borrowings under the Amended Loan Agreement is the sum (the Basic Rate) of (a) the greater of 8.0% or The Wall Street Journal prime rate (the Prime Rate), plus (b) 2.0%, which is paid-in-kind in the form of additional term loans (PIK Loans).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The Company estimated the effective interest rate of this loan to be approximately 10.6% as of September 30, 2024.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$1.0 million. This obligation is being accreted into interest expense over the term of the loan using the effective interest method. For each of the three months ended September 30, 2024 and 2023, the Company issued PIK Loans totaling $0.1 million. For the nine months ended September 30, 2024 and 2023, the Company issued PIK Loans totaling $0.2 million and $0.3 million, respectively. The issuances of the PIK Loans are included in borrowings-non-current portion on the accompanying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Amended Loan Agreement requires a prepayment premium of 1% of the aggregate outstanding principal for any prepayments made prior to November 1, 2024.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Amended Loan Agreement (excluding any capitalized interest paid-in-kind) at all times during such quarter. The consequences of failing to achieve the performance covenants, when applicable, will be cured if, (i) within thirty days of failing to achieve the performance covenant, the Company submits a new financial plan approved by the Company's board of directors (the Board)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As of September 30, 2024, the Company was in compliance with all covenants of the Amended Loan Agreement.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condensed financial statements. Accordingly, the Company has reflected the amounts of the Amended Loan Agreement due beyond twelve months of the balance sheet date as non-current.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Equipment Notes Payable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April 2024, the Company purchased additional laboratory equipment using notes payable. At September 30, 2024, the total notes payable balance related to the financed equipment was $1.2 million, with $0.4 million classified within borrowings-current portion and $0.8 million within borrowings-non-current portion, net of discounts and debt issuance costs in the accompanying balance sheets. The notes related to the financed equipment are subject to a 5.28% effective interest rate and will mature between October 1, 2026 and April 1, 2028.</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Future Minimum Payments on the Outstanding Borrowings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September 30, 2024, future minimum aggregate payments, including interest, for outstanding borrowings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797" w:type="dxa"/>
        <w:jc w:val="left"/>
        <w:tblInd w:w="0" w:type="dxa"/>
        <w:tblLayout w:type="fixed"/>
        <w:tblCellMar>
          <w:top w:w="28" w:type="dxa"/>
          <w:left w:w="28" w:type="dxa"/>
          <w:bottom w:w="28" w:type="dxa"/>
          <w:right w:w="28" w:type="dxa"/>
        </w:tblCellMar>
      </w:tblPr>
      <w:tblGrid>
        <w:gridCol w:w="1983"/>
        <w:gridCol w:w="1743"/>
        <w:gridCol w:w="1748"/>
        <w:gridCol w:w="109"/>
        <w:gridCol w:w="109"/>
        <w:gridCol w:w="109"/>
        <w:gridCol w:w="196"/>
        <w:gridCol w:w="646"/>
        <w:gridCol w:w="154"/>
      </w:tblGrid>
      <w:tr>
        <w:trPr/>
        <w:tc>
          <w:tcPr>
            <w:tcW w:w="198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borrowings,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Borrowings-current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Borrowings-non-current portion,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Licensing Agreements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has licensed technology for use in its diagnostic tests. In addition to the milestone payments required by these agreements, individual license agreements generally provide for ongoing royalty payments ranging from 2.0% to 7.0% on net sales of products which incorporate licensed technology, as defined in such agreements. Royalties are accrued when incurred and recorded in costs of revenue in the accompanying condensed statements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Collaboration Obligations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May 2021, the Company entered into a master research collaboration agreement with Allegheny Health Network Research Institute (AHN), pursuant to which the Company is required to pay AHN a collaboration fee of $0.4 million per year. Collaboration expenses under the master research collaboration agreement were $0.1 million for each of the three months ended September 30, 2024 and 2023. For each of the nine months ended September 30, 2024 and 2023, collaboration expenses under the master research collaboration agreement were $0.3 million. Collaboration expenses under the AHN collaboration are included in research and development expenses.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Supply Agreements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August 2024, the Company amended a supply agreement with one supplier for reagents, which includes pricing terms and minimum purchase commitments, through December 31, 2025, for new consumable products related to the Company's launch of the RA Sub-Profile Biomarkers. Aggregate minimum annual purchase commitments related to such agreement for the years ending December 31, 2024 and 2025 are $8.4 million and $10.4 million, respectively.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in October 2023, the Company resolved an investigation with the U.S. Attorney’s Office for the District of Massachusetts that was initiated by a qui tam lawsuit. Pursuant to a settlement agreement entered into by and between the Company and the U.S. Department of Justice (the Settlement Agreement), the Company made a single lump-sum remittance to the government in the amount of $0.7 million, including interest, in connection with specimen processing arrangements that Exagen historically had with physicians. The U.S. Attorney’s Office dismissed this “covered conduct” in the qui tam lawsuit with prejudice, while non-covered conduct was dismissed without prejudice. The Department of Justice excused itself from the case in connection with the settlement. In November 2023, the complaint was unsealed by the court and served on Exagen by the relator. Exagen filed a motion to dismiss the complaint. In December 2023, the Company's insurance carrier provided reimbursement for certain defense costs the Company incurred in the October 2023 qui tam lawsuit. In February 2024, the relator filed a motion for leave to amend the complaint. Exagen opposed this motion, and all motions are still pending. The Company cannot predict when these matters will be resolved, the outcome of these matters, or their potential impact, which may materially and adversely affect the Company’s business, prospects, and financial condition. The Company intends to vigorously defend against the claims being asserted in the complaint.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Company's participation in federal healthcare programs is not affected by the Settlement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6. Fair Value Measurements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carrying value of the Company's cash, cash equivalents and restricted cash, accounts receivable, prepaid expenses and other current assets, accounts payable and accrued and other current liabilities approximate their fair values due to their short-term nature, which are determined to be a Level 1 measurement. The estimated fair value of the Company's long-term borrowings is determined by Level 2 inputs and based primarily on quoted market prices for the same or similar issues. As of September 30, 2024, the 2017 Term Loan had a carrying value of $19.0 million and a fair value of $18.5 million. As of December 31, 2023, the 2017 Term Loan had a carrying value of $18.7 million and a fair value of $19.7 million. The estimated fair value of the 2017 Term Loan was determined based on a discounted cash flow approach using available market information on discount and borrowing rates with similar terms, maturities, and credit ratings. The carrying value of the Company's other long-term borrowing at September 30, 2024 was $1.2 million and approximated its fair value. At December 31, 2023, the carrying value of the Company's other long-term borrowing was $0.8 million and approximated its fair value.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three-levels of the valuation hierarchy for disclosure of fair value measurements are defined as follows:</w:t>
      </w:r>
    </w:p>
    <w:p>
      <w:pPr>
        <w:pStyle w:val="TextBody"/>
        <w:bidi w:val="0"/>
        <w:spacing w:lineRule="auto" w:line="288" w:before="240" w:after="283"/>
        <w:ind w:left="0" w:right="0" w:hanging="1440"/>
        <w:jc w:val="left"/>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240" w:after="283"/>
        <w:ind w:left="0" w:right="0" w:hanging="1440"/>
        <w:jc w:val="left"/>
        <w:rPr>
          <w:rFonts w:ascii="Arial;sans-serif" w:hAnsi="Arial;sans-serif"/>
          <w:b w:val="false"/>
          <w:color w:val="000000"/>
          <w:sz w:val="20"/>
        </w:rPr>
      </w:pPr>
      <w:r>
        <w:rPr>
          <w:rFonts w:ascii="Arial;sans-serif" w:hAnsi="Arial;sans-serif"/>
          <w:b w:val="false"/>
          <w:color w:val="000000"/>
          <w:sz w:val="20"/>
        </w:rPr>
        <w:t>Level 2 -    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240" w:after="283"/>
        <w:ind w:left="0" w:right="0" w:hanging="1440"/>
        <w:jc w:val="left"/>
        <w:rPr>
          <w:rFonts w:ascii="Arial;sans-serif" w:hAnsi="Arial;sans-serif"/>
          <w:b w:val="false"/>
          <w:color w:val="000000"/>
          <w:sz w:val="20"/>
        </w:rPr>
      </w:pPr>
      <w:r>
        <w:rPr>
          <w:rFonts w:ascii="Arial;sans-serif" w:hAnsi="Arial;sans-serif"/>
          <w:b w:val="false"/>
          <w:color w:val="000000"/>
          <w:sz w:val="20"/>
        </w:rPr>
        <w:t>Level 3 -    Unobservable inputs that are supported by little or no market activity for the related assets or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pStyle w:val="TextBody"/>
        <w:bidi w:val="0"/>
        <w:spacing w:lineRule="auto" w:line="288" w:before="0" w:after="0"/>
        <w:jc w:val="left"/>
        <w:rPr>
          <w:color w:val="000000"/>
        </w:rPr>
      </w:pPr>
      <w:r>
        <w:rPr>
          <w:color w:val="000000"/>
        </w:rPr>
        <w:t> </w:t>
      </w:r>
    </w:p>
    <w:tbl>
      <w:tblPr>
        <w:tblW w:w="9146" w:type="dxa"/>
        <w:jc w:val="left"/>
        <w:tblInd w:w="0" w:type="dxa"/>
        <w:tblLayout w:type="fixed"/>
        <w:tblCellMar>
          <w:top w:w="28" w:type="dxa"/>
          <w:left w:w="28" w:type="dxa"/>
          <w:bottom w:w="28" w:type="dxa"/>
          <w:right w:w="28" w:type="dxa"/>
        </w:tblCellMar>
      </w:tblPr>
      <w:tblGrid>
        <w:gridCol w:w="1616"/>
        <w:gridCol w:w="1417"/>
        <w:gridCol w:w="1436"/>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2024</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 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color w:val="000000"/>
        </w:rPr>
      </w:pPr>
      <w:r>
        <w:rPr>
          <w:color w:val="000000"/>
        </w:rPr>
        <w:t> </w:t>
      </w:r>
    </w:p>
    <w:tbl>
      <w:tblPr>
        <w:tblW w:w="9146" w:type="dxa"/>
        <w:jc w:val="left"/>
        <w:tblInd w:w="0" w:type="dxa"/>
        <w:tblLayout w:type="fixed"/>
        <w:tblCellMar>
          <w:top w:w="28" w:type="dxa"/>
          <w:left w:w="28" w:type="dxa"/>
          <w:bottom w:w="28" w:type="dxa"/>
          <w:right w:w="28" w:type="dxa"/>
        </w:tblCellMar>
      </w:tblPr>
      <w:tblGrid>
        <w:gridCol w:w="1616"/>
        <w:gridCol w:w="1417"/>
        <w:gridCol w:w="1436"/>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406"/>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funds, 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fair value of the Company's money market funds is based on quoted market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Shelf Registration Statement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November 17, 2023, the Company filed a registration statement on Form S-3, as amended (the 2023 Shelf Registration Statement), covering the offering, from time to time, of up to $150.0 million of common stock, preferred stock, debt securities, warrants and units. The 2023 Shelf Registration Statement became effective on November 29, 2023, and all $150.0 million remain available for sale as of September 30, 2024.</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At The Market Sales Agreement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September 15, 2022, the Company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September 30, 2024, the Company has not sold any shares of its common stock pursuant to the Sales Agreement.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Outstanding Warrants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equity classified warrants to purchase common stock were outstanding as of September 30, 2024:</w:t>
      </w:r>
    </w:p>
    <w:tbl>
      <w:tblPr>
        <w:tblW w:w="7880" w:type="dxa"/>
        <w:jc w:val="left"/>
        <w:tblInd w:w="0" w:type="dxa"/>
        <w:tblLayout w:type="fixed"/>
        <w:tblCellMar>
          <w:top w:w="28" w:type="dxa"/>
          <w:left w:w="28" w:type="dxa"/>
          <w:bottom w:w="28" w:type="dxa"/>
          <w:right w:w="28" w:type="dxa"/>
        </w:tblCellMar>
      </w:tblPr>
      <w:tblGrid>
        <w:gridCol w:w="696"/>
        <w:gridCol w:w="609"/>
        <w:gridCol w:w="614"/>
        <w:gridCol w:w="273"/>
        <w:gridCol w:w="273"/>
        <w:gridCol w:w="280"/>
        <w:gridCol w:w="109"/>
        <w:gridCol w:w="109"/>
        <w:gridCol w:w="109"/>
        <w:gridCol w:w="273"/>
        <w:gridCol w:w="775"/>
        <w:gridCol w:w="152"/>
        <w:gridCol w:w="109"/>
        <w:gridCol w:w="109"/>
        <w:gridCol w:w="109"/>
        <w:gridCol w:w="484"/>
        <w:gridCol w:w="484"/>
        <w:gridCol w:w="486"/>
        <w:gridCol w:w="109"/>
        <w:gridCol w:w="109"/>
        <w:gridCol w:w="109"/>
        <w:gridCol w:w="439"/>
        <w:gridCol w:w="439"/>
        <w:gridCol w:w="622"/>
      </w:tblGrid>
      <w:tr>
        <w:trPr/>
        <w:tc>
          <w:tcPr>
            <w:tcW w:w="6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19,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January 19, 2026</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31,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March 31, 2026</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April 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April 1, 2026</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December 7,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December 7, 2025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warrants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June 22,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None</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2024, no warrants to purchase common stock were 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8. Stock Option Plan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2019 Incentive Award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2019,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As of September 30, 2024, 2,122,271 shares of common stock remained available for future awards under the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RSU activity under the Company's 2019 Plan is set forth below:</w:t>
      </w:r>
    </w:p>
    <w:tbl>
      <w:tblPr>
        <w:tblW w:w="6236" w:type="dxa"/>
        <w:jc w:val="left"/>
        <w:tblInd w:w="0" w:type="dxa"/>
        <w:tblLayout w:type="fixed"/>
        <w:tblCellMar>
          <w:top w:w="28" w:type="dxa"/>
          <w:left w:w="28" w:type="dxa"/>
          <w:bottom w:w="28" w:type="dxa"/>
          <w:right w:w="28" w:type="dxa"/>
        </w:tblCellMar>
      </w:tblPr>
      <w:tblGrid>
        <w:gridCol w:w="930"/>
        <w:gridCol w:w="815"/>
        <w:gridCol w:w="820"/>
        <w:gridCol w:w="109"/>
        <w:gridCol w:w="109"/>
        <w:gridCol w:w="109"/>
        <w:gridCol w:w="435"/>
        <w:gridCol w:w="436"/>
        <w:gridCol w:w="316"/>
        <w:gridCol w:w="109"/>
        <w:gridCol w:w="109"/>
        <w:gridCol w:w="109"/>
        <w:gridCol w:w="438"/>
        <w:gridCol w:w="1044"/>
        <w:gridCol w:w="348"/>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1,387,459 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1,287,225 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1,810,468 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September 30, 2024, all of the outstanding RSUs were unvested. The fair value of RSUs vested in the nine months ended September 30, 2024 and 2023 was $0.5 million and $0.4 million, respectively. The weighted average grant date fair value for RSUs granted in the nine months ended September 30, 2024 and 2023 was $2.09 and $2.42, respectively. As of September 30, 2024, total unrecognized compensation cost related to RSUs was $3.7 million, which is expected to be recognized over a remaining weighted-average vesting period of 3.0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Stock option activity under the 2019 Plan is set forth below:</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37"/>
        <w:gridCol w:w="1171"/>
        <w:gridCol w:w="1178"/>
        <w:gridCol w:w="109"/>
        <w:gridCol w:w="109"/>
        <w:gridCol w:w="109"/>
        <w:gridCol w:w="403"/>
        <w:gridCol w:w="405"/>
        <w:gridCol w:w="316"/>
        <w:gridCol w:w="109"/>
        <w:gridCol w:w="109"/>
        <w:gridCol w:w="109"/>
        <w:gridCol w:w="273"/>
        <w:gridCol w:w="775"/>
        <w:gridCol w:w="153"/>
        <w:gridCol w:w="109"/>
        <w:gridCol w:w="109"/>
        <w:gridCol w:w="109"/>
        <w:gridCol w:w="368"/>
        <w:gridCol w:w="368"/>
        <w:gridCol w:w="370"/>
        <w:gridCol w:w="109"/>
        <w:gridCol w:w="109"/>
        <w:gridCol w:w="109"/>
        <w:gridCol w:w="450"/>
        <w:gridCol w:w="969"/>
        <w:gridCol w:w="361"/>
      </w:tblGrid>
      <w:tr>
        <w:trPr/>
        <w:tc>
          <w:tcPr>
            <w:tcW w:w="13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 (in thousands)</w:t>
            </w:r>
          </w:p>
        </w:tc>
      </w:tr>
      <w:tr>
        <w:trP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986,819 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(371,526)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576,151 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Vested and expected to vest,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576,151 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Options exercisable,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552,686 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There were 55,500</w:t>
      </w:r>
      <w:r>
        <w:rPr>
          <w:color w:val="000000"/>
        </w:rPr>
        <w:t xml:space="preserve"> </w:t>
      </w:r>
      <w:r>
        <w:rPr>
          <w:rFonts w:ascii="Arial;sans-serif" w:hAnsi="Arial;sans-serif"/>
          <w:b w:val="false"/>
          <w:color w:val="000000"/>
          <w:sz w:val="20"/>
        </w:rPr>
        <w:t>and 73,500 stock options granted in the nine months ended September 30, 2024 and 2023, respectively. The intrinsic value is calculated as the difference between the fair value of the Company's common stock and the exercise price of the stock options. The aggregate intrinsic value of options exercised during the nine months ended September 30, 2024 was $0.3 million. The aggregate intrinsic value of options exercised during the nine months ended September 30, 2023 was $0.2 million. As of September 30, 2024, total unrecognized compensation cost related to option awards was less than $0.1 million, which is expected to be recognized over a remaining weighted-average vesting period of 2.29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2019 Employee Stock Purchase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September 2019, the Board adopted, and the Company's stockholders approved, the ESPP. The ESPP became effective on the day the ESPP was adopted by the Board.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As of September 30, 2024, 523,744 shares of common stock remained available for issuance under the ESPP.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Total non-cash stock-based compensation expense recorded related to options granted, RSUs granted and stock purchase rights granted under the ESPP in the condensed statements of operations is as follows (in thousands):</w:t>
      </w:r>
    </w:p>
    <w:p>
      <w:pPr>
        <w:pStyle w:val="TextBody"/>
        <w:bidi w:val="0"/>
        <w:spacing w:lineRule="auto" w:line="288" w:before="240" w:after="283"/>
        <w:jc w:val="left"/>
        <w:rPr>
          <w:color w:val="000000"/>
        </w:rPr>
      </w:pPr>
      <w:r>
        <w:rPr>
          <w:color w:val="000000"/>
        </w:rPr>
        <w:t> </w:t>
      </w:r>
    </w:p>
    <w:tbl>
      <w:tblPr>
        <w:tblW w:w="9029" w:type="dxa"/>
        <w:jc w:val="left"/>
        <w:tblInd w:w="0" w:type="dxa"/>
        <w:tblLayout w:type="fixed"/>
        <w:tblCellMar>
          <w:top w:w="28" w:type="dxa"/>
          <w:left w:w="28" w:type="dxa"/>
          <w:bottom w:w="28" w:type="dxa"/>
          <w:right w:w="28" w:type="dxa"/>
        </w:tblCellMar>
      </w:tblPr>
      <w:tblGrid>
        <w:gridCol w:w="933"/>
        <w:gridCol w:w="819"/>
        <w:gridCol w:w="827"/>
        <w:gridCol w:w="109"/>
        <w:gridCol w:w="109"/>
        <w:gridCol w:w="109"/>
        <w:gridCol w:w="322"/>
        <w:gridCol w:w="692"/>
        <w:gridCol w:w="179"/>
        <w:gridCol w:w="179"/>
        <w:gridCol w:w="179"/>
        <w:gridCol w:w="179"/>
        <w:gridCol w:w="322"/>
        <w:gridCol w:w="692"/>
        <w:gridCol w:w="179"/>
        <w:gridCol w:w="109"/>
        <w:gridCol w:w="109"/>
        <w:gridCol w:w="109"/>
        <w:gridCol w:w="269"/>
        <w:gridCol w:w="764"/>
        <w:gridCol w:w="149"/>
        <w:gridCol w:w="149"/>
        <w:gridCol w:w="149"/>
        <w:gridCol w:w="149"/>
        <w:gridCol w:w="269"/>
        <w:gridCol w:w="764"/>
        <w:gridCol w:w="2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included in our Annual Report on Form 10-K for the year ended December 31, 2023.</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The following discussion and other parts of this quarterly report contain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estimates regarding profitability and the time that may elapse before we may become profitable,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IA, "Risk Factors" in our Annual Report on Form 10-K for the fiscal year ended December 31, 2023 and Part II, Item 1A, “Risk Factors” in our Quarterly Report on Form 10-Q for the quarter ended June 30, 2024.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left"/>
        <w:rPr/>
      </w:pPr>
      <w:r>
        <w:rPr>
          <w:rFonts w:ascii="Arial;sans-serif" w:hAnsi="Arial;sans-serif"/>
          <w:b w:val="false"/>
          <w:color w:val="000000"/>
          <w:sz w:val="20"/>
        </w:rPr>
        <w:t>We exist to provide clarity in autoimmune disease decision making with the goal of improving patients' clinical outcomes. We have developed and are commercializing a portfolio of innovative testing products under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which allow for the differential diagnosis, prognosis and monitoring of complex autoimmune and autoimmune-related diseases. We believe our focus on and experience in the field of rheumatology, combined with our commitment to excellent customer service and support, position us very well to respond to the needs of rheumatologists and the patients they serve. There is an unmet need for rheumatologists to add clarity in their connective tissue disease (CTD) clinical evaluation, and we believe there is a significant opportunity for our tests in this market, particularly for potentially life-threatening diseases such as systemic lupus erythematosus (SLE).</w:t>
      </w:r>
    </w:p>
    <w:p>
      <w:pPr>
        <w:pStyle w:val="TextBody"/>
        <w:bidi w:val="0"/>
        <w:spacing w:lineRule="auto" w:line="288" w:before="240" w:after="283"/>
        <w:jc w:val="left"/>
        <w:rPr/>
      </w:pPr>
      <w:r>
        <w:rPr>
          <w:rFonts w:ascii="Arial;sans-serif" w:hAnsi="Arial;sans-serif"/>
          <w:b w:val="false"/>
          <w:color w:val="000000"/>
          <w:sz w:val="20"/>
        </w:rPr>
        <w:t>Since inception we have devoted substantially all of our efforts to developing and marketing products for the diagnosis, prognosis and monitoring of autoimmune diseases. We commercially launched our lead testing product,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in 2012. Our proprietary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test is included as part of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panel and employs a patent-protected method for diagnosing patients with SLE based on levels of CB-CAPs (e.g. EC4d and BC4d), ANA, and ds-DNA.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test also employs patent-protected algorithms used to generate risk scores to diagnose patients with SLE based on the levels of the biomarkers. These proprietary, patent-protected methods vastly improve the diagnostic sensitivity of our test compared to the current standard of care.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enables differential diagnosis for patients presenting with symptoms indicative of a wide variety of CTDs and other related diseases with overlapping symptoms. Revenue from this product comprised 91% and 88% of our revenue for the nine months ended September 30, 2024 and 2023, respectively. For the nine months ended September 30, 2024 and 2023, we incurred net losses of $11.4 million and $18.1 million, respectively, and we expect to continue to incur operating losses in the near term. Our operations have been funded primarily through equity financings, debt financings and revenue from product sales. We have never been profitable and, as of September 30, 2024, we had $22.0 million of cash and cash equivalents and an accumulated deficit of $290.6 million.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Reimbursement for our testing services comes from several sources, including commercial payors (such as insurance companies and health maintenance organizations), government payors (such as Medicare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Medicaid), client payors (such as hospitals, other laboratories, etc.) and patients. Reimbursement rates vary by product and payor.</w:t>
      </w:r>
    </w:p>
    <w:p>
      <w:pPr>
        <w:pStyle w:val="TextBody"/>
        <w:bidi w:val="0"/>
        <w:spacing w:lineRule="auto" w:line="288" w:before="240" w:after="283"/>
        <w:jc w:val="left"/>
        <w:rPr/>
      </w:pPr>
      <w:r>
        <w:rPr>
          <w:rFonts w:ascii="Arial;sans-serif" w:hAnsi="Arial;sans-serif"/>
          <w:b w:val="false"/>
          <w:color w:val="000000"/>
          <w:sz w:val="20"/>
        </w:rPr>
        <w:t>All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tests are performed in our approximately 13,000 square-foot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w:t>
      </w:r>
      <w:r>
        <w:rPr>
          <w:rFonts w:ascii="Arial;sans-serif" w:hAnsi="Arial;sans-serif"/>
          <w:b w:val="false"/>
          <w:color w:val="000000"/>
          <w:sz w:val="13"/>
        </w:rPr>
        <w:t xml:space="preserve">® </w:t>
      </w:r>
      <w:r>
        <w:rPr>
          <w:rFonts w:ascii="Arial;sans-serif" w:hAnsi="Arial;sans-serif"/>
          <w:b w:val="false"/>
          <w:color w:val="000000"/>
          <w:sz w:val="20"/>
        </w:rPr>
        <w:t>testing product results within five business days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providing diagnostic testing, we are leveraging our clinical laboratory to enter into agreements in the normal course of business with leading pharmaceutical companies and contract research organizations for the use of our testing products and/or the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pStyle w:val="TextBody"/>
        <w:bidi w:val="0"/>
        <w:spacing w:lineRule="auto" w:line="288" w:before="240" w:after="283"/>
        <w:jc w:val="left"/>
        <w:rPr/>
      </w:pPr>
      <w:r>
        <w:rPr>
          <w:rFonts w:ascii="Arial;sans-serif" w:hAnsi="Arial;sans-serif"/>
          <w:b w:val="false"/>
          <w:color w:val="000000"/>
          <w:sz w:val="20"/>
        </w:rPr>
        <w:t>We market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 Developments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TC4d, TIgG and TIgM Biomarkers</w:t>
      </w:r>
    </w:p>
    <w:p>
      <w:pPr>
        <w:pStyle w:val="TextBody"/>
        <w:bidi w:val="0"/>
        <w:spacing w:lineRule="auto" w:line="288" w:before="240" w:after="283"/>
        <w:jc w:val="left"/>
        <w:rPr/>
      </w:pPr>
      <w:r>
        <w:rPr>
          <w:rFonts w:ascii="Arial;sans-serif" w:hAnsi="Arial;sans-serif"/>
          <w:b w:val="false"/>
          <w:color w:val="000000"/>
          <w:sz w:val="20"/>
        </w:rPr>
        <w:t>Our collaborative efforts with the Allegheny Health Network Research Institute (AHN) have resulted in further development of three innovative biomarkers, TC4d, TIgG, and TIgM (the T-Cell Biomarkers), for which we obtained an exclusive, worldwide license from AHN in May 2021. These biomarkers have been clinically validated, exhibit a high degree of specificity for lupus and are more sensitive for lupus compared to conventional biomarkers. TC4d is patent protected through 2035, representing a proprietary expansion of CB-CAPs, involving a biochemical process wherein complement activation products are measured on T-cells. We currently plan to incorporate these three biomarkers into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towards the end of 2024. Once incorporated, we believe these biomarkers will significantly enhance the diagnostic sensitivity for lupus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beyond its current 80% sensitivity.</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RA Sub-Profile</w:t>
      </w:r>
    </w:p>
    <w:p>
      <w:pPr>
        <w:pStyle w:val="TextBody"/>
        <w:bidi w:val="0"/>
        <w:spacing w:lineRule="auto" w:line="256" w:before="0" w:after="0"/>
        <w:jc w:val="left"/>
        <w:rPr/>
      </w:pPr>
      <w:r>
        <w:rPr>
          <w:rFonts w:ascii="Arial;sans-serif" w:hAnsi="Arial;sans-serif"/>
          <w:b w:val="false"/>
          <w:color w:val="000000"/>
          <w:sz w:val="20"/>
        </w:rPr>
        <w:t>Approximately 70% of rheumatoid arthritis (RA) patients show serological evidence of RA, identified by key biomarkers: anti-CCP and Rheumatoid Factor. The remaining 30% of patients, despite lacking these serological markers, are clinically diagnosed with RA; this subgroup is referred to as “seronegative RA.” These patients often face delays in diagnosis due to the absence of serological evidence. In cases of early inflammatory arthritis, differential diagnosis is broad, including conditions like reactive arthritis, crystal arthropathy, spondyloarthropathy, and other systemic rheumatic diseases such as SLE and Sjogren’s syndrome, alongside seronegative RA. We have identified three unique biomarkers specific to seronegative RA (the RA Sub-Profile Biomarkers) that help bridge this diagnostic gap and would enable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to correctly identify approximately a third of the traditional seronegative RA subgroup. We currently plan to incorporate these new biomarkers into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toward the end of 2024, allowing for more timely and targeted treatment plans for these patients. We’ve submitted our validation for our rheumatoid arthritis assay utilizing RA33 antibodies to the New York State Department of Health for conditional approval. We intend to commercialize the assay once conditional approval is received in accordance with the FDA final rule on laboratory developed tests.</w:t>
      </w:r>
    </w:p>
    <w:p>
      <w:pPr>
        <w:pStyle w:val="TextBody"/>
        <w:bidi w:val="0"/>
        <w:spacing w:lineRule="auto" w:line="288" w:before="240" w:after="283"/>
        <w:jc w:val="left"/>
        <w:rPr/>
      </w:pPr>
      <w:r>
        <w:rPr>
          <w:rFonts w:ascii="Arial;sans-serif" w:hAnsi="Arial;sans-serif"/>
          <w:b w:val="false"/>
          <w:color w:val="000000"/>
          <w:sz w:val="20"/>
        </w:rPr>
        <w:t>We believe that the addition of the biomarkers discussed above will further differentiate our core test offerings in the market and be accretive to our financial performance, as well as have a positive impact on the average sales price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and revenue. Additionally, we anticipate progressive incremental improvements in demand for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CTD over time, as we educate physicians about the benefits these new markers provide. Given the financial impact we expect from the planned launch of these new biomarkers, we estimate that we will achieve positive cash flows within a year of launching both the T-Cell Biomarkers and the RA Sub-Profile Biomarkers. This estimate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assumes, among other things, that we are able to incrementally increase the average selling price per test. This estimate may ultimately be incorrect.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Factors Affecting Our Performance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impact, our operating performance and results of operations, including:</w:t>
      </w:r>
    </w:p>
    <w:p>
      <w:pPr>
        <w:pStyle w:val="TextBody"/>
        <w:bidi w:val="0"/>
        <w:spacing w:lineRule="auto" w:line="288" w:before="0" w:after="0"/>
        <w:jc w:val="left"/>
        <w:rPr>
          <w:color w:val="000000"/>
        </w:rPr>
      </w:pPr>
      <w:r>
        <w:rPr>
          <w:color w:val="000000"/>
        </w:rPr>
        <w:t> </w:t>
      </w:r>
    </w:p>
    <w:p>
      <w:pPr>
        <w:pStyle w:val="TextBody"/>
        <w:bidi w:val="0"/>
        <w:spacing w:lineRule="auto" w:line="288" w:before="80" w:after="283"/>
        <w:ind w:left="0" w:right="0" w:hanging="360"/>
        <w:jc w:val="left"/>
        <w:rPr/>
      </w:pPr>
      <w:r>
        <w:rPr>
          <w:color w:val="000000"/>
        </w:rPr>
        <w:t>▪</w:t>
      </w:r>
      <w:r>
        <w:rPr>
          <w:rFonts w:ascii="Arial;sans-serif" w:hAnsi="Arial;sans-serif"/>
          <w:b/>
          <w:i/>
          <w:color w:val="000000"/>
          <w:sz w:val="20"/>
        </w:rPr>
        <w:t>Reimbursement for Our Testing Products</w:t>
      </w:r>
      <w:r>
        <w:rPr>
          <w:rFonts w:ascii="Arial;sans-serif" w:hAnsi="Arial;sans-serif"/>
          <w:b w:val="false"/>
          <w:color w:val="000000"/>
          <w:sz w:val="20"/>
        </w:rPr>
        <w:t>. Our revenue depends on achieving broad coverage and reimbursement for our tests from 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we've held claims in the first half of the year which has resulted in increases in our accounts receivable and an accelerated decrease in our cash in the first half of the year. As expected, this trend has begun to reverse in the third quarter of 2024 and we expect it to continue to reverse, as cash is collected on billed tests through the remainder of the year.</w:t>
      </w:r>
    </w:p>
    <w:p>
      <w:pPr>
        <w:pStyle w:val="TextBody"/>
        <w:bidi w:val="0"/>
        <w:spacing w:lineRule="auto" w:line="288" w:before="80" w:after="283"/>
        <w:ind w:left="0" w:right="0" w:hanging="360"/>
        <w:jc w:val="left"/>
        <w:rPr/>
      </w:pPr>
      <w:r>
        <w:rPr>
          <w:color w:val="000000"/>
        </w:rPr>
        <w:t>▪</w:t>
      </w:r>
      <w:r>
        <w:rPr>
          <w:rFonts w:ascii="Arial;sans-serif" w:hAnsi="Arial;sans-serif"/>
          <w:b/>
          <w:i/>
          <w:color w:val="000000"/>
          <w:sz w:val="20"/>
        </w:rPr>
        <w:t>Continued Growth of Our Testing Products.</w:t>
      </w:r>
      <w:r>
        <w:rPr>
          <w:color w:val="000000"/>
        </w:rPr>
        <w:t> </w:t>
      </w:r>
      <w:r>
        <w:rPr>
          <w:rFonts w:ascii="Arial;sans-serif" w:hAnsi="Arial;sans-serif"/>
          <w:b w:val="false"/>
          <w:color w:val="000000"/>
          <w:sz w:val="20"/>
        </w:rPr>
        <w:t>Since the launch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in 2012 and through September 30, 2024, we have delivered approximately 980,714 of these tests. During the three months ended September 30, 2024,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delivered declined by approximately 6% over the same period in 2023. Revenue growth for our testing products will depend, in part, on our ability to continue to expand our base of ordering healthcare providers and increase our penetration with existing healthcare providers, in addition to our ability to successfully and timely launch the T-Cell Biomarkers and RA Sub-Profile Biomarkers we plan to add 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 xml:space="preserve">Development of Additional Testing Products. </w:t>
      </w:r>
      <w:r>
        <w:rPr>
          <w:rFonts w:ascii="Arial;sans-serif" w:hAnsi="Arial;sans-serif"/>
          <w:b w:val="false"/>
          <w:color w:val="000000"/>
          <w:sz w:val="20"/>
        </w:rPr>
        <w:t>We rely on sales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to generate the significant majority of our revenue. 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Maintain Meaningful Margin</w:t>
      </w:r>
      <w:r>
        <w:rPr>
          <w:rFonts w:ascii="Arial;sans-serif" w:hAnsi="Arial;sans-serif"/>
          <w:b w:val="false"/>
          <w:color w:val="000000"/>
          <w:sz w:val="20"/>
        </w:rPr>
        <w:t xml:space="preserve">. We seek to maintain meaningful margin through a continued focus on increasing operating leverage through the implementation of certain internal initiatives, such as leveraging validation, utility and reimbursement oriented clinical studies to facilitate payor coverage of our testing products. We center our efforts around long-term reimbursement and average sales price (ASP) growth and seek to improve our per-test costs by focusing on profitable, core test offerings and limiting fixed costs and overhead. </w:t>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Timing of Our Research and Development Expenses</w:t>
      </w:r>
      <w:r>
        <w:rPr>
          <w:rFonts w:ascii="Arial;sans-serif" w:hAnsi="Arial;sans-serif"/>
          <w:b w:val="false"/>
          <w:color w:val="000000"/>
          <w:sz w:val="20"/>
        </w:rPr>
        <w:t>. We conduct clinical studies to validate our new testing products, as well as ongoing clinical and outcome studies to further expand the published evidence that supports our commercialized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Arial;sans-serif" w:hAnsi="Arial;sans-serif"/>
          <w:b/>
          <w:i/>
          <w:color w:val="000000"/>
          <w:sz w:val="20"/>
        </w:rPr>
        <w:t>How We Recognize Revenue</w:t>
      </w:r>
      <w:r>
        <w:rPr>
          <w:rFonts w:ascii="Arial;sans-serif" w:hAnsi="Arial;sans-serif"/>
          <w:b w:val="false"/>
          <w:color w:val="000000"/>
          <w:sz w:val="20"/>
        </w:rPr>
        <w:t xml:space="preserve">. We record revenue on an accrual basis, using an estimate of the amount that we will ultimately realize, as determined based on a historical analysis of amounts collected by test and by payor, among other factors. Changes to such estimates may increase or decrease revenue recognized in future periods. </w:t>
      </w:r>
    </w:p>
    <w:p>
      <w:pPr>
        <w:pStyle w:val="TextBody"/>
        <w:bidi w:val="0"/>
        <w:spacing w:lineRule="auto" w:line="288" w:before="240" w:after="283"/>
        <w:jc w:val="left"/>
        <w:rPr/>
      </w:pPr>
      <w:r>
        <w:rPr>
          <w:rFonts w:ascii="Arial;sans-serif" w:hAnsi="Arial;sans-serif"/>
          <w:b w:val="false"/>
          <w:color w:val="000000"/>
          <w:sz w:val="20"/>
        </w:rPr>
        <w:t xml:space="preserve">While each of these areas present significant opportunities for us, they also pose significant risks and challenges that we must address. We discuss many of these risks, uncertainties and other factors in the section entitled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Quarterly Report on Form 10-Q for the six months ended June 30, 2024, filed with the SEC on August 5, 2024 and our Annual Report on Form 10-K for the year ended December 31, 2023, filed with the SEC on March 18, 2024.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Inflationary Environment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40" w:after="283"/>
        <w:jc w:val="left"/>
        <w:rPr/>
      </w:pPr>
      <w:r>
        <w:rPr>
          <w:rFonts w:ascii="Arial;sans-serif" w:hAnsi="Arial;sans-serif"/>
          <w:b w:val="false"/>
          <w:color w:val="000000"/>
          <w:sz w:val="20"/>
        </w:rPr>
        <w:t xml:space="preserve">We recognize revenue in accordance with the provisions of Accounting Standards Codification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pStyle w:val="TextBody"/>
        <w:bidi w:val="0"/>
        <w:spacing w:lineRule="auto" w:line="288" w:before="240" w:after="283"/>
        <w:jc w:val="left"/>
        <w:rPr/>
      </w:pPr>
      <w:r>
        <w:rPr>
          <w:rFonts w:ascii="Arial;sans-serif" w:hAnsi="Arial;sans-serif"/>
          <w:b w:val="false"/>
          <w:color w:val="000000"/>
          <w:sz w:val="20"/>
        </w:rPr>
        <w:t>To date, we have derived nearly all of our revenue from the sale of our testing products, most of which is attributable 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ability to increase our revenue will depend on our ability to further penetrate the market for our current and future testing products and increase our reimbursement and collection rates for tests delivered.</w:t>
      </w:r>
    </w:p>
    <w:p>
      <w:pPr>
        <w:pStyle w:val="TextBody"/>
        <w:bidi w:val="0"/>
        <w:spacing w:lineRule="auto" w:line="288" w:before="240" w:after="283"/>
        <w:jc w:val="left"/>
        <w:rPr/>
      </w:pPr>
      <w:r>
        <w:rPr>
          <w:rFonts w:ascii="Arial;sans-serif" w:hAnsi="Arial;sans-serif"/>
          <w:b w:val="false"/>
          <w:color w:val="000000"/>
          <w:sz w:val="20"/>
        </w:rPr>
        <w:t>In April 2022, we were granted a Proprietary Laboratory Code (PLA) code for our protein-based test,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Noridian, our Medicare Administrative Contractor, has set the current pricing for this PLA code at $840.65 per test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pStyle w:val="TextBody"/>
        <w:bidi w:val="0"/>
        <w:spacing w:lineRule="auto" w:line="288" w:before="240" w:after="283"/>
        <w:jc w:val="left"/>
        <w:rPr/>
      </w:pPr>
      <w:r>
        <w:rPr>
          <w:rFonts w:ascii="Arial;sans-serif" w:hAnsi="Arial;sans-serif"/>
          <w:b w:val="false"/>
          <w:color w:val="000000"/>
          <w:sz w:val="20"/>
        </w:rPr>
        <w:t>We submitted a formal request to Noridian for coverage of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Lupus test under the new PLA Code, and on September 27, 2022, we received notice that Noridian has deemed our application for a Local Coverage Determination (LCD) to be valid, but our application is still pending. Ultimately receiving a favorable LCD is uncertain and may be time-consuming, resource intensive and require multiple quarterly or annual periods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val="false"/>
          <w:color w:val="000000"/>
          <w:sz w:val="20"/>
        </w:rPr>
        <w:t xml:space="preserve">complete and is subject to risks and uncertainties described in the section entitled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this Quarterly Report on Form 10-Q. In the meantime, we have continued to submit Medicare claims for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appeal denials and respond to requests for additional information. On January 31, 2024, CMS released a coverage article under which all multi-analyte proteomic testing will be considered within the scope of molecular diagnostic services (MolDX) and reviewed through their technology assessment process. The article listed several such tests, including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test, and requires all laboratories furnishing multi-analyte proteomics testing in MolDX jurisdictions to register with the DEX</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Diagnostics Exchange Registry and obtain a Z-Code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identifier. We were issued a Z-Code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in May 2024. To determine if the submitted tests are compliant with relevant policy requirements, these tests will undergo technical assessment by Palmetto GBA as part of the MolDX program.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pStyle w:val="TextBody"/>
        <w:bidi w:val="0"/>
        <w:spacing w:lineRule="auto" w:line="288" w:before="240" w:after="283"/>
        <w:jc w:val="left"/>
        <w:rPr/>
      </w:pPr>
      <w:r>
        <w:rPr>
          <w:rFonts w:ascii="Arial;sans-serif" w:hAnsi="Arial;sans-serif"/>
          <w:b w:val="false"/>
          <w:color w:val="000000"/>
          <w:sz w:val="20"/>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We've experienced moderate declines in test volume since the second half of 2023, as rheumatologists and patients adjust to these changes.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delivered during the three months ended September 30, 2024 declined by approximately 6% as compared to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delivered during the three months ended June 30, 2024 due to seasonal factors, including increased out-of-office time for physicians and weather-related events in the south-east of the United States.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Costs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w:t>
      </w:r>
    </w:p>
    <w:p>
      <w:pPr>
        <w:pStyle w:val="TextBody"/>
        <w:bidi w:val="0"/>
        <w:spacing w:lineRule="auto" w:line="288" w:before="240" w:after="283"/>
        <w:jc w:val="left"/>
        <w:rPr/>
      </w:pPr>
      <w:r>
        <w:rPr>
          <w:rFonts w:ascii="Arial;sans-serif" w:hAnsi="Arial;sans-serif"/>
          <w:b w:val="false"/>
          <w:color w:val="000000"/>
          <w:sz w:val="20"/>
        </w:rPr>
        <w:t>We expect that our costs of revenue will increase in the near-term, primarily due to projected increases in cost-per-test resulting from the expected additions of our T-Cell Biomarkers and RA Sub-Profile Biomarkers to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CTD.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expect that our selling, general and administrative expenses will increase in the near-term, primarily due to expected additions to headcount and associated increases for personnel costs, including stock-based compensation.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expect that our research and development expenses will remain relatively consistent in the near-term.</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expense consists of cash and non-cash interest expense associated with our financing arrangements, including the borrowings under our Amended Loan Agreement with Innovatus.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income consists of interest income earned on our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Comparison of the Three Months Ended September 30, 2024 and 2023 (in thousands):</w:t>
      </w:r>
    </w:p>
    <w:tbl>
      <w:tblPr>
        <w:tblW w:w="7769" w:type="dxa"/>
        <w:jc w:val="left"/>
        <w:tblInd w:w="0" w:type="dxa"/>
        <w:tblLayout w:type="fixed"/>
        <w:tblCellMar>
          <w:top w:w="28" w:type="dxa"/>
          <w:left w:w="28" w:type="dxa"/>
          <w:bottom w:w="28" w:type="dxa"/>
          <w:right w:w="28" w:type="dxa"/>
        </w:tblCellMar>
      </w:tblPr>
      <w:tblGrid>
        <w:gridCol w:w="1208"/>
        <w:gridCol w:w="1062"/>
        <w:gridCol w:w="1074"/>
        <w:gridCol w:w="109"/>
        <w:gridCol w:w="109"/>
        <w:gridCol w:w="109"/>
        <w:gridCol w:w="257"/>
        <w:gridCol w:w="848"/>
        <w:gridCol w:w="143"/>
        <w:gridCol w:w="143"/>
        <w:gridCol w:w="143"/>
        <w:gridCol w:w="143"/>
        <w:gridCol w:w="257"/>
        <w:gridCol w:w="848"/>
        <w:gridCol w:w="143"/>
        <w:gridCol w:w="109"/>
        <w:gridCol w:w="109"/>
        <w:gridCol w:w="109"/>
        <w:gridCol w:w="196"/>
        <w:gridCol w:w="4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(5,415)</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76" w:before="0" w:after="0"/>
        <w:jc w:val="left"/>
        <w:rPr/>
      </w:pPr>
      <w:r>
        <w:rPr>
          <w:rFonts w:ascii="Arial;sans-serif" w:hAnsi="Arial;sans-serif"/>
          <w:b w:val="false"/>
          <w:color w:val="000000"/>
          <w:sz w:val="20"/>
        </w:rPr>
        <w:t>Revenue decreased $0.9 million, or 6.8%, for the three months ended September 30, 2024 compared to the three months ended September 30, 2023, primarily due to a $1.2 million decrease related to revenue and accounts receivable adjustments recorded in the third quarter of 2024. Excluding these adjustments, revenue increased $0.3 million due to improved ASP (including prior period cash collections), partially offset by decreased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year-over-year volume. The $1.2 million decrease in revenue and accounts receivable adjustments were comprised of a $0.9 million reserve recognized related to accounts receivable for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testing, in addition to a $0.3 million reversal of other testing revenue relating to a current procedural terminology coding discrepancy for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Vasculitis.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delivered, which accounted for 93% of revenue and 89% of revenue in the three months ended September 30, 2024 and 2023, respectively, declined by approximately 6% in the three months ended September 30, 2024 as compared to the same period in 2023.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Costs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of revenue decreased $0.2 million, or 3.2%, for the three months ended September 30, 2024 compared to the three months ended September 30, 2023. This decrease was primarily due to a decrease of $0.3 million in facilities and allocated overhead expenses, a decrease of $0.2 million in royalty expenses, and a decrease of $0.1 million in materials and supplies expenses, partially offset by an increase of $0.3 million in shipping and handling costs resulting from increased cost-per-shipment, offset in-part by reduced shipping volume; and an increase of $0.1 million in direct labor. Gross margin as a percentage of revenue decreased to 55.8% for the three months ended September 30, 2024, compared to 57.4% for the three months ended September 30, 2023, primarily due to the changes to revenue and costs of revenue described above, including the $1.2 million in revenue adjustments, which impacted gross margin by approximately 400 basis points.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expenses decreased $1.2 million, or 10.7%, for the three months ended September 30, 2024 compared to the three months ended September 30, 2023. This decrease was primarily due to decreases of $0.7 million in employee-related expenses (including salaries, benefits and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compensation) resulting from reduced headcount, $0.4 million in professional service expenses, $0.2 million in facilities and allocated overhead expenses, $0.2 million in insurance expenses, and $0.1 million in legal expenses, partially offset by an increase of $0.4 million in commissions.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increased $0.1 million, or 5.8%, for the three months ended September 30, 2024 compared to the three months ended September 30, 2023, primarily due to an increase of $0.2 million in employee-related expenses (including salaries, benefits and stock-based compensation), partially offset by a decrease of $0.1 million in clinical trial expenses.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expense remained relatively consistent for the three months ended September 30, 2024 compared to the three months ended September 30, 2023.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income remained relatively consistent for the three months ended September 30, 2024 compared to the three months ended September 30, 2023.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Comparison of the Nine Months Ended September 30, 2024 and 2023 (in thousands):</w:t>
      </w:r>
    </w:p>
    <w:tbl>
      <w:tblPr>
        <w:tblW w:w="7733" w:type="dxa"/>
        <w:jc w:val="left"/>
        <w:tblInd w:w="0" w:type="dxa"/>
        <w:tblLayout w:type="fixed"/>
        <w:tblCellMar>
          <w:top w:w="28" w:type="dxa"/>
          <w:left w:w="28" w:type="dxa"/>
          <w:bottom w:w="28" w:type="dxa"/>
          <w:right w:w="28" w:type="dxa"/>
        </w:tblCellMar>
      </w:tblPr>
      <w:tblGrid>
        <w:gridCol w:w="1208"/>
        <w:gridCol w:w="1062"/>
        <w:gridCol w:w="1074"/>
        <w:gridCol w:w="109"/>
        <w:gridCol w:w="109"/>
        <w:gridCol w:w="109"/>
        <w:gridCol w:w="233"/>
        <w:gridCol w:w="859"/>
        <w:gridCol w:w="129"/>
        <w:gridCol w:w="129"/>
        <w:gridCol w:w="129"/>
        <w:gridCol w:w="129"/>
        <w:gridCol w:w="233"/>
        <w:gridCol w:w="859"/>
        <w:gridCol w:w="129"/>
        <w:gridCol w:w="109"/>
        <w:gridCol w:w="109"/>
        <w:gridCol w:w="109"/>
        <w:gridCol w:w="196"/>
        <w:gridCol w:w="55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(18,116)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40" w:after="283"/>
        <w:jc w:val="left"/>
        <w:rPr/>
      </w:pPr>
      <w:r>
        <w:rPr>
          <w:rFonts w:ascii="Arial;sans-serif" w:hAnsi="Arial;sans-serif"/>
          <w:b w:val="false"/>
          <w:color w:val="000000"/>
          <w:sz w:val="20"/>
        </w:rPr>
        <w:t>Revenue increased $3.2 million, or 8.3%, for the nine months ended September 30, 2024 compared to the nine months ended September 30, 2023, primarily due to improved ASP (including prior period cash collections), partially offset by decreased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year-over-year volume.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delivered, which accounted for 91% of revenue and 88% of revenue in the nine months ended September 30, 2024 and 2023, respectively, declined by approximately 13% in the nine months ended September 30, 2024 as compared to the same period in 2023.</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Costs of Revenue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Costs of revenue decreased $0.1 million, or 0.7%, for the nine months ended September 30, 2024 compared to the nine months ended September 30, 2023. This decrease was primarily due to a decrease of $1.0 million in materials and supplies expenses, and a decrease of $0.2 million in facilities and allocated overhead expenses, partially offset by an increase of $0.6 million in shipping and handling costs resulting from increased cost-per-shipment, offset in-part by reduced shipping volume; and an increase of $0.5 million in direct labor. Gross margin as a percentage of revenue increased to 58.7% for the nine months ended September 30, 2024, compared to 54.9% for the nine months ended September 30, 2023, primarily due to the changes to revenue and costs of revenue described above.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 decreased $4.0 million, or 11.5%, for the nine months ended September 30, 2024 compared to the nine months ended September 30, 2023. This decrease was primarily due to decreases of $1.9 million in employee-related expenses (including salaries, benefits and stock-based compensation) resulting from reduced headcount, $0.9 million in legal expenses and settlement costs, $0.5 million in insurance expenses, $0.4 million in professional services, $0.4 million in facilities and allocated overhead expenses, and $0.2 million in audit and tax services, partially offset by an increase of $0.3 million in commissions.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Research and development expenses decreased $0.1 million, or 1.8%, for the nine months ended September 30, 2024 compared to the nine months ended September 30, 2023. This decrease was primarily due to a decrease of $0.4 million in clinical trial expenses and a decrease of $0.1 million in facilities and allocated overhead expenses, partially offset by an increase of $0.4 million in employee-related expenses (including salaries, benefits and stock-based compensation).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expense decreased by $0.1 million, or 5.5%, for the nine months ended September 30, 2024 compared to the nine months ended September 30, 2023. This decrease was due to interest savings related to the term loan agreement entered into in September 2017 (the 2017 Term Loan), by and between the Company and Innovatus Life Sciences Lending Fund I, LP, as amended.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income decreased by $0.8 million, or 57.6%, for the nine months ended September 30, 2024 compared to the nine months ended September 30, 2023, primarily due to lower cash and cash equivalents balances of interest-earning accounts.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incurred net losses since our inception. For the nine months ended September 30, 2024 and 2023, we incurred a net loss of $11.4 million and $18.1 million, respectively, and we expect to incur additional losses in future periods. To date, we have generated only limited revenue, and, despite any estimates we may make regarding our ability to become profitable, we may never achieve revenue sufficient to offset our expenses. As of September 30, 2024, we had an accumulated deficit of $290.6 million and cash and cash equivalents of $22.0 million. Cash in excess of immediate requirements is invested in accordance with our investment policy, primarily with a view to liquidity and capital preservation. Currently, our funds are held in cash and money market funds.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Since becoming a public company, our primary sources of capital have been cash inflows from product sales, sales of our common stock and, to a lesser extent, borrowings under our 2017 Term Loan. In April 2023, we further amended the 2017 Term Loan, pursuant to which we prepaid $10.0 million of principal and amended additional terms of the agreement. See Note 4, Borrowings, to the unaudited condensed financial statements included in this Quarterly Report on Form 10-Q for additional information.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 applicable, will be cured if, (i) within thirty days of failing to achieve the performance covenant, we submit a new financial plan approved by our Board of Directors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In addition, upon the occurrence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As of September 30, 2024, we were in compliance with all covenants of the Amended Loan Agreement with Innovatus.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November 17, 2023, we filed a registration statement on Form S-3 covering the offering, from time to time, of up to $150.0 million of common stock, preferred stock, debt securities, warrants and units, all of which remained unsold at September 30, 2024.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On September 15, 2022, we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September 30, 2024, the Company has not sold any shares of its common stock pursuant to the Sales Agreement.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Funding Requirements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primary use of cash is to fund our operations as we continue to grow our business. We expect to continue to incur operating losses in the near term. We believe we have sufficient laboratory capacity to support increased test volume. Cash used to fund operating expenses is impacted by the timing of when we pay expenses, as reflected in the change in our outstanding accounts payable and accrued expenses.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(see Note 4, Borrowings, and Note 5, Commitments and Contingencies, to our unaudited financial statements included in this Quarterly Report on Form 10-Q). Based on our current business plan, we believe that our existing cash and cash equivalents and our anticipated future revenue, will be sufficient to meet our anticipated cash requirements for at least the next 12 months from the date of this filing.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estimate of the period of time through which our financial resources will be adequate to support our operations is a forward-looking statement and involves risks and uncertainties. Actual results could vary as a result of a number of factors, including:</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ability to achieve sufficient market acceptance, coverage and adequate reimbursement from third-party payors and adequate market share and revenue for our testing products;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our ability to maintain and grow sales of our AVISE</w:t>
      </w:r>
      <w:r>
        <w:rPr>
          <w:rFonts w:ascii="Arial;sans-serif" w:hAnsi="Arial;sans-serif"/>
          <w:b w:val="false"/>
          <w:color w:val="000000"/>
          <w:sz w:val="13"/>
        </w:rPr>
        <w:t>®</w:t>
      </w:r>
      <w:r>
        <w:rPr>
          <w:color w:val="000000"/>
        </w:rPr>
        <w:t> </w:t>
      </w:r>
      <w:r>
        <w:rPr>
          <w:rFonts w:ascii="Arial;sans-serif" w:hAnsi="Arial;sans-serif"/>
          <w:b w:val="false"/>
          <w:color w:val="000000"/>
          <w:sz w:val="20"/>
        </w:rPr>
        <w:t>testing products, as well as the costs associated with conducting clinical studies to demonstrate the utility of our products and support reimbursement efforts;</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fluctuations in working capital;</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costs of developing our product pipeline, including the costs associated with conducting our ongoing and future validation, utility and outcome studies as well as the success of our development efforts; and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extent to which we establish additional partnerships or in-license, acquire or invest in complementary businesses or products as well as the success of our existing partnerships and/or in-licenses.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 (in thousands):</w:t>
      </w:r>
    </w:p>
    <w:tbl>
      <w:tblPr>
        <w:tblW w:w="7506" w:type="dxa"/>
        <w:jc w:val="left"/>
        <w:tblInd w:w="0" w:type="dxa"/>
        <w:tblLayout w:type="fixed"/>
        <w:tblCellMar>
          <w:top w:w="28" w:type="dxa"/>
          <w:left w:w="28" w:type="dxa"/>
          <w:bottom w:w="28" w:type="dxa"/>
          <w:right w:w="28" w:type="dxa"/>
        </w:tblCellMar>
      </w:tblPr>
      <w:tblGrid>
        <w:gridCol w:w="1557"/>
        <w:gridCol w:w="1369"/>
        <w:gridCol w:w="1378"/>
        <w:gridCol w:w="109"/>
        <w:gridCol w:w="109"/>
        <w:gridCol w:w="109"/>
        <w:gridCol w:w="232"/>
        <w:gridCol w:w="856"/>
        <w:gridCol w:w="129"/>
        <w:gridCol w:w="129"/>
        <w:gridCol w:w="129"/>
        <w:gridCol w:w="129"/>
        <w:gridCol w:w="232"/>
        <w:gridCol w:w="856"/>
        <w:gridCol w:w="183"/>
      </w:tblGrid>
      <w:tr>
        <w:trPr/>
        <w:tc>
          <w:tcPr>
            <w:tcW w:w="15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(14,458)</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(33,943)</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from Operating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operating activities for the nine months ended September 30, 2024 was $13.6 million, primarily resulting from (i) our net loss of $11.4 million adjusted for non-cash charges of $3.7 million primarily related to stock-based compensation, depreciation, amortization and non-cash lease expense and (ii) changes in our net operating assets of $6.0 million primarily related to net increases in accounts receivable and net decreases in accounts payable, operating lease liabilities and accrued and other current liabilities, partially offset by net decreases in prepaid expenses. The increase in accounts receivable was primarily due to delays in claim submission as part of our revenue cycle management initiatives.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operating activities for the nine months ended September 30, 2023 was $22.8 million, primarily resulting from (i) our net loss of $18.1 million adjusted for non-cash charges of $5.9 million primarily related to stock-based compensation, depreciation, amortization, non-cash lease expense and non-cash interest and (ii) changes in our net operating assets of $10.5 million primarily related to net increases in accounts receivable and accrued and other current liabilities, partially offset by net decreases in accounts payable, prepaid expenses, other current assets and operating lease liabilities. The increase in accounts receivable was primarily due to delays in claim submission as part of our revenue cycle management initiatives and delayed claim processing by Medicare due to a request for medical records on submitted claims.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from Investing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investing activities for the nine months ended September 30, 2024 and 2023 was $0.4 million and $0.7 million, respectively, due to purchases of property and equipment.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Flows from Financing Activities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financing activities for the nine months ended September 30, 2024 was $0.4 million, primarily resulting from payments on finance lease and notes payable obligations, partially offset by proceeds from purchases under the Company's 2019 Employee Stock Purchase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Net cash used in financing activities for the nine months ended September 30, 2023 was $10.4 million, primarily resulting from the Term Loan Prepayment of $10.0 million.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Our management’s discussion and analysis of our financial condition and results of operations is based on our condensed financial statements, which have been prepared in accordance with accounting principles generally accepted in the United States (GAAP). The year-end condensed balance sheets data was derived from 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40" w:after="283"/>
        <w:jc w:val="left"/>
        <w:rPr/>
      </w:pPr>
      <w:r>
        <w:rPr>
          <w:rFonts w:ascii="Arial;sans-serif" w:hAnsi="Arial;sans-serif"/>
          <w:b w:val="false"/>
          <w:color w:val="000000"/>
          <w:sz w:val="20"/>
        </w:rPr>
        <w:t>For a description of our critical accounting estimates, please see the section entitled "</w:t>
      </w:r>
      <w:r>
        <w:rPr>
          <w:rFonts w:ascii="Arial;sans-serif" w:hAnsi="Arial;sans-serif"/>
          <w:b w:val="false"/>
          <w:i/>
          <w:color w:val="000000"/>
          <w:sz w:val="20"/>
        </w:rPr>
        <w:t>Management's Discussion and Analysis of Financial Condition and Results of Operations - Critical Accounting Estimates</w:t>
      </w:r>
      <w:r>
        <w:rPr>
          <w:rFonts w:ascii="Arial;sans-serif" w:hAnsi="Arial;sans-serif"/>
          <w:b w:val="false"/>
          <w:color w:val="000000"/>
          <w:sz w:val="20"/>
        </w:rPr>
        <w:t>" contained in our Annual Report on Form 10-K for the year ended December 31, 2023 filed with the Securities and Exchange Commission (SEC) on March 18, 2024. There have been no significant changes in our critical accounting policies and estimates during the nine months ended September 30, 2024 as compared to the critical accounting policies and estimates disclosed in the Management’s Discussion and Analysis of Financial Condition and Operations included in our Annual Report on Form 10-K for the year ended December 31, 2023, filed with the SEC on March 18, 2024.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Please see Note 2, Summary of Significant Accounting Policies, to the unaudited condensed financial statements included in this Quarterly Report on Form 10-Q for a summary of recent accounting pronouncements.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JOBS Act Accounting Election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Jumpstart Our Business Startups Act of 2012 (the JOBS Act), contains provisions that, among other things, reduce certain reporting requirements for an "emerging growth company." The JOBS Act permits an "emerging growth company" like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will remain an emerging growth company until the last day of our fiscal year following the fifth anniversary of the date of the first sale of our common equity securities pursuant to an effective registration statement under the Securities Act of 1933, as amended, which will occur on December 31,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September 30, 2024, our disclosure controls and procedures were effective at a reasonable level of assurance.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during the three months ended September 30, 2024 that have materially affected, or are reasonably likely to materially affect, our internal control over financial reporting.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Inherent Limitations on Effectiveness of Controls and Procedures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October 2023, we resolved an investigation with the U.S. Attorney’s Office for the District of Massachusetts that was initiated by a qui tam lawsuit. Pursuant to a settlement agreement entered into by and between us and the U.S. Department of Justice (the Settlement Agreement), we made a single lump-sum remittance to the government in the amount of $0.7 million, including interest, in connection with specimen processing arrangements that we historically had with physicians. The U.S. Attorney’s Office dismissed this “covered conduct” in the qui tam lawsuit with prejudice, while non-covered conduct was dismissed without prejudice. The Department of Justice excused itself from the case in connection with the settlement. In November 2023, the complaint was unsealed by the court and served on us by the relator. We filed a motion to dismiss the complaint. In February 2024, the relator filed a motion for leave to amend the complaint. We opposed this motion, and all motions are still pending. We cannot predict when these matters will be resolved, the outcome of these matters, or their potential impact, which may materially and adversely affect our business, prospects, and financial condition. We intend to vigorously defend against the claims being asserted in the complaint.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participation in federal healthcare programs is not affected by the Settlement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in Part I, Item 1A, "Risk Factors" of our Annual Report on Form 10-K for the year ended December 31, 2023 and Part II, Item 1A, “Risk Factors” of our Quarterly Report on Form 10-Q for the quarter ended June 30, 2024.</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Rule 10b5-1 trading arrangements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nine months ended September 30, 2024, none of our directors or officers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43"/>
        <w:gridCol w:w="301"/>
        <w:gridCol w:w="302"/>
        <w:gridCol w:w="1794"/>
        <w:gridCol w:w="1603"/>
        <w:gridCol w:w="1607"/>
        <w:gridCol w:w="183"/>
        <w:gridCol w:w="183"/>
        <w:gridCol w:w="167"/>
        <w:gridCol w:w="304"/>
        <w:gridCol w:w="269"/>
        <w:gridCol w:w="179"/>
        <w:gridCol w:w="220"/>
        <w:gridCol w:w="220"/>
        <w:gridCol w:w="221"/>
        <w:gridCol w:w="317"/>
        <w:gridCol w:w="317"/>
        <w:gridCol w:w="319"/>
        <w:gridCol w:w="394"/>
        <w:gridCol w:w="394"/>
        <w:gridCol w:w="568"/>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Filing Date</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Filed/Furnished Herewith</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5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Amended and Restated Certificate of Incorporation.</w:t>
              </w:r>
            </w:hyperlink>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9/23/2019</w:t>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Amended and Restated Bylaws.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3/22/2021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3.3</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Amendment to Amended and Restated Bylaws, dated January 19, 2023</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1/23/2023</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Specimen stock certificate evidencing the shares of common stock.</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Amended and Restated Investors' Rights Agreement, dated July 12, 2019, by and among the Company and certain of its stockholders.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Amended and Restated Stockholders' Agreement, dated July 12, 2019, by and among the Company and certain of its stockholders.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Form of Common Stock Purchase Warrant issued to investors by the Company in connection with private placement financings.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Form of Common Stock Purchase Warrant to purchase common stock issued to investors by the Company in 2016.</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4.6</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Form of Exchange Warrant</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8/9/2021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Employment Agreement, dated as of September 1, 2024, by and between the Company and Jeffrey Black.</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8/2/2024</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11-093024.htm">
              <w:r>
                <w:rPr>
                  <w:rStyle w:val="InternetLink"/>
                  <w:rFonts w:ascii="Arial;sans-serif" w:hAnsi="Arial;sans-serif"/>
                  <w:b w:val="false"/>
                  <w:color w:val="0000FF"/>
                  <w:sz w:val="16"/>
                  <w:u w:val="single"/>
                </w:rPr>
                <w:t>Certificate of Principal Executive Officer, pursuant to Rule 13a-14(a)/15d-14(a), as adopted pursuant to Section 302 of the Sarbanes-Oxley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12-093024.htm">
              <w:r>
                <w:rPr>
                  <w:rStyle w:val="InternetLink"/>
                  <w:rFonts w:ascii="Arial;sans-serif" w:hAnsi="Arial;sans-serif"/>
                  <w:b w:val="false"/>
                  <w:color w:val="0000FF"/>
                  <w:sz w:val="16"/>
                  <w:u w:val="single"/>
                </w:rPr>
                <w:t>Certificate of Principal Financial Officer, pursuant to Rule 13a-14(a)/15d-14(a), as adopted pursuant to Section 302 of the Sarbanes-Oxley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21-093024.htm">
              <w:r>
                <w:rPr>
                  <w:rStyle w:val="InternetLink"/>
                  <w:rFonts w:ascii="Arial;sans-serif" w:hAnsi="Arial;sans-serif"/>
                  <w:b w:val="false"/>
                  <w:color w:val="0000FF"/>
                  <w:sz w:val="16"/>
                  <w:u w:val="single"/>
                </w:rPr>
                <w:t>Certifications Pursuant to U.S.C. Section 1350, As Adopted Pursuant to Section 906 of the Public Company Accounting Reform and Investor Protection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Labels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cover page from the Company's Quarterly Report on Form 10-Q for the quarter ended September 30, 2024, has been formatted in Inline XBRL.</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bl>
    <w:p>
      <w:pPr>
        <w:pStyle w:val="TextBody"/>
        <w:bidi w:val="0"/>
        <w:spacing w:before="0" w:after="0"/>
        <w:jc w:val="center"/>
        <w:rPr/>
      </w:pPr>
      <w:r>
        <w:rPr/>
      </w:r>
    </w:p>
    <w:p>
      <w:pPr>
        <w:pStyle w:val="TextBody"/>
        <w:bidi w:val="0"/>
        <w:spacing w:lineRule="auto" w:line="288" w:before="0" w:after="0"/>
        <w:ind w:left="0" w:right="0" w:hanging="720"/>
        <w:jc w:val="left"/>
        <w:rPr/>
      </w:pPr>
      <w:r>
        <w:rPr>
          <w:rFonts w:ascii="Arial;sans-serif" w:hAnsi="Arial;sans-serif"/>
          <w:b/>
          <w:color w:val="000000"/>
          <w:sz w:val="20"/>
        </w:rPr>
        <w:t>*     </w:t>
      </w:r>
      <w:r>
        <w:rPr>
          <w:rFonts w:ascii="Arial;sans-serif" w:hAnsi="Arial;sans-serif"/>
          <w:b w:val="false"/>
          <w:color w:val="000000"/>
          <w:sz w:val="20"/>
        </w:rPr>
        <w:t>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lineRule="auto" w:line="288" w:before="240" w:after="283"/>
        <w:ind w:left="0" w:right="0" w:hanging="720"/>
        <w:jc w:val="left"/>
        <w:rPr/>
      </w:pPr>
      <w:r>
        <w:rPr>
          <w:rFonts w:ascii="Arial;sans-serif" w:hAnsi="Arial;sans-serif"/>
          <w:b/>
          <w:color w:val="000000"/>
          <w:sz w:val="20"/>
        </w:rPr>
        <w:t>#     </w:t>
      </w:r>
      <w:r>
        <w:rPr>
          <w:rFonts w:ascii="Arial;sans-serif" w:hAnsi="Arial;sans-serif"/>
          <w:b w:val="false"/>
          <w:color w:val="000000"/>
          <w:sz w:val="20"/>
        </w:rPr>
        <w:t>Management Compensation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30" w:type="dxa"/>
        <w:jc w:val="left"/>
        <w:tblInd w:w="0" w:type="dxa"/>
        <w:tblLayout w:type="fixed"/>
        <w:tblCellMar>
          <w:top w:w="28" w:type="dxa"/>
          <w:left w:w="28" w:type="dxa"/>
          <w:bottom w:w="28" w:type="dxa"/>
          <w:right w:w="28" w:type="dxa"/>
        </w:tblCellMar>
      </w:tblPr>
      <w:tblGrid>
        <w:gridCol w:w="846"/>
        <w:gridCol w:w="743"/>
        <w:gridCol w:w="751"/>
        <w:gridCol w:w="125"/>
        <w:gridCol w:w="125"/>
        <w:gridCol w:w="125"/>
        <w:gridCol w:w="1143"/>
        <w:gridCol w:w="1143"/>
        <w:gridCol w:w="1629"/>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EXAGEN INC.</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12,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12,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G. Black</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G. Black</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580"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580" w:before="0" w:after="0"/>
        <w:jc w:val="center"/>
        <w:rPr>
          <w:rFonts w:ascii="Arial;sans-serif" w:hAnsi="Arial;sans-serif"/>
          <w:b/>
          <w:color w:val="000000"/>
          <w:sz w:val="20"/>
        </w:rPr>
      </w:pPr>
      <w:r>
        <w:rPr>
          <w:rFonts w:ascii="Arial;sans-serif" w:hAnsi="Arial;sans-serif"/>
          <w:b/>
          <w:color w:val="000000"/>
          <w:sz w:val="20"/>
        </w:rPr>
        <w:t>CERTIFICATION OF CHIEF EXECUTIVE OFFICER AND CHIEF FINANCIAL OFFICER</w:t>
      </w:r>
    </w:p>
    <w:p>
      <w:pPr>
        <w:pStyle w:val="TextBody"/>
        <w:bidi w:val="0"/>
        <w:spacing w:lineRule="auto" w:line="400"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I, John Aballi, certify that:</w:t>
      </w:r>
    </w:p>
    <w:p>
      <w:pPr>
        <w:pStyle w:val="TextBody"/>
        <w:bidi w:val="0"/>
        <w:spacing w:lineRule="auto" w:line="400" w:before="24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Exagen Inc.;</w:t>
      </w:r>
    </w:p>
    <w:p>
      <w:pPr>
        <w:pStyle w:val="TextBody"/>
        <w:bidi w:val="0"/>
        <w:spacing w:lineRule="auto" w:line="400" w:before="180" w:after="283"/>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180" w:after="283"/>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180" w:after="283"/>
        <w:jc w:val="left"/>
        <w:rPr/>
      </w:pPr>
      <w:r>
        <w:rPr>
          <w:rFonts w:ascii="Arial;sans-serif" w:hAnsi="Arial;sans-serif"/>
          <w:b w:val="false"/>
          <w:color w:val="000000"/>
          <w:sz w:val="20"/>
        </w:rPr>
        <w:t>4.</w:t>
      </w:r>
      <w:r>
        <w:rPr>
          <w:color w:val="000000"/>
        </w:rPr>
        <w:t xml:space="preserve">              </w:t>
      </w: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3"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3" w:before="180" w:after="283"/>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3" w:before="180" w:after="283"/>
        <w:ind w:left="0" w:right="0" w:firstLine="36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180" w:after="283"/>
        <w:ind w:left="0" w:right="0" w:firstLine="36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180" w:after="283"/>
        <w:jc w:val="left"/>
        <w:rPr/>
      </w:pP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180" w:after="180"/>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bl>
      <w:tblPr>
        <w:tblW w:w="5775" w:type="dxa"/>
        <w:jc w:val="left"/>
        <w:tblInd w:w="0" w:type="dxa"/>
        <w:tblLayout w:type="fixed"/>
        <w:tblCellMar>
          <w:top w:w="28" w:type="dxa"/>
          <w:left w:w="28" w:type="dxa"/>
          <w:bottom w:w="28" w:type="dxa"/>
          <w:right w:w="28" w:type="dxa"/>
        </w:tblCellMar>
      </w:tblPr>
      <w:tblGrid>
        <w:gridCol w:w="846"/>
        <w:gridCol w:w="743"/>
        <w:gridCol w:w="751"/>
        <w:gridCol w:w="1002"/>
        <w:gridCol w:w="1002"/>
        <w:gridCol w:w="143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12, 2024</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234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234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34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80"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580"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400"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400" w:before="0" w:after="0"/>
        <w:jc w:val="left"/>
        <w:rPr>
          <w:rFonts w:ascii="Arial;sans-serif" w:hAnsi="Arial;sans-serif"/>
          <w:b w:val="false"/>
          <w:color w:val="000000"/>
          <w:sz w:val="20"/>
        </w:rPr>
      </w:pPr>
      <w:r>
        <w:rPr>
          <w:rFonts w:ascii="Arial;sans-serif" w:hAnsi="Arial;sans-serif"/>
          <w:b w:val="false"/>
          <w:color w:val="000000"/>
          <w:sz w:val="20"/>
        </w:rPr>
        <w:t>I, Jeffrey G. Black, certify that:</w:t>
      </w:r>
    </w:p>
    <w:p>
      <w:pPr>
        <w:pStyle w:val="TextBody"/>
        <w:bidi w:val="0"/>
        <w:spacing w:lineRule="auto" w:line="400" w:before="240" w:after="283"/>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I have reviewed this Quarterly Report on Form 10-Q of Exagen Inc.;</w:t>
      </w:r>
    </w:p>
    <w:p>
      <w:pPr>
        <w:pStyle w:val="TextBody"/>
        <w:bidi w:val="0"/>
        <w:spacing w:lineRule="auto" w:line="400" w:before="180" w:after="283"/>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180" w:after="283"/>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180" w:after="283"/>
        <w:jc w:val="left"/>
        <w:rPr/>
      </w:pPr>
      <w:r>
        <w:rPr>
          <w:rFonts w:ascii="Arial;sans-serif" w:hAnsi="Arial;sans-serif"/>
          <w:b w:val="false"/>
          <w:color w:val="000000"/>
          <w:sz w:val="20"/>
        </w:rPr>
        <w:t>4.</w:t>
      </w:r>
      <w:r>
        <w:rPr>
          <w:color w:val="000000"/>
        </w:rPr>
        <w:t xml:space="preserve">              </w:t>
      </w: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180" w:after="283"/>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180" w:after="283"/>
        <w:ind w:left="0" w:right="0" w:firstLine="36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180" w:after="283"/>
        <w:ind w:left="0" w:right="0" w:firstLine="36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180" w:after="283"/>
        <w:jc w:val="left"/>
        <w:rPr/>
      </w:pP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180" w:after="180"/>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bl>
      <w:tblPr>
        <w:tblW w:w="6254" w:type="dxa"/>
        <w:jc w:val="left"/>
        <w:tblInd w:w="0" w:type="dxa"/>
        <w:tblLayout w:type="fixed"/>
        <w:tblCellMar>
          <w:top w:w="28" w:type="dxa"/>
          <w:left w:w="28" w:type="dxa"/>
          <w:bottom w:w="28" w:type="dxa"/>
          <w:right w:w="28" w:type="dxa"/>
        </w:tblCellMar>
      </w:tblPr>
      <w:tblGrid>
        <w:gridCol w:w="846"/>
        <w:gridCol w:w="743"/>
        <w:gridCol w:w="751"/>
        <w:gridCol w:w="1145"/>
        <w:gridCol w:w="1145"/>
        <w:gridCol w:w="162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November 12, 2024</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G. Black</w:t>
            </w:r>
          </w:p>
        </w:tc>
      </w:tr>
      <w:tr>
        <w:trPr/>
        <w:tc>
          <w:tcPr>
            <w:tcW w:w="234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G. Black</w:t>
            </w:r>
          </w:p>
        </w:tc>
      </w:tr>
      <w:tr>
        <w:trPr/>
        <w:tc>
          <w:tcPr>
            <w:tcW w:w="234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40"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2"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right"/>
        <w:rPr/>
      </w:pPr>
      <w:r>
        <w:rPr/>
      </w:r>
    </w:p>
    <w:p>
      <w:pPr>
        <w:pStyle w:val="TextBody"/>
        <w:bidi w:val="0"/>
        <w:spacing w:lineRule="auto" w:line="400" w:before="24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Pursuant to 18 U.S.C. Section 1350, as adopted pursuant to Section 906 of the Sarbanes-Oxley Act of 2002, the undersigned officer of Exagen Inc. (the "Company") hereby certifies, to such officer's knowledge, that:</w:t>
      </w:r>
    </w:p>
    <w:p>
      <w:pPr>
        <w:pStyle w:val="TextBody"/>
        <w:bidi w:val="0"/>
        <w:spacing w:lineRule="auto" w:line="400" w:before="18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accompanying quarterly report on Form 10-Q of the Company for the quarterly period ended September 30, 2024 (the "Report") fully complies with the requirements of Section 13(a) or 15(d), as applicable, of the Securities Exchange Act of 1934, as amended; and</w:t>
      </w:r>
    </w:p>
    <w:p>
      <w:pPr>
        <w:pStyle w:val="TextBody"/>
        <w:bidi w:val="0"/>
        <w:spacing w:lineRule="auto" w:line="400" w:before="180" w:after="283"/>
        <w:jc w:val="left"/>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Dated: November 12, 2024</w:t>
      </w:r>
    </w:p>
    <w:tbl>
      <w:tblPr>
        <w:tblW w:w="3449" w:type="dxa"/>
        <w:jc w:val="right"/>
        <w:tblInd w:w="0" w:type="dxa"/>
        <w:tblLayout w:type="fixed"/>
        <w:tblCellMar>
          <w:top w:w="28" w:type="dxa"/>
          <w:left w:w="28" w:type="dxa"/>
          <w:bottom w:w="28" w:type="dxa"/>
          <w:right w:w="28" w:type="dxa"/>
        </w:tblCellMar>
      </w:tblPr>
      <w:tblGrid>
        <w:gridCol w:w="1099"/>
        <w:gridCol w:w="967"/>
        <w:gridCol w:w="1383"/>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ableContents"/>
              <w:bidi w:val="0"/>
              <w:spacing w:lineRule="auto" w:line="288" w:before="0" w:after="4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lineRule="auto" w:line="400" w:before="4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400" w:before="24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Pursuant to 18 U.S.C. Section 1350, as adopted pursuant to Section 906 of the Sarbanes-Oxley Act of 2002, the undersigned officer of Exagen Inc. (the "Company") hereby certifies, to such officer's knowledge, that:</w:t>
      </w:r>
    </w:p>
    <w:p>
      <w:pPr>
        <w:pStyle w:val="TextBody"/>
        <w:bidi w:val="0"/>
        <w:spacing w:lineRule="auto" w:line="400" w:before="18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accompanying quarterly report on Form 10-Q of the Company for the quarterly period ended September 30, 2024 (the "Report") fully complies with the requirements of Section 13(a) or 15(d), as applicable, of the Securities Exchange Act of 1934, as amended; and</w:t>
      </w:r>
    </w:p>
    <w:p>
      <w:pPr>
        <w:pStyle w:val="TextBody"/>
        <w:bidi w:val="0"/>
        <w:spacing w:lineRule="auto" w:line="400" w:before="180" w:after="283"/>
        <w:jc w:val="left"/>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333"/>
        <w:jc w:val="left"/>
        <w:rPr>
          <w:rFonts w:ascii="Arial;sans-serif" w:hAnsi="Arial;sans-serif"/>
          <w:b w:val="false"/>
          <w:color w:val="000000"/>
          <w:sz w:val="20"/>
        </w:rPr>
      </w:pPr>
      <w:r>
        <w:rPr>
          <w:rFonts w:ascii="Arial;sans-serif" w:hAnsi="Arial;sans-serif"/>
          <w:b w:val="false"/>
          <w:color w:val="000000"/>
          <w:sz w:val="20"/>
        </w:rPr>
        <w:t>Dated: November 12, 2024</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30" w:type="dxa"/>
        <w:jc w:val="right"/>
        <w:tblInd w:w="0" w:type="dxa"/>
        <w:tblLayout w:type="fixed"/>
        <w:tblCellMar>
          <w:top w:w="28" w:type="dxa"/>
          <w:left w:w="28" w:type="dxa"/>
          <w:bottom w:w="28" w:type="dxa"/>
          <w:right w:w="28" w:type="dxa"/>
        </w:tblCellMar>
      </w:tblPr>
      <w:tblGrid>
        <w:gridCol w:w="1254"/>
        <w:gridCol w:w="1105"/>
        <w:gridCol w:w="1571"/>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G. Black</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G. Black</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lineRule="auto" w:line="400" w:before="4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74737/000119312519252366/d769261dex31.htm" TargetMode="External"/><Relationship Id="rId3" Type="http://schemas.openxmlformats.org/officeDocument/2006/relationships/hyperlink" Target="https://www.sec.gov/Archives/edgar/data/1274737/000127473721000017/ex31-amendedandrestatedbyl.htm" TargetMode="External"/><Relationship Id="rId4" Type="http://schemas.openxmlformats.org/officeDocument/2006/relationships/hyperlink" Target="https://www.sec.gov/ix?doc=/Archives/edgar/data/0001274737/000127473723000004/exdx-20230123.htm" TargetMode="External"/><Relationship Id="rId5" Type="http://schemas.openxmlformats.org/officeDocument/2006/relationships/hyperlink" Target="https://www.sec.gov/Archives/edgar/data/1274737/000119312519240403/d692844dex41.htm" TargetMode="External"/><Relationship Id="rId6" Type="http://schemas.openxmlformats.org/officeDocument/2006/relationships/hyperlink" Target="https://www.sec.gov/Archives/edgar/data/1274737/000119312519228011/d692844dex42.htm" TargetMode="External"/><Relationship Id="rId7" Type="http://schemas.openxmlformats.org/officeDocument/2006/relationships/hyperlink" Target="https://www.sec.gov/Archives/edgar/data/1274737/000119312519228011/d692844dex43.htm" TargetMode="External"/><Relationship Id="rId8" Type="http://schemas.openxmlformats.org/officeDocument/2006/relationships/hyperlink" Target="https://www.sec.gov/Archives/edgar/data/1274737/000119312519228011/d692844dex44.htm" TargetMode="External"/><Relationship Id="rId9" Type="http://schemas.openxmlformats.org/officeDocument/2006/relationships/hyperlink" Target="https://www.sec.gov/Archives/edgar/data/1274737/000119312519228011/d692844dex48.htm" TargetMode="External"/><Relationship Id="rId10" Type="http://schemas.openxmlformats.org/officeDocument/2006/relationships/hyperlink" Target="https://www.sec.gov/Archives/edgar/data/1274737/000127473721000094/ex45-formofprexfundedwarra.htm" TargetMode="External"/><Relationship Id="rId11" Type="http://schemas.openxmlformats.org/officeDocument/2006/relationships/hyperlink" Target="https://www.sec.gov/Archives/edgar/data/1274737/000127473724000071/exagencfoemploymentagreeme.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18449</Words>
  <Characters>103123</Characters>
  <CharactersWithSpaces>121040</CharactersWithSpaces>
  <Paragraphs>1635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