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2"/>
          <w:szCs w:val="22"/>
          <w:b w:val="1"/>
          <w:bCs w:val="1"/>
          <w:color w:val="auto"/>
        </w:rPr>
        <w:t>UNITED STATES</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0"/>
          <w:szCs w:val="20"/>
          <w:b w:val="1"/>
          <w:bCs w:val="1"/>
          <w:color w:val="auto"/>
        </w:rPr>
        <w:t>Washington, D.C. 20549</w:t>
      </w:r>
    </w:p>
    <w:p>
      <w:pPr>
        <w:spacing w:after="0" w:line="18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SCHEDULE 13G</w:t>
      </w:r>
    </w:p>
    <w:p>
      <w:pPr>
        <w:spacing w:after="0" w:line="200" w:lineRule="exact"/>
        <w:rPr>
          <w:sz w:val="24"/>
          <w:szCs w:val="24"/>
          <w:color w:val="auto"/>
        </w:rPr>
      </w:pPr>
    </w:p>
    <w:p>
      <w:pPr>
        <w:spacing w:after="0" w:line="213"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ind w:right="-159"/>
        <w:spacing w:after="0"/>
        <w:rPr>
          <w:sz w:val="20"/>
          <w:szCs w:val="20"/>
          <w:color w:val="auto"/>
        </w:rPr>
      </w:pPr>
      <w:r>
        <w:rPr>
          <w:rFonts w:ascii="Arial" w:cs="Arial" w:eastAsia="Arial" w:hAnsi="Arial"/>
          <w:sz w:val="20"/>
          <w:szCs w:val="20"/>
          <w:b w:val="1"/>
          <w:bCs w:val="1"/>
          <w:color w:val="auto"/>
        </w:rPr>
        <w:t>(Amendment No. 2)*</w:t>
      </w:r>
    </w:p>
    <w:p>
      <w:pPr>
        <w:spacing w:after="0" w:line="37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Exagen Inc.</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Common Stock</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30068x103</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December 31, 2021</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(Date of Event which Requires Filing of this Statement)</w:t>
      </w:r>
    </w:p>
    <w:p>
      <w:pPr>
        <w:spacing w:after="0" w:line="39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360" w:lineRule="exact"/>
        <w:rPr>
          <w:sz w:val="24"/>
          <w:szCs w:val="24"/>
          <w:color w:val="auto"/>
        </w:rPr>
      </w:pPr>
    </w:p>
    <w:p>
      <w:pPr>
        <w:jc w:val="both"/>
        <w:ind w:left="4660" w:right="4520" w:firstLine="4"/>
        <w:spacing w:after="0" w:line="291" w:lineRule="auto"/>
        <w:tabs>
          <w:tab w:leader="none" w:pos="4855" w:val="left"/>
        </w:tabs>
        <w:numPr>
          <w:ilvl w:val="1"/>
          <w:numId w:val="1"/>
        </w:numPr>
        <w:rPr>
          <w:rFonts w:ascii="Arial" w:cs="Arial" w:eastAsia="Arial" w:hAnsi="Arial"/>
          <w:sz w:val="16"/>
          <w:szCs w:val="16"/>
          <w:color w:val="auto"/>
        </w:rPr>
      </w:pPr>
      <w:r>
        <w:rPr>
          <w:rFonts w:ascii="Arial" w:cs="Arial" w:eastAsia="Arial" w:hAnsi="Arial"/>
          <w:sz w:val="16"/>
          <w:szCs w:val="16"/>
          <w:color w:val="auto"/>
        </w:rPr>
        <w:t>] Rule 13d-1(b) [X] Rule 13d-1(c)</w:t>
      </w:r>
    </w:p>
    <w:p>
      <w:pPr>
        <w:ind w:left="4860" w:hanging="196"/>
        <w:spacing w:after="0"/>
        <w:tabs>
          <w:tab w:leader="none" w:pos="4860" w:val="left"/>
        </w:tabs>
        <w:numPr>
          <w:ilvl w:val="1"/>
          <w:numId w:val="1"/>
        </w:numPr>
        <w:rPr>
          <w:rFonts w:ascii="Arial" w:cs="Arial" w:eastAsia="Arial" w:hAnsi="Arial"/>
          <w:sz w:val="18"/>
          <w:szCs w:val="18"/>
          <w:color w:val="auto"/>
        </w:rPr>
      </w:pPr>
      <w:r>
        <w:rPr>
          <w:rFonts w:ascii="Arial" w:cs="Arial" w:eastAsia="Arial" w:hAnsi="Arial"/>
          <w:sz w:val="18"/>
          <w:szCs w:val="18"/>
          <w:color w:val="auto"/>
        </w:rPr>
        <w:t>] Rule 13d-1(d)</w:t>
      </w:r>
    </w:p>
    <w:p>
      <w:pPr>
        <w:spacing w:after="0" w:line="359" w:lineRule="exact"/>
        <w:rPr>
          <w:rFonts w:ascii="Arial" w:cs="Arial" w:eastAsia="Arial" w:hAnsi="Arial"/>
          <w:sz w:val="18"/>
          <w:szCs w:val="18"/>
          <w:color w:val="auto"/>
        </w:rPr>
      </w:pPr>
    </w:p>
    <w:p>
      <w:pPr>
        <w:ind w:right="620"/>
        <w:spacing w:after="0" w:line="342" w:lineRule="auto"/>
        <w:rPr>
          <w:rFonts w:ascii="Arial" w:cs="Arial" w:eastAsia="Arial" w:hAnsi="Arial"/>
          <w:sz w:val="18"/>
          <w:szCs w:val="18"/>
          <w:color w:val="auto"/>
        </w:rPr>
      </w:pPr>
      <w:r>
        <w:rPr>
          <w:rFonts w:ascii="Arial" w:cs="Arial" w:eastAsia="Arial" w:hAnsi="Arial"/>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72"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00"/>
          </w:cols>
          <w:pgMar w:left="320" w:top="220" w:right="1079" w:bottom="1440" w:gutter="0" w:footer="0" w:header="0"/>
        </w:sectPr>
      </w:pPr>
    </w:p>
    <w:bookmarkStart w:id="1" w:name="page2"/>
    <w:bookmarkEnd w:id="1"/>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30068x103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6755130" cy="4543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5130" cy="454342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20" w:right="7260" w:hanging="380"/>
        <w:spacing w:after="0" w:line="312" w:lineRule="auto"/>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NAME OF REPORTING PERSON </w:t>
      </w:r>
      <w:r>
        <w:rPr>
          <w:rFonts w:ascii="Arial" w:cs="Arial" w:eastAsia="Arial" w:hAnsi="Arial"/>
          <w:sz w:val="17"/>
          <w:szCs w:val="17"/>
          <w:color w:val="auto"/>
        </w:rPr>
        <w:t>Cowen Financial Products LLC</w:t>
      </w:r>
    </w:p>
    <w:p>
      <w:pPr>
        <w:spacing w:after="0" w:line="99"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2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27-0423711</w:t>
      </w:r>
    </w:p>
    <w:p>
      <w:pPr>
        <w:spacing w:after="0" w:line="139" w:lineRule="exact"/>
        <w:rPr>
          <w:sz w:val="20"/>
          <w:szCs w:val="20"/>
          <w:color w:val="auto"/>
        </w:rPr>
      </w:pPr>
    </w:p>
    <w:p>
      <w:pPr>
        <w:ind w:left="620" w:hanging="380"/>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139" w:lineRule="exact"/>
        <w:rPr>
          <w:sz w:val="20"/>
          <w:szCs w:val="20"/>
          <w:color w:val="auto"/>
        </w:rPr>
      </w:pPr>
    </w:p>
    <w:p>
      <w:pPr>
        <w:ind w:left="620" w:hanging="380"/>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620" w:right="6080" w:hanging="380"/>
        <w:spacing w:after="0" w:line="282"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USA</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52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104"/>
        </w:trPr>
        <w:tc>
          <w:tcPr>
            <w:tcW w:w="1640" w:type="dxa"/>
            <w:vAlign w:val="bottom"/>
            <w:tcBorders>
              <w:right w:val="single" w:sz="8" w:color="auto"/>
            </w:tcBorders>
            <w:vMerge w:val="continue"/>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8480" w:type="dxa"/>
            <w:vAlign w:val="bottom"/>
            <w:vMerge w:val="restart"/>
          </w:tcPr>
          <w:p>
            <w:pPr>
              <w:ind w:left="60"/>
              <w:spacing w:after="0"/>
              <w:rPr>
                <w:sz w:val="20"/>
                <w:szCs w:val="20"/>
                <w:color w:val="auto"/>
              </w:rPr>
            </w:pPr>
            <w:r>
              <w:rPr>
                <w:rFonts w:ascii="Arial" w:cs="Arial" w:eastAsia="Arial" w:hAnsi="Arial"/>
                <w:sz w:val="18"/>
                <w:szCs w:val="18"/>
                <w:color w:val="auto"/>
              </w:rPr>
              <w:t>1,384,631</w:t>
            </w:r>
          </w:p>
        </w:tc>
        <w:tc>
          <w:tcPr>
            <w:tcW w:w="0" w:type="dxa"/>
            <w:vAlign w:val="bottom"/>
          </w:tcPr>
          <w:p>
            <w:pPr>
              <w:spacing w:after="0"/>
              <w:rPr>
                <w:sz w:val="1"/>
                <w:szCs w:val="1"/>
                <w:color w:val="auto"/>
              </w:rPr>
            </w:pPr>
          </w:p>
        </w:tc>
      </w:tr>
      <w:tr>
        <w:trPr>
          <w:trHeight w:val="126"/>
        </w:trPr>
        <w:tc>
          <w:tcPr>
            <w:tcW w:w="1640" w:type="dxa"/>
            <w:vAlign w:val="bottom"/>
            <w:tcBorders>
              <w:right w:val="single" w:sz="8" w:color="auto"/>
            </w:tcBorders>
            <w:vMerge w:val="restart"/>
          </w:tcPr>
          <w:p>
            <w:pPr>
              <w:jc w:val="center"/>
              <w:spacing w:after="0" w:line="194" w:lineRule="exact"/>
              <w:rPr>
                <w:sz w:val="20"/>
                <w:szCs w:val="20"/>
                <w:color w:val="auto"/>
              </w:rPr>
            </w:pPr>
            <w:r>
              <w:rPr>
                <w:rFonts w:ascii="Arial" w:cs="Arial" w:eastAsia="Arial" w:hAnsi="Arial"/>
                <w:sz w:val="18"/>
                <w:szCs w:val="18"/>
                <w:b w:val="1"/>
                <w:bCs w:val="1"/>
                <w:color w:val="auto"/>
                <w:w w:val="95"/>
              </w:rPr>
              <w:t>SHARES</w:t>
            </w:r>
          </w:p>
        </w:tc>
        <w:tc>
          <w:tcPr>
            <w:tcW w:w="520" w:type="dxa"/>
            <w:vAlign w:val="bottom"/>
            <w:tcBorders>
              <w:right w:val="single" w:sz="8" w:color="auto"/>
            </w:tcBorders>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vMerge w:val="continue"/>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52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6</w:t>
            </w:r>
          </w:p>
        </w:tc>
        <w:tc>
          <w:tcPr>
            <w:tcW w:w="848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520" w:type="dxa"/>
            <w:vAlign w:val="bottom"/>
            <w:tcBorders>
              <w:bottom w:val="single" w:sz="8" w:color="auto"/>
              <w:right w:val="single" w:sz="8" w:color="auto"/>
            </w:tcBorders>
          </w:tcPr>
          <w:p>
            <w:pPr>
              <w:spacing w:after="0"/>
              <w:rPr>
                <w:sz w:val="10"/>
                <w:szCs w:val="10"/>
                <w:color w:val="auto"/>
              </w:rPr>
            </w:pPr>
          </w:p>
        </w:tc>
        <w:tc>
          <w:tcPr>
            <w:tcW w:w="8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7</w:t>
            </w:r>
          </w:p>
        </w:tc>
        <w:tc>
          <w:tcPr>
            <w:tcW w:w="8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93"/>
        </w:trPr>
        <w:tc>
          <w:tcPr>
            <w:tcW w:w="16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rPr>
              <w:t>EACH</w:t>
            </w:r>
          </w:p>
        </w:tc>
        <w:tc>
          <w:tcPr>
            <w:tcW w:w="520" w:type="dxa"/>
            <w:vAlign w:val="bottom"/>
            <w:tcBorders>
              <w:right w:val="single" w:sz="8" w:color="auto"/>
            </w:tcBorders>
            <w:vMerge w:val="continue"/>
          </w:tcPr>
          <w:p>
            <w:pPr>
              <w:spacing w:after="0"/>
              <w:rPr>
                <w:sz w:val="16"/>
                <w:szCs w:val="16"/>
                <w:color w:val="auto"/>
              </w:rPr>
            </w:pPr>
          </w:p>
        </w:tc>
        <w:tc>
          <w:tcPr>
            <w:tcW w:w="8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REPORTING</w:t>
            </w:r>
          </w:p>
        </w:tc>
        <w:tc>
          <w:tcPr>
            <w:tcW w:w="520" w:type="dxa"/>
            <w:vAlign w:val="bottom"/>
            <w:tcBorders>
              <w:right w:val="single" w:sz="8" w:color="auto"/>
            </w:tcBorders>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1,384,631</w:t>
            </w:r>
          </w:p>
        </w:tc>
        <w:tc>
          <w:tcPr>
            <w:tcW w:w="0" w:type="dxa"/>
            <w:vAlign w:val="bottom"/>
          </w:tcPr>
          <w:p>
            <w:pPr>
              <w:spacing w:after="0"/>
              <w:rPr>
                <w:sz w:val="1"/>
                <w:szCs w:val="1"/>
                <w:color w:val="auto"/>
              </w:rPr>
            </w:pPr>
          </w:p>
        </w:tc>
      </w:tr>
      <w:tr>
        <w:trPr>
          <w:trHeight w:val="5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640" w:type="dxa"/>
            <w:vAlign w:val="bottom"/>
            <w:tcBorders>
              <w:right w:val="single" w:sz="8" w:color="auto"/>
            </w:tcBorders>
            <w:vMerge w:val="continue"/>
          </w:tcPr>
          <w:p>
            <w:pPr>
              <w:spacing w:after="0"/>
              <w:rPr>
                <w:sz w:val="13"/>
                <w:szCs w:val="13"/>
                <w:color w:val="auto"/>
              </w:rPr>
            </w:pP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8</w:t>
            </w:r>
          </w:p>
        </w:tc>
        <w:tc>
          <w:tcPr>
            <w:tcW w:w="8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164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20" w:right="3080" w:hanging="380"/>
        <w:spacing w:after="0" w:line="282"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1,384,631</w:t>
      </w:r>
    </w:p>
    <w:p>
      <w:pPr>
        <w:spacing w:after="0" w:line="94" w:lineRule="exact"/>
        <w:rPr>
          <w:sz w:val="20"/>
          <w:szCs w:val="20"/>
          <w:color w:val="auto"/>
        </w:rPr>
      </w:pPr>
    </w:p>
    <w:p>
      <w:pPr>
        <w:ind w:left="620" w:right="256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620" w:right="4700" w:hanging="422"/>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8.57%</w:t>
      </w:r>
    </w:p>
    <w:p>
      <w:pPr>
        <w:spacing w:after="0" w:line="94" w:lineRule="exact"/>
        <w:rPr>
          <w:rFonts w:ascii="Arial" w:cs="Arial" w:eastAsia="Arial" w:hAnsi="Arial"/>
          <w:sz w:val="18"/>
          <w:szCs w:val="18"/>
          <w:color w:val="auto"/>
        </w:rPr>
      </w:pPr>
    </w:p>
    <w:p>
      <w:pPr>
        <w:ind w:left="620" w:right="734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Passive Investor</w:t>
      </w:r>
    </w:p>
    <w:p>
      <w:pPr>
        <w:sectPr>
          <w:pgSz w:w="11900" w:h="16838" w:orient="portrait"/>
          <w:cols w:equalWidth="0" w:num="1">
            <w:col w:w="10640"/>
          </w:cols>
          <w:pgMar w:left="320" w:top="931" w:right="939" w:bottom="1440" w:gutter="0" w:footer="0" w:header="0"/>
        </w:sectPr>
      </w:pPr>
    </w:p>
    <w:bookmarkStart w:id="2" w:name="page3"/>
    <w:bookmarkEnd w:id="2"/>
    <w:p>
      <w:pPr>
        <w:spacing w:after="0" w:line="1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8355" cy="26987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b w:val="1"/>
          <w:bCs w:val="1"/>
          <w:color w:val="auto"/>
        </w:rPr>
        <w:t>CUSIP No.: 30068x103</w:t>
      </w:r>
    </w:p>
    <w:p>
      <w:pPr>
        <w:spacing w:after="0" w:line="200" w:lineRule="exact"/>
        <w:rPr>
          <w:sz w:val="20"/>
          <w:szCs w:val="20"/>
          <w:color w:val="auto"/>
        </w:rPr>
      </w:pPr>
    </w:p>
    <w:p>
      <w:pPr>
        <w:spacing w:after="0" w:line="3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NAME OF ISSUER: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Exagen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1261 Liberty Way</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Vista, CA 92081</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2(a).</w:t>
        <w:tab/>
        <w:t>NAME OF PERSON FILING:</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Cowen Financial Products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599 Lexington Ave</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New York, NY 10022</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2(c).</w:t>
        <w:tab/>
        <w:t>CITIZENSHIP: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USA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Common Stock</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30068x103</w:t>
      </w:r>
    </w:p>
    <w:p>
      <w:pPr>
        <w:spacing w:after="0" w:line="221" w:lineRule="exact"/>
        <w:rPr>
          <w:sz w:val="20"/>
          <w:szCs w:val="20"/>
          <w:color w:val="auto"/>
        </w:rPr>
      </w:pPr>
    </w:p>
    <w:p>
      <w:pPr>
        <w:ind w:left="102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SECTION 240.13d-1(b), or 13d-2(b) or (c) CHECK WHETHER THE PERSON FILING IS A:</w:t>
      </w:r>
    </w:p>
    <w:p>
      <w:pPr>
        <w:spacing w:after="0" w:line="85" w:lineRule="exact"/>
        <w:rPr>
          <w:sz w:val="20"/>
          <w:szCs w:val="20"/>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Broker or dealer registered under Section 15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Bank as defined in Section 3(a)(6)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Insurance company as defined in Section 3(a)(19)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Investment company registered under Section 8 of the Investment Company Act of 1940 (15 U.S.C 80a-8);</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investment adviser in accordance with 240.13d-1(b)(1)(ii)(E);</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employee benefit plan or endowment fund in accordance with 240.13d-1(b)(1)(ii)(F);</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parent holding company or control person in accordance with 240.13d-1(b)(1)(ii)(G);</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savings associations as defined in Section 3(b) of the Federal Deposit Insurance Act (12 U.S.C. 1813);</w:t>
      </w:r>
    </w:p>
    <w:p>
      <w:pPr>
        <w:spacing w:after="0" w:line="144" w:lineRule="exact"/>
        <w:rPr>
          <w:rFonts w:ascii="Arial" w:cs="Arial" w:eastAsia="Arial" w:hAnsi="Arial"/>
          <w:sz w:val="18"/>
          <w:szCs w:val="18"/>
          <w:color w:val="auto"/>
        </w:rPr>
      </w:pPr>
    </w:p>
    <w:p>
      <w:pPr>
        <w:ind w:left="2180" w:right="500" w:hanging="1157"/>
        <w:spacing w:after="0" w:line="277" w:lineRule="auto"/>
        <w:tabs>
          <w:tab w:leader="none" w:pos="1469" w:val="left"/>
        </w:tabs>
        <w:numPr>
          <w:ilvl w:val="0"/>
          <w:numId w:val="8"/>
        </w:numPr>
        <w:rPr>
          <w:rFonts w:ascii="Arial" w:cs="Arial" w:eastAsia="Arial" w:hAnsi="Arial"/>
          <w:sz w:val="18"/>
          <w:szCs w:val="18"/>
          <w:color w:val="auto"/>
        </w:rPr>
      </w:pPr>
      <w:r>
        <w:rPr>
          <w:rFonts w:ascii="Arial" w:cs="Arial" w:eastAsia="Arial" w:hAnsi="Arial"/>
          <w:sz w:val="18"/>
          <w:szCs w:val="18"/>
          <w:color w:val="auto"/>
        </w:rPr>
        <w:t>[ ]A church plan that is excluded from the definition of an investment company under Section 3(c)(14) of the Investment Company Act of 1940 (15 U.S.C. 80a-3);</w:t>
      </w:r>
    </w:p>
    <w:p>
      <w:pPr>
        <w:spacing w:after="0" w:line="89"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non-U.S. institution in accordance with 240.13d-1(b)(1)(ii)(J);</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Group, in accordance with 240.13d-1(b)(1)(ii)(K). If filing as a non-U.S. institution in accordance with</w:t>
      </w:r>
    </w:p>
    <w:p>
      <w:pPr>
        <w:spacing w:after="0" w:line="23"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240.13d1(b)(1)(ii)(J), please specify the type of institution:</w:t>
      </w:r>
    </w:p>
    <w:p>
      <w:pPr>
        <w:spacing w:after="0" w:line="200" w:lineRule="exact"/>
        <w:rPr>
          <w:sz w:val="20"/>
          <w:szCs w:val="20"/>
          <w:color w:val="auto"/>
        </w:rPr>
      </w:pPr>
    </w:p>
    <w:p>
      <w:pPr>
        <w:spacing w:after="0" w:line="2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279"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(a) Amount beneficially owned:</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1,384,631</w:t>
      </w:r>
    </w:p>
    <w:p>
      <w:pPr>
        <w:spacing w:after="0" w:line="140"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(b) Percent of class:</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8.57%</w:t>
      </w:r>
    </w:p>
    <w:p>
      <w:pPr>
        <w:spacing w:after="0" w:line="140" w:lineRule="exact"/>
        <w:rPr>
          <w:sz w:val="20"/>
          <w:szCs w:val="20"/>
          <w:color w:val="auto"/>
        </w:rPr>
      </w:pPr>
    </w:p>
    <w:p>
      <w:pPr>
        <w:ind w:left="1260" w:hanging="237"/>
        <w:spacing w:after="0"/>
        <w:tabs>
          <w:tab w:leader="none" w:pos="1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148" w:lineRule="exact"/>
        <w:rPr>
          <w:rFonts w:ascii="Arial" w:cs="Arial" w:eastAsia="Arial" w:hAnsi="Arial"/>
          <w:sz w:val="18"/>
          <w:szCs w:val="18"/>
          <w:b w:val="1"/>
          <w:bCs w:val="1"/>
          <w:color w:val="auto"/>
        </w:rPr>
      </w:pPr>
    </w:p>
    <w:p>
      <w:pPr>
        <w:ind w:left="1340" w:right="5980" w:hanging="7"/>
        <w:spacing w:after="0" w:line="406" w:lineRule="auto"/>
        <w:tabs>
          <w:tab w:leader="none" w:pos="1555"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Cowen Financial Products LLC :</w:t>
      </w:r>
    </w:p>
    <w:p>
      <w:pPr>
        <w:spacing w:after="0" w:line="1" w:lineRule="exact"/>
        <w:rPr>
          <w:rFonts w:ascii="Arial" w:cs="Arial" w:eastAsia="Arial" w:hAnsi="Arial"/>
          <w:sz w:val="18"/>
          <w:szCs w:val="18"/>
          <w:color w:val="auto"/>
        </w:rPr>
      </w:pPr>
    </w:p>
    <w:p>
      <w:pPr>
        <w:ind w:left="1340" w:right="5760" w:hanging="7"/>
        <w:spacing w:after="0" w:line="406" w:lineRule="auto"/>
        <w:tabs>
          <w:tab w:leader="none" w:pos="1605"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Cowen Financial Products LLC :</w:t>
      </w:r>
    </w:p>
    <w:p>
      <w:pPr>
        <w:spacing w:after="0" w:line="1" w:lineRule="exact"/>
        <w:rPr>
          <w:rFonts w:ascii="Arial" w:cs="Arial" w:eastAsia="Arial" w:hAnsi="Arial"/>
          <w:sz w:val="18"/>
          <w:szCs w:val="18"/>
          <w:color w:val="auto"/>
        </w:rPr>
      </w:pPr>
    </w:p>
    <w:p>
      <w:pPr>
        <w:ind w:left="1340" w:right="5160" w:hanging="7"/>
        <w:spacing w:after="0" w:line="434" w:lineRule="auto"/>
        <w:tabs>
          <w:tab w:leader="none" w:pos="1655"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direct the disposition of: Cowen Financial Products LLC :</w:t>
      </w:r>
    </w:p>
    <w:p>
      <w:pPr>
        <w:sectPr>
          <w:pgSz w:w="11900" w:h="16977" w:orient="portrait"/>
          <w:cols w:equalWidth="0" w:num="1">
            <w:col w:w="10360"/>
          </w:cols>
          <w:pgMar w:left="400" w:top="931" w:right="1139" w:bottom="0" w:gutter="0" w:footer="0" w:header="0"/>
        </w:sectPr>
      </w:pPr>
    </w:p>
    <w:bookmarkStart w:id="3" w:name="page4"/>
    <w:bookmarkEnd w:id="3"/>
    <w:p>
      <w:pPr>
        <w:ind w:left="1340" w:right="4880" w:hanging="7"/>
        <w:spacing w:after="0" w:line="404" w:lineRule="auto"/>
        <w:tabs>
          <w:tab w:leader="none" w:pos="16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Cowen Financial Products LLC :</w:t>
      </w:r>
    </w:p>
    <w:p>
      <w:pPr>
        <w:spacing w:after="0" w:line="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94"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306" w:lineRule="exact"/>
        <w:rPr>
          <w:sz w:val="20"/>
          <w:szCs w:val="20"/>
          <w:color w:val="auto"/>
        </w:rPr>
      </w:pPr>
    </w:p>
    <w:p>
      <w:pPr>
        <w:ind w:left="1020" w:right="26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24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30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NOTICE OF DISSOLUTION OF GROUP:</w:t>
      </w:r>
    </w:p>
    <w:p>
      <w:pPr>
        <w:spacing w:after="0" w:line="30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tab/>
        <w:t>CERTIFICATION:</w:t>
      </w:r>
    </w:p>
    <w:p>
      <w:pPr>
        <w:spacing w:after="0" w:line="94" w:lineRule="exact"/>
        <w:rPr>
          <w:sz w:val="20"/>
          <w:szCs w:val="20"/>
          <w:color w:val="auto"/>
        </w:rPr>
      </w:pPr>
    </w:p>
    <w:p>
      <w:pPr>
        <w:ind w:left="1020" w:right="100"/>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440"/>
          </w:cols>
          <w:pgMar w:left="400" w:top="152" w:right="1059" w:bottom="1440" w:gutter="0" w:footer="0" w:header="0"/>
        </w:sectPr>
      </w:pPr>
    </w:p>
    <w:bookmarkStart w:id="4" w:name="page5"/>
    <w:bookmarkEnd w:id="4"/>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30068x103</w:t>
      </w:r>
    </w:p>
    <w:p>
      <w:pPr>
        <w:spacing w:after="0" w:line="200" w:lineRule="exact"/>
        <w:rPr>
          <w:sz w:val="20"/>
          <w:szCs w:val="20"/>
          <w:color w:val="auto"/>
        </w:rPr>
      </w:pPr>
    </w:p>
    <w:p>
      <w:pPr>
        <w:spacing w:after="0" w:line="205"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SIGNATURE</w:t>
      </w:r>
    </w:p>
    <w:p>
      <w:pPr>
        <w:spacing w:after="0" w:line="350" w:lineRule="exact"/>
        <w:rPr>
          <w:sz w:val="20"/>
          <w:szCs w:val="20"/>
          <w:color w:val="auto"/>
        </w:rPr>
      </w:pPr>
    </w:p>
    <w:p>
      <w:pPr>
        <w:ind w:left="900"/>
        <w:spacing w:after="0"/>
        <w:rPr>
          <w:sz w:val="20"/>
          <w:szCs w:val="20"/>
          <w:color w:val="auto"/>
        </w:rPr>
      </w:pPr>
      <w:r>
        <w:rPr>
          <w:rFonts w:ascii="Arial" w:cs="Arial" w:eastAsia="Arial" w:hAnsi="Arial"/>
          <w:sz w:val="13"/>
          <w:szCs w:val="13"/>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140" w:type="dxa"/>
            <w:vAlign w:val="bottom"/>
          </w:tcPr>
          <w:p>
            <w:pPr>
              <w:spacing w:after="0"/>
              <w:rPr>
                <w:sz w:val="20"/>
                <w:szCs w:val="20"/>
                <w:color w:val="auto"/>
              </w:rPr>
            </w:pPr>
            <w:r>
              <w:rPr>
                <w:rFonts w:ascii="Arial" w:cs="Arial" w:eastAsia="Arial" w:hAnsi="Arial"/>
                <w:sz w:val="16"/>
                <w:szCs w:val="16"/>
                <w:color w:val="auto"/>
              </w:rPr>
              <w:t>January 20 2022</w:t>
            </w:r>
          </w:p>
        </w:tc>
        <w:tc>
          <w:tcPr>
            <w:tcW w:w="6200" w:type="dxa"/>
            <w:vAlign w:val="bottom"/>
            <w:gridSpan w:val="2"/>
          </w:tcPr>
          <w:p>
            <w:pPr>
              <w:ind w:left="1060"/>
              <w:spacing w:after="0"/>
              <w:rPr>
                <w:sz w:val="20"/>
                <w:szCs w:val="20"/>
                <w:color w:val="auto"/>
              </w:rPr>
            </w:pPr>
            <w:r>
              <w:rPr>
                <w:rFonts w:ascii="Arial" w:cs="Arial" w:eastAsia="Arial" w:hAnsi="Arial"/>
                <w:sz w:val="16"/>
                <w:szCs w:val="16"/>
                <w:color w:val="auto"/>
              </w:rPr>
              <w:t>Cowen Financial Products LLC</w:t>
            </w:r>
          </w:p>
        </w:tc>
      </w:tr>
      <w:tr>
        <w:trPr>
          <w:trHeight w:val="283"/>
        </w:trPr>
        <w:tc>
          <w:tcPr>
            <w:tcW w:w="2140" w:type="dxa"/>
            <w:vAlign w:val="bottom"/>
          </w:tcPr>
          <w:p>
            <w:pPr>
              <w:spacing w:after="0"/>
              <w:rPr>
                <w:sz w:val="24"/>
                <w:szCs w:val="24"/>
                <w:color w:val="auto"/>
              </w:rPr>
            </w:pPr>
          </w:p>
        </w:tc>
        <w:tc>
          <w:tcPr>
            <w:tcW w:w="1720" w:type="dxa"/>
            <w:vAlign w:val="bottom"/>
          </w:tcPr>
          <w:p>
            <w:pPr>
              <w:ind w:left="1060"/>
              <w:spacing w:after="0"/>
              <w:rPr>
                <w:sz w:val="20"/>
                <w:szCs w:val="20"/>
                <w:color w:val="auto"/>
              </w:rPr>
            </w:pPr>
            <w:r>
              <w:rPr>
                <w:rFonts w:ascii="Arial" w:cs="Arial" w:eastAsia="Arial" w:hAnsi="Arial"/>
                <w:sz w:val="16"/>
                <w:szCs w:val="16"/>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John Holmes</w:t>
            </w:r>
          </w:p>
        </w:tc>
      </w:tr>
      <w:tr>
        <w:trPr>
          <w:trHeight w:val="278"/>
        </w:trPr>
        <w:tc>
          <w:tcPr>
            <w:tcW w:w="2140" w:type="dxa"/>
            <w:vAlign w:val="bottom"/>
          </w:tcPr>
          <w:p>
            <w:pPr>
              <w:spacing w:after="0"/>
              <w:rPr>
                <w:sz w:val="24"/>
                <w:szCs w:val="24"/>
                <w:color w:val="auto"/>
              </w:rPr>
            </w:pPr>
          </w:p>
        </w:tc>
        <w:tc>
          <w:tcPr>
            <w:tcW w:w="1720" w:type="dxa"/>
            <w:vAlign w:val="bottom"/>
          </w:tcPr>
          <w:p>
            <w:pPr>
              <w:ind w:left="1060"/>
              <w:spacing w:after="0"/>
              <w:rPr>
                <w:sz w:val="20"/>
                <w:szCs w:val="20"/>
                <w:color w:val="auto"/>
              </w:rPr>
            </w:pPr>
            <w:r>
              <w:rPr>
                <w:rFonts w:ascii="Arial" w:cs="Arial" w:eastAsia="Arial" w:hAnsi="Arial"/>
                <w:sz w:val="16"/>
                <w:szCs w:val="16"/>
                <w:color w:val="auto"/>
              </w:rPr>
              <w:t>Name:</w:t>
            </w:r>
          </w:p>
        </w:tc>
        <w:tc>
          <w:tcPr>
            <w:tcW w:w="4480" w:type="dxa"/>
            <w:vAlign w:val="bottom"/>
          </w:tcPr>
          <w:p>
            <w:pPr>
              <w:spacing w:after="0"/>
              <w:rPr>
                <w:sz w:val="20"/>
                <w:szCs w:val="20"/>
                <w:color w:val="auto"/>
              </w:rPr>
            </w:pPr>
            <w:r>
              <w:rPr>
                <w:rFonts w:ascii="Arial" w:cs="Arial" w:eastAsia="Arial" w:hAnsi="Arial"/>
                <w:sz w:val="16"/>
                <w:szCs w:val="16"/>
                <w:color w:val="auto"/>
              </w:rPr>
              <w:t>John Holmes</w:t>
            </w:r>
          </w:p>
        </w:tc>
      </w:tr>
      <w:tr>
        <w:trPr>
          <w:trHeight w:val="270"/>
        </w:trPr>
        <w:tc>
          <w:tcPr>
            <w:tcW w:w="2140" w:type="dxa"/>
            <w:vAlign w:val="bottom"/>
          </w:tcPr>
          <w:p>
            <w:pPr>
              <w:spacing w:after="0"/>
              <w:rPr>
                <w:sz w:val="23"/>
                <w:szCs w:val="23"/>
                <w:color w:val="auto"/>
              </w:rPr>
            </w:pPr>
          </w:p>
        </w:tc>
        <w:tc>
          <w:tcPr>
            <w:tcW w:w="1720" w:type="dxa"/>
            <w:vAlign w:val="bottom"/>
          </w:tcPr>
          <w:p>
            <w:pPr>
              <w:ind w:left="1060"/>
              <w:spacing w:after="0"/>
              <w:rPr>
                <w:sz w:val="20"/>
                <w:szCs w:val="20"/>
                <w:color w:val="auto"/>
              </w:rPr>
            </w:pPr>
            <w:r>
              <w:rPr>
                <w:rFonts w:ascii="Arial" w:cs="Arial" w:eastAsia="Arial" w:hAnsi="Arial"/>
                <w:sz w:val="16"/>
                <w:szCs w:val="16"/>
                <w:color w:val="auto"/>
              </w:rPr>
              <w:t>Title:</w:t>
            </w:r>
          </w:p>
        </w:tc>
        <w:tc>
          <w:tcPr>
            <w:tcW w:w="4480" w:type="dxa"/>
            <w:vAlign w:val="bottom"/>
          </w:tcPr>
          <w:p>
            <w:pPr>
              <w:spacing w:after="0"/>
              <w:rPr>
                <w:sz w:val="20"/>
                <w:szCs w:val="20"/>
                <w:color w:val="auto"/>
              </w:rPr>
            </w:pPr>
            <w:r>
              <w:rPr>
                <w:rFonts w:ascii="Arial" w:cs="Arial" w:eastAsia="Arial" w:hAnsi="Arial"/>
                <w:sz w:val="16"/>
                <w:szCs w:val="16"/>
                <w:color w:val="auto"/>
              </w:rPr>
              <w:t>Chief Operating Officer</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Attention — Intentional misstatements or omissions of fact constitute Federal criminal violations (See 18 U.S.C. 1001).</w:t>
      </w:r>
    </w:p>
    <w:sectPr>
      <w:pgSz w:w="11900" w:h="16838" w:orient="portrait"/>
      <w:cols w:equalWidth="0" w:num="1">
        <w:col w:w="10139"/>
      </w:cols>
      <w:pgMar w:left="32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2"/>
      <w:numFmt w:val="bullet"/>
      <w:start w:val="1"/>
    </w:lvl>
    <w:lvl w:ilvl="1">
      <w:lvlJc w:val="left"/>
      <w:lvlText w:val="(%2)"/>
      <w:numFmt w:val="lowerLetter"/>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4"/>
      <w:numFmt w:val="bullet"/>
      <w:start w:val="1"/>
    </w:lvl>
  </w:abstractNum>
  <w:abstractNum w:abstractNumId="5">
    <w:nsid w:val="7545E146"/>
    <w:multiLevelType w:val="hybridMultilevel"/>
    <w:lvl w:ilvl="0">
      <w:lvlJc w:val="left"/>
      <w:lvlText w:val="9"/>
      <w:numFmt w:val="bullet"/>
      <w:start w:val="1"/>
    </w:lvl>
  </w:abstractNum>
  <w:abstractNum w:abstractNumId="6">
    <w:nsid w:val="515F007C"/>
    <w:multiLevelType w:val="hybridMultilevel"/>
    <w:lvl w:ilvl="0">
      <w:lvlJc w:val="left"/>
      <w:lvlText w:val="%1"/>
      <w:numFmt w:val="decimal"/>
      <w:start w:val="10"/>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lvl w:ilvl="1">
      <w:lvlJc w:val="left"/>
      <w:lvlText w:val="(%2)"/>
      <w:numFmt w:val="lowerRoman"/>
      <w:start w:val="1"/>
    </w:lvl>
  </w:abstractNum>
  <w:abstractNum w:abstractNumId="9">
    <w:nsid w:val="4DB127F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2022-01-20T09:48:09Z</dcterms:created>
  <dcterms:modified xsi:type="dcterms:W3CDTF">2022-01-20T09:48:09Z</dcterms:modified>
</cp:coreProperties>
</file>