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34" w:lineRule="exact"/>
        <w:rPr>
          <w:sz w:val="24"/>
          <w:szCs w:val="24"/>
          <w:color w:val="auto"/>
        </w:rPr>
      </w:pPr>
    </w:p>
    <w:p>
      <w:pPr>
        <w:ind w:left="4824"/>
        <w:spacing w:after="0"/>
        <w:rPr>
          <w:sz w:val="20"/>
          <w:szCs w:val="20"/>
          <w:color w:val="auto"/>
        </w:rPr>
      </w:pPr>
      <w:r>
        <w:rPr>
          <w:rFonts w:ascii="Arial" w:cs="Arial" w:eastAsia="Arial" w:hAnsi="Arial"/>
          <w:sz w:val="22"/>
          <w:szCs w:val="22"/>
          <w:b w:val="1"/>
          <w:bCs w:val="1"/>
          <w:color w:val="auto"/>
        </w:rPr>
        <w:t>(Rule 13d-101)</w:t>
      </w:r>
    </w:p>
    <w:p>
      <w:pPr>
        <w:spacing w:after="0" w:line="182" w:lineRule="exact"/>
        <w:rPr>
          <w:sz w:val="24"/>
          <w:szCs w:val="24"/>
          <w:color w:val="auto"/>
        </w:rPr>
      </w:pPr>
    </w:p>
    <w:p>
      <w:pPr>
        <w:ind w:left="2884"/>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to § 240.13d-1(a) and Amendments Thereto Filed</w:t>
      </w:r>
    </w:p>
    <w:p>
      <w:pPr>
        <w:jc w:val="center"/>
        <w:ind w:right="-63"/>
        <w:spacing w:after="0"/>
        <w:rPr>
          <w:sz w:val="20"/>
          <w:szCs w:val="20"/>
          <w:color w:val="auto"/>
        </w:rPr>
      </w:pPr>
      <w:r>
        <w:rPr>
          <w:rFonts w:ascii="Arial" w:cs="Arial" w:eastAsia="Arial" w:hAnsi="Arial"/>
          <w:sz w:val="22"/>
          <w:szCs w:val="22"/>
          <w:b w:val="1"/>
          <w:bCs w:val="1"/>
          <w:color w:val="auto"/>
        </w:rPr>
        <w:t>Pursuant to § 240.13d-2(a)</w:t>
      </w:r>
    </w:p>
    <w:p>
      <w:pPr>
        <w:spacing w:after="0" w:line="182"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83"/>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Exagen,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30068X103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H.I.G. Capital, LLC</w:t>
      </w:r>
    </w:p>
    <w:p>
      <w:pPr>
        <w:spacing w:after="0" w:line="26"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1450 Brickell Avenue, 31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Miami, FL 33131</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Attention: Richard H. Siegel, Esq.</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September 23, 2019</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4"/>
          <w:szCs w:val="24"/>
          <w:color w:val="auto"/>
        </w:rPr>
      </w:pPr>
    </w:p>
    <w:p>
      <w:pPr>
        <w:ind w:left="4" w:right="24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320" w:firstLine="440"/>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720" w:type="dxa"/>
            <w:vAlign w:val="bottom"/>
            <w:gridSpan w:val="3"/>
          </w:tcPr>
          <w:p>
            <w:pPr>
              <w:jc w:val="right"/>
              <w:spacing w:after="0"/>
              <w:rPr>
                <w:sz w:val="20"/>
                <w:szCs w:val="20"/>
                <w:color w:val="auto"/>
              </w:rPr>
            </w:pPr>
            <w:r>
              <w:rPr>
                <w:rFonts w:ascii="Arial" w:cs="Arial" w:eastAsia="Arial" w:hAnsi="Arial"/>
                <w:sz w:val="18"/>
                <w:szCs w:val="18"/>
                <w:color w:val="auto"/>
                <w:w w:val="91"/>
              </w:rPr>
              <w:t>CUSIP No. 30068X103</w:t>
            </w:r>
          </w:p>
        </w:tc>
        <w:tc>
          <w:tcPr>
            <w:tcW w:w="120" w:type="dxa"/>
            <w:vAlign w:val="bottom"/>
          </w:tcPr>
          <w:p>
            <w:pPr>
              <w:spacing w:after="0"/>
              <w:rPr>
                <w:sz w:val="20"/>
                <w:szCs w:val="20"/>
                <w:color w:val="auto"/>
              </w:rPr>
            </w:pPr>
          </w:p>
        </w:tc>
        <w:tc>
          <w:tcPr>
            <w:tcW w:w="6720" w:type="dxa"/>
            <w:vAlign w:val="bottom"/>
          </w:tcPr>
          <w:p>
            <w:pPr>
              <w:ind w:left="3740"/>
              <w:spacing w:after="0"/>
              <w:rPr>
                <w:sz w:val="20"/>
                <w:szCs w:val="20"/>
                <w:color w:val="auto"/>
              </w:rPr>
            </w:pPr>
            <w:r>
              <w:rPr>
                <w:rFonts w:ascii="Arial" w:cs="Arial" w:eastAsia="Arial" w:hAnsi="Arial"/>
                <w:sz w:val="18"/>
                <w:szCs w:val="18"/>
                <w:color w:val="auto"/>
              </w:rPr>
              <w:t>13D</w:t>
            </w:r>
          </w:p>
        </w:tc>
        <w:tc>
          <w:tcPr>
            <w:tcW w:w="2480" w:type="dxa"/>
            <w:vAlign w:val="bottom"/>
          </w:tcPr>
          <w:p>
            <w:pPr>
              <w:ind w:left="1180"/>
              <w:spacing w:after="0"/>
              <w:rPr>
                <w:sz w:val="20"/>
                <w:szCs w:val="20"/>
                <w:color w:val="auto"/>
              </w:rPr>
            </w:pPr>
            <w:r>
              <w:rPr>
                <w:rFonts w:ascii="Arial" w:cs="Arial" w:eastAsia="Arial" w:hAnsi="Arial"/>
                <w:sz w:val="18"/>
                <w:szCs w:val="18"/>
                <w:color w:val="auto"/>
                <w:w w:val="85"/>
              </w:rPr>
              <w:t>Page 1 of 9 Pages</w:t>
            </w:r>
          </w:p>
        </w:tc>
        <w:tc>
          <w:tcPr>
            <w:tcW w:w="0" w:type="dxa"/>
            <w:vAlign w:val="bottom"/>
          </w:tcPr>
          <w:p>
            <w:pPr>
              <w:spacing w:after="0"/>
              <w:rPr>
                <w:sz w:val="1"/>
                <w:szCs w:val="1"/>
                <w:color w:val="auto"/>
              </w:rPr>
            </w:pPr>
          </w:p>
        </w:tc>
      </w:tr>
      <w:tr>
        <w:trPr>
          <w:trHeight w:val="148"/>
        </w:trPr>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7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H.I.G. Bio-Exagen, L.P.</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120" w:type="dxa"/>
            <w:vAlign w:val="bottom"/>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0"/>
              </w:rPr>
              <w:t>(b)</w:t>
            </w:r>
          </w:p>
        </w:tc>
        <w:tc>
          <w:tcPr>
            <w:tcW w:w="68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right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72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SOURCE OF FUNDS</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Delaware</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NUMBER OF</w:t>
            </w:r>
          </w:p>
        </w:tc>
        <w:tc>
          <w:tcPr>
            <w:tcW w:w="3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1"/>
              </w:rPr>
              <w:t>SHARES</w:t>
            </w: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40" w:type="dxa"/>
            <w:vAlign w:val="bottom"/>
            <w:tcBorders>
              <w:left w:val="single" w:sz="8" w:color="auto"/>
            </w:tcBorders>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2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BENEFICIALLY</w:t>
            </w:r>
          </w:p>
        </w:tc>
        <w:tc>
          <w:tcPr>
            <w:tcW w:w="3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20" w:type="dxa"/>
            <w:vAlign w:val="bottom"/>
            <w:vMerge w:val="continue"/>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1,696,252</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5"/>
              </w:rPr>
              <w:t>EACH</w:t>
            </w: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40" w:type="dxa"/>
            <w:vAlign w:val="bottom"/>
            <w:tcBorders>
              <w:lef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2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2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720" w:type="dxa"/>
            <w:vAlign w:val="bottom"/>
            <w:vMerge w:val="continue"/>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right w:val="single" w:sz="8" w:color="auto"/>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720" w:type="dxa"/>
            <w:vAlign w:val="bottom"/>
          </w:tcPr>
          <w:p>
            <w:pPr>
              <w:spacing w:after="0"/>
              <w:rPr>
                <w:sz w:val="5"/>
                <w:szCs w:val="5"/>
                <w:color w:val="auto"/>
              </w:rPr>
            </w:pPr>
          </w:p>
        </w:tc>
        <w:tc>
          <w:tcPr>
            <w:tcW w:w="2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98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 w:type="dxa"/>
            <w:vAlign w:val="bottom"/>
            <w:tcBorders>
              <w:left w:val="single" w:sz="8" w:color="auto"/>
            </w:tcBorders>
          </w:tcPr>
          <w:p>
            <w:pPr>
              <w:spacing w:after="0"/>
              <w:rPr>
                <w:sz w:val="15"/>
                <w:szCs w:val="15"/>
                <w:color w:val="auto"/>
              </w:rPr>
            </w:pPr>
          </w:p>
        </w:tc>
        <w:tc>
          <w:tcPr>
            <w:tcW w:w="98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6720" w:type="dxa"/>
            <w:vAlign w:val="bottom"/>
            <w:tcBorders>
              <w:bottom w:val="single" w:sz="8" w:color="auto"/>
            </w:tcBorders>
            <w:vMerge w:val="continue"/>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1,696,252</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980" w:type="dxa"/>
            <w:vAlign w:val="bottom"/>
          </w:tcPr>
          <w:p>
            <w:pPr>
              <w:ind w:left="160"/>
              <w:spacing w:after="0"/>
              <w:rPr>
                <w:sz w:val="20"/>
                <w:szCs w:val="20"/>
                <w:color w:val="auto"/>
              </w:rPr>
            </w:pPr>
            <w:r>
              <w:rPr>
                <w:rFonts w:ascii="Arial" w:cs="Arial" w:eastAsia="Arial" w:hAnsi="Arial"/>
                <w:sz w:val="17"/>
                <w:szCs w:val="17"/>
                <w:color w:val="auto"/>
                <w:w w:val="72"/>
              </w:rPr>
              <w:t>AGGREGATE</w:t>
            </w:r>
          </w:p>
        </w:tc>
        <w:tc>
          <w:tcPr>
            <w:tcW w:w="420" w:type="dxa"/>
            <w:vAlign w:val="bottom"/>
            <w:gridSpan w:val="2"/>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1,696,252</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120" w:type="dxa"/>
            <w:vAlign w:val="bottom"/>
            <w:gridSpan w:val="4"/>
          </w:tcPr>
          <w:p>
            <w:pPr>
              <w:ind w:left="220"/>
              <w:spacing w:after="0"/>
              <w:rPr>
                <w:sz w:val="20"/>
                <w:szCs w:val="20"/>
                <w:color w:val="auto"/>
              </w:rPr>
            </w:pPr>
            <w:r>
              <w:rPr>
                <w:rFonts w:ascii="Arial" w:cs="Arial" w:eastAsia="Arial" w:hAnsi="Arial"/>
                <w:sz w:val="18"/>
                <w:szCs w:val="18"/>
                <w:color w:val="auto"/>
              </w:rPr>
              <w:t>CHECK IF THE AGGREGATE AMOUNT IN ROW (11) EXCLUDES CERTAIN SHARES</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13.4%</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812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0"/>
        </w:trPr>
        <w:tc>
          <w:tcPr>
            <w:tcW w:w="1720" w:type="dxa"/>
            <w:vAlign w:val="bottom"/>
            <w:gridSpan w:val="3"/>
          </w:tcPr>
          <w:p>
            <w:pPr>
              <w:jc w:val="right"/>
              <w:spacing w:after="0"/>
              <w:rPr>
                <w:sz w:val="20"/>
                <w:szCs w:val="20"/>
                <w:color w:val="auto"/>
              </w:rPr>
            </w:pPr>
            <w:r>
              <w:rPr>
                <w:rFonts w:ascii="Arial" w:cs="Arial" w:eastAsia="Arial" w:hAnsi="Arial"/>
                <w:sz w:val="18"/>
                <w:szCs w:val="18"/>
                <w:color w:val="auto"/>
                <w:w w:val="91"/>
              </w:rPr>
              <w:t>CUSIP No. 30068X103</w:t>
            </w:r>
          </w:p>
        </w:tc>
        <w:tc>
          <w:tcPr>
            <w:tcW w:w="120" w:type="dxa"/>
            <w:vAlign w:val="bottom"/>
          </w:tcPr>
          <w:p>
            <w:pPr>
              <w:spacing w:after="0"/>
              <w:rPr>
                <w:sz w:val="20"/>
                <w:szCs w:val="20"/>
                <w:color w:val="auto"/>
              </w:rPr>
            </w:pPr>
          </w:p>
        </w:tc>
        <w:tc>
          <w:tcPr>
            <w:tcW w:w="6720" w:type="dxa"/>
            <w:vAlign w:val="bottom"/>
          </w:tcPr>
          <w:p>
            <w:pPr>
              <w:ind w:left="3740"/>
              <w:spacing w:after="0"/>
              <w:rPr>
                <w:sz w:val="20"/>
                <w:szCs w:val="20"/>
                <w:color w:val="auto"/>
              </w:rPr>
            </w:pPr>
            <w:r>
              <w:rPr>
                <w:rFonts w:ascii="Arial" w:cs="Arial" w:eastAsia="Arial" w:hAnsi="Arial"/>
                <w:sz w:val="18"/>
                <w:szCs w:val="18"/>
                <w:color w:val="auto"/>
              </w:rPr>
              <w:t>13D</w:t>
            </w:r>
          </w:p>
        </w:tc>
        <w:tc>
          <w:tcPr>
            <w:tcW w:w="2480" w:type="dxa"/>
            <w:vAlign w:val="bottom"/>
          </w:tcPr>
          <w:p>
            <w:pPr>
              <w:ind w:left="1180"/>
              <w:spacing w:after="0"/>
              <w:rPr>
                <w:sz w:val="20"/>
                <w:szCs w:val="20"/>
                <w:color w:val="auto"/>
              </w:rPr>
            </w:pPr>
            <w:r>
              <w:rPr>
                <w:rFonts w:ascii="Arial" w:cs="Arial" w:eastAsia="Arial" w:hAnsi="Arial"/>
                <w:sz w:val="18"/>
                <w:szCs w:val="18"/>
                <w:color w:val="auto"/>
                <w:w w:val="85"/>
              </w:rPr>
              <w:t>Page 2 of 9 Pages</w:t>
            </w:r>
          </w:p>
        </w:tc>
        <w:tc>
          <w:tcPr>
            <w:tcW w:w="0" w:type="dxa"/>
            <w:vAlign w:val="bottom"/>
          </w:tcPr>
          <w:p>
            <w:pPr>
              <w:spacing w:after="0"/>
              <w:rPr>
                <w:sz w:val="1"/>
                <w:szCs w:val="1"/>
                <w:color w:val="auto"/>
              </w:rPr>
            </w:pPr>
          </w:p>
        </w:tc>
      </w:tr>
      <w:tr>
        <w:trPr>
          <w:trHeight w:val="148"/>
        </w:trPr>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7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H.I.G.-GPII, Inc.</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120" w:type="dxa"/>
            <w:vAlign w:val="bottom"/>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0"/>
              </w:rPr>
              <w:t>(b)</w:t>
            </w:r>
          </w:p>
        </w:tc>
        <w:tc>
          <w:tcPr>
            <w:tcW w:w="68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right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72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SOURCE OF FUNDS</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Delaware</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NUMBER OF</w:t>
            </w:r>
          </w:p>
        </w:tc>
        <w:tc>
          <w:tcPr>
            <w:tcW w:w="3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1"/>
              </w:rPr>
              <w:t>SHARES</w:t>
            </w: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40" w:type="dxa"/>
            <w:vAlign w:val="bottom"/>
            <w:tcBorders>
              <w:left w:val="single" w:sz="8" w:color="auto"/>
            </w:tcBorders>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2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BENEFICIALLY</w:t>
            </w:r>
          </w:p>
        </w:tc>
        <w:tc>
          <w:tcPr>
            <w:tcW w:w="3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20" w:type="dxa"/>
            <w:vAlign w:val="bottom"/>
            <w:vMerge w:val="continue"/>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1,696,252</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5"/>
              </w:rPr>
              <w:t>EACH</w:t>
            </w: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40" w:type="dxa"/>
            <w:vAlign w:val="bottom"/>
            <w:tcBorders>
              <w:lef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2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2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720" w:type="dxa"/>
            <w:vAlign w:val="bottom"/>
            <w:vMerge w:val="continue"/>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right w:val="single" w:sz="8" w:color="auto"/>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720" w:type="dxa"/>
            <w:vAlign w:val="bottom"/>
          </w:tcPr>
          <w:p>
            <w:pPr>
              <w:spacing w:after="0"/>
              <w:rPr>
                <w:sz w:val="5"/>
                <w:szCs w:val="5"/>
                <w:color w:val="auto"/>
              </w:rPr>
            </w:pPr>
          </w:p>
        </w:tc>
        <w:tc>
          <w:tcPr>
            <w:tcW w:w="2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98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 w:type="dxa"/>
            <w:vAlign w:val="bottom"/>
            <w:tcBorders>
              <w:left w:val="single" w:sz="8" w:color="auto"/>
            </w:tcBorders>
          </w:tcPr>
          <w:p>
            <w:pPr>
              <w:spacing w:after="0"/>
              <w:rPr>
                <w:sz w:val="15"/>
                <w:szCs w:val="15"/>
                <w:color w:val="auto"/>
              </w:rPr>
            </w:pPr>
          </w:p>
        </w:tc>
        <w:tc>
          <w:tcPr>
            <w:tcW w:w="98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6720" w:type="dxa"/>
            <w:vAlign w:val="bottom"/>
            <w:tcBorders>
              <w:bottom w:val="single" w:sz="8" w:color="auto"/>
            </w:tcBorders>
            <w:vMerge w:val="continue"/>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1,696,252</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980" w:type="dxa"/>
            <w:vAlign w:val="bottom"/>
          </w:tcPr>
          <w:p>
            <w:pPr>
              <w:ind w:left="160"/>
              <w:spacing w:after="0"/>
              <w:rPr>
                <w:sz w:val="20"/>
                <w:szCs w:val="20"/>
                <w:color w:val="auto"/>
              </w:rPr>
            </w:pPr>
            <w:r>
              <w:rPr>
                <w:rFonts w:ascii="Arial" w:cs="Arial" w:eastAsia="Arial" w:hAnsi="Arial"/>
                <w:sz w:val="17"/>
                <w:szCs w:val="17"/>
                <w:color w:val="auto"/>
                <w:w w:val="72"/>
              </w:rPr>
              <w:t>AGGREGATE</w:t>
            </w:r>
          </w:p>
        </w:tc>
        <w:tc>
          <w:tcPr>
            <w:tcW w:w="420" w:type="dxa"/>
            <w:vAlign w:val="bottom"/>
            <w:gridSpan w:val="2"/>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1,696,252</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120" w:type="dxa"/>
            <w:vAlign w:val="bottom"/>
            <w:gridSpan w:val="4"/>
          </w:tcPr>
          <w:p>
            <w:pPr>
              <w:ind w:left="220"/>
              <w:spacing w:after="0"/>
              <w:rPr>
                <w:sz w:val="20"/>
                <w:szCs w:val="20"/>
                <w:color w:val="auto"/>
              </w:rPr>
            </w:pPr>
            <w:r>
              <w:rPr>
                <w:rFonts w:ascii="Arial" w:cs="Arial" w:eastAsia="Arial" w:hAnsi="Arial"/>
                <w:sz w:val="18"/>
                <w:szCs w:val="18"/>
                <w:color w:val="auto"/>
              </w:rPr>
              <w:t>CHECK IF THE AGGREGATE AMOUNT IN ROW (11) EXCLUDES CERTAIN SHARES</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13.4%</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812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0"/>
        </w:trPr>
        <w:tc>
          <w:tcPr>
            <w:tcW w:w="1720" w:type="dxa"/>
            <w:vAlign w:val="bottom"/>
            <w:gridSpan w:val="3"/>
          </w:tcPr>
          <w:p>
            <w:pPr>
              <w:jc w:val="right"/>
              <w:spacing w:after="0"/>
              <w:rPr>
                <w:sz w:val="20"/>
                <w:szCs w:val="20"/>
                <w:color w:val="auto"/>
              </w:rPr>
            </w:pPr>
            <w:r>
              <w:rPr>
                <w:rFonts w:ascii="Arial" w:cs="Arial" w:eastAsia="Arial" w:hAnsi="Arial"/>
                <w:sz w:val="18"/>
                <w:szCs w:val="18"/>
                <w:color w:val="auto"/>
                <w:w w:val="91"/>
              </w:rPr>
              <w:t>CUSIP No. 30068X103</w:t>
            </w:r>
          </w:p>
        </w:tc>
        <w:tc>
          <w:tcPr>
            <w:tcW w:w="120" w:type="dxa"/>
            <w:vAlign w:val="bottom"/>
          </w:tcPr>
          <w:p>
            <w:pPr>
              <w:spacing w:after="0"/>
              <w:rPr>
                <w:sz w:val="20"/>
                <w:szCs w:val="20"/>
                <w:color w:val="auto"/>
              </w:rPr>
            </w:pPr>
          </w:p>
        </w:tc>
        <w:tc>
          <w:tcPr>
            <w:tcW w:w="6720" w:type="dxa"/>
            <w:vAlign w:val="bottom"/>
          </w:tcPr>
          <w:p>
            <w:pPr>
              <w:ind w:left="3740"/>
              <w:spacing w:after="0"/>
              <w:rPr>
                <w:sz w:val="20"/>
                <w:szCs w:val="20"/>
                <w:color w:val="auto"/>
              </w:rPr>
            </w:pPr>
            <w:r>
              <w:rPr>
                <w:rFonts w:ascii="Arial" w:cs="Arial" w:eastAsia="Arial" w:hAnsi="Arial"/>
                <w:sz w:val="18"/>
                <w:szCs w:val="18"/>
                <w:color w:val="auto"/>
              </w:rPr>
              <w:t>13D</w:t>
            </w:r>
          </w:p>
        </w:tc>
        <w:tc>
          <w:tcPr>
            <w:tcW w:w="2480" w:type="dxa"/>
            <w:vAlign w:val="bottom"/>
          </w:tcPr>
          <w:p>
            <w:pPr>
              <w:ind w:left="1180"/>
              <w:spacing w:after="0"/>
              <w:rPr>
                <w:sz w:val="20"/>
                <w:szCs w:val="20"/>
                <w:color w:val="auto"/>
              </w:rPr>
            </w:pPr>
            <w:r>
              <w:rPr>
                <w:rFonts w:ascii="Arial" w:cs="Arial" w:eastAsia="Arial" w:hAnsi="Arial"/>
                <w:sz w:val="18"/>
                <w:szCs w:val="18"/>
                <w:color w:val="auto"/>
                <w:w w:val="85"/>
              </w:rPr>
              <w:t>Page 3 of 9 Pages</w:t>
            </w:r>
          </w:p>
        </w:tc>
        <w:tc>
          <w:tcPr>
            <w:tcW w:w="0" w:type="dxa"/>
            <w:vAlign w:val="bottom"/>
          </w:tcPr>
          <w:p>
            <w:pPr>
              <w:spacing w:after="0"/>
              <w:rPr>
                <w:sz w:val="1"/>
                <w:szCs w:val="1"/>
                <w:color w:val="auto"/>
              </w:rPr>
            </w:pPr>
          </w:p>
        </w:tc>
      </w:tr>
      <w:tr>
        <w:trPr>
          <w:trHeight w:val="391"/>
        </w:trPr>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Anthony Tamer</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120" w:type="dxa"/>
            <w:vAlign w:val="bottom"/>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0"/>
              </w:rPr>
              <w:t>(b)</w:t>
            </w:r>
          </w:p>
        </w:tc>
        <w:tc>
          <w:tcPr>
            <w:tcW w:w="68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right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72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SOURCE OF FUNDS</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9"/>
              </w:rPr>
              <w:t>United States</w:t>
            </w: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NUMBER OF</w:t>
            </w:r>
          </w:p>
        </w:tc>
        <w:tc>
          <w:tcPr>
            <w:tcW w:w="3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1"/>
              </w:rPr>
              <w:t>SHARES</w:t>
            </w: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40" w:type="dxa"/>
            <w:vAlign w:val="bottom"/>
            <w:tcBorders>
              <w:left w:val="single" w:sz="8" w:color="auto"/>
            </w:tcBorders>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2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BENEFICIALLY</w:t>
            </w:r>
          </w:p>
        </w:tc>
        <w:tc>
          <w:tcPr>
            <w:tcW w:w="3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20" w:type="dxa"/>
            <w:vAlign w:val="bottom"/>
            <w:vMerge w:val="continue"/>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1,696,252</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5"/>
              </w:rPr>
              <w:t>EACH</w:t>
            </w: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40" w:type="dxa"/>
            <w:vAlign w:val="bottom"/>
            <w:tcBorders>
              <w:lef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2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2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720" w:type="dxa"/>
            <w:vAlign w:val="bottom"/>
            <w:vMerge w:val="continue"/>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right w:val="single" w:sz="8" w:color="auto"/>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720" w:type="dxa"/>
            <w:vAlign w:val="bottom"/>
          </w:tcPr>
          <w:p>
            <w:pPr>
              <w:spacing w:after="0"/>
              <w:rPr>
                <w:sz w:val="5"/>
                <w:szCs w:val="5"/>
                <w:color w:val="auto"/>
              </w:rPr>
            </w:pPr>
          </w:p>
        </w:tc>
        <w:tc>
          <w:tcPr>
            <w:tcW w:w="2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98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 w:type="dxa"/>
            <w:vAlign w:val="bottom"/>
            <w:tcBorders>
              <w:left w:val="single" w:sz="8" w:color="auto"/>
            </w:tcBorders>
          </w:tcPr>
          <w:p>
            <w:pPr>
              <w:spacing w:after="0"/>
              <w:rPr>
                <w:sz w:val="15"/>
                <w:szCs w:val="15"/>
                <w:color w:val="auto"/>
              </w:rPr>
            </w:pPr>
          </w:p>
        </w:tc>
        <w:tc>
          <w:tcPr>
            <w:tcW w:w="98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6720" w:type="dxa"/>
            <w:vAlign w:val="bottom"/>
            <w:tcBorders>
              <w:bottom w:val="single" w:sz="8" w:color="auto"/>
            </w:tcBorders>
            <w:vMerge w:val="continue"/>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1,696,252</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980" w:type="dxa"/>
            <w:vAlign w:val="bottom"/>
          </w:tcPr>
          <w:p>
            <w:pPr>
              <w:ind w:left="160"/>
              <w:spacing w:after="0"/>
              <w:rPr>
                <w:sz w:val="20"/>
                <w:szCs w:val="20"/>
                <w:color w:val="auto"/>
              </w:rPr>
            </w:pPr>
            <w:r>
              <w:rPr>
                <w:rFonts w:ascii="Arial" w:cs="Arial" w:eastAsia="Arial" w:hAnsi="Arial"/>
                <w:sz w:val="17"/>
                <w:szCs w:val="17"/>
                <w:color w:val="auto"/>
                <w:w w:val="72"/>
              </w:rPr>
              <w:t>AGGREGATE</w:t>
            </w:r>
          </w:p>
        </w:tc>
        <w:tc>
          <w:tcPr>
            <w:tcW w:w="420" w:type="dxa"/>
            <w:vAlign w:val="bottom"/>
            <w:gridSpan w:val="2"/>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1,696,252</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120" w:type="dxa"/>
            <w:vAlign w:val="bottom"/>
            <w:gridSpan w:val="4"/>
          </w:tcPr>
          <w:p>
            <w:pPr>
              <w:ind w:left="220"/>
              <w:spacing w:after="0"/>
              <w:rPr>
                <w:sz w:val="20"/>
                <w:szCs w:val="20"/>
                <w:color w:val="auto"/>
              </w:rPr>
            </w:pPr>
            <w:r>
              <w:rPr>
                <w:rFonts w:ascii="Arial" w:cs="Arial" w:eastAsia="Arial" w:hAnsi="Arial"/>
                <w:sz w:val="18"/>
                <w:szCs w:val="18"/>
                <w:color w:val="auto"/>
              </w:rPr>
              <w:t>CHECK IF THE AGGREGATE AMOUNT IN ROW (11) EXCLUDES CERTAIN SHARES</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13.4%</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812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0"/>
        </w:trPr>
        <w:tc>
          <w:tcPr>
            <w:tcW w:w="1720" w:type="dxa"/>
            <w:vAlign w:val="bottom"/>
            <w:gridSpan w:val="3"/>
          </w:tcPr>
          <w:p>
            <w:pPr>
              <w:jc w:val="right"/>
              <w:spacing w:after="0"/>
              <w:rPr>
                <w:sz w:val="20"/>
                <w:szCs w:val="20"/>
                <w:color w:val="auto"/>
              </w:rPr>
            </w:pPr>
            <w:r>
              <w:rPr>
                <w:rFonts w:ascii="Arial" w:cs="Arial" w:eastAsia="Arial" w:hAnsi="Arial"/>
                <w:sz w:val="18"/>
                <w:szCs w:val="18"/>
                <w:color w:val="auto"/>
                <w:w w:val="91"/>
              </w:rPr>
              <w:t>CUSIP No. 30068X103</w:t>
            </w:r>
          </w:p>
        </w:tc>
        <w:tc>
          <w:tcPr>
            <w:tcW w:w="120" w:type="dxa"/>
            <w:vAlign w:val="bottom"/>
          </w:tcPr>
          <w:p>
            <w:pPr>
              <w:spacing w:after="0"/>
              <w:rPr>
                <w:sz w:val="20"/>
                <w:szCs w:val="20"/>
                <w:color w:val="auto"/>
              </w:rPr>
            </w:pPr>
          </w:p>
        </w:tc>
        <w:tc>
          <w:tcPr>
            <w:tcW w:w="6720" w:type="dxa"/>
            <w:vAlign w:val="bottom"/>
          </w:tcPr>
          <w:p>
            <w:pPr>
              <w:ind w:left="3740"/>
              <w:spacing w:after="0"/>
              <w:rPr>
                <w:sz w:val="20"/>
                <w:szCs w:val="20"/>
                <w:color w:val="auto"/>
              </w:rPr>
            </w:pPr>
            <w:r>
              <w:rPr>
                <w:rFonts w:ascii="Arial" w:cs="Arial" w:eastAsia="Arial" w:hAnsi="Arial"/>
                <w:sz w:val="18"/>
                <w:szCs w:val="18"/>
                <w:color w:val="auto"/>
              </w:rPr>
              <w:t>13D</w:t>
            </w:r>
          </w:p>
        </w:tc>
        <w:tc>
          <w:tcPr>
            <w:tcW w:w="2480" w:type="dxa"/>
            <w:vAlign w:val="bottom"/>
          </w:tcPr>
          <w:p>
            <w:pPr>
              <w:ind w:left="1180"/>
              <w:spacing w:after="0"/>
              <w:rPr>
                <w:sz w:val="20"/>
                <w:szCs w:val="20"/>
                <w:color w:val="auto"/>
              </w:rPr>
            </w:pPr>
            <w:r>
              <w:rPr>
                <w:rFonts w:ascii="Arial" w:cs="Arial" w:eastAsia="Arial" w:hAnsi="Arial"/>
                <w:sz w:val="18"/>
                <w:szCs w:val="18"/>
                <w:color w:val="auto"/>
                <w:w w:val="85"/>
              </w:rPr>
              <w:t>Page 4 of 9 Pages</w:t>
            </w:r>
          </w:p>
        </w:tc>
        <w:tc>
          <w:tcPr>
            <w:tcW w:w="0" w:type="dxa"/>
            <w:vAlign w:val="bottom"/>
          </w:tcPr>
          <w:p>
            <w:pPr>
              <w:spacing w:after="0"/>
              <w:rPr>
                <w:sz w:val="1"/>
                <w:szCs w:val="1"/>
                <w:color w:val="auto"/>
              </w:rPr>
            </w:pPr>
          </w:p>
        </w:tc>
      </w:tr>
      <w:tr>
        <w:trPr>
          <w:trHeight w:val="392"/>
        </w:trPr>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Sami Mnaymneh</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120" w:type="dxa"/>
            <w:vAlign w:val="bottom"/>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0"/>
              </w:rPr>
              <w:t>(b)</w:t>
            </w:r>
          </w:p>
        </w:tc>
        <w:tc>
          <w:tcPr>
            <w:tcW w:w="68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right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72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SOURCE OF FUNDS</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9"/>
              </w:rPr>
              <w:t>United States</w:t>
            </w: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NUMBER OF</w:t>
            </w:r>
          </w:p>
        </w:tc>
        <w:tc>
          <w:tcPr>
            <w:tcW w:w="3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1"/>
              </w:rPr>
              <w:t>SHARES</w:t>
            </w: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40" w:type="dxa"/>
            <w:vAlign w:val="bottom"/>
            <w:tcBorders>
              <w:left w:val="single" w:sz="8" w:color="auto"/>
            </w:tcBorders>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2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BENEFICIALLY</w:t>
            </w:r>
          </w:p>
        </w:tc>
        <w:tc>
          <w:tcPr>
            <w:tcW w:w="3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20" w:type="dxa"/>
            <w:vAlign w:val="bottom"/>
            <w:vMerge w:val="continue"/>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1,696,252</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5"/>
              </w:rPr>
              <w:t>EACH</w:t>
            </w: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40" w:type="dxa"/>
            <w:vAlign w:val="bottom"/>
            <w:tcBorders>
              <w:lef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2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2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720" w:type="dxa"/>
            <w:vAlign w:val="bottom"/>
            <w:vMerge w:val="continue"/>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right w:val="single" w:sz="8" w:color="auto"/>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720" w:type="dxa"/>
            <w:vAlign w:val="bottom"/>
          </w:tcPr>
          <w:p>
            <w:pPr>
              <w:spacing w:after="0"/>
              <w:rPr>
                <w:sz w:val="5"/>
                <w:szCs w:val="5"/>
                <w:color w:val="auto"/>
              </w:rPr>
            </w:pPr>
          </w:p>
        </w:tc>
        <w:tc>
          <w:tcPr>
            <w:tcW w:w="2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98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 w:type="dxa"/>
            <w:vAlign w:val="bottom"/>
            <w:tcBorders>
              <w:left w:val="single" w:sz="8" w:color="auto"/>
            </w:tcBorders>
          </w:tcPr>
          <w:p>
            <w:pPr>
              <w:spacing w:after="0"/>
              <w:rPr>
                <w:sz w:val="15"/>
                <w:szCs w:val="15"/>
                <w:color w:val="auto"/>
              </w:rPr>
            </w:pPr>
          </w:p>
        </w:tc>
        <w:tc>
          <w:tcPr>
            <w:tcW w:w="980" w:type="dxa"/>
            <w:vAlign w:val="bottom"/>
            <w:tcBorders>
              <w:right w:val="single" w:sz="8" w:color="auto"/>
            </w:tcBorders>
          </w:tcPr>
          <w:p>
            <w:pPr>
              <w:jc w:val="center"/>
              <w:ind w:right="210"/>
              <w:spacing w:after="0" w:line="157" w:lineRule="exact"/>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6720" w:type="dxa"/>
            <w:vAlign w:val="bottom"/>
            <w:tcBorders>
              <w:bottom w:val="single" w:sz="8" w:color="auto"/>
            </w:tcBorders>
            <w:vMerge w:val="continue"/>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1,696,252</w:t>
            </w: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980" w:type="dxa"/>
            <w:vAlign w:val="bottom"/>
          </w:tcPr>
          <w:p>
            <w:pPr>
              <w:ind w:left="160"/>
              <w:spacing w:after="0"/>
              <w:rPr>
                <w:sz w:val="20"/>
                <w:szCs w:val="20"/>
                <w:color w:val="auto"/>
              </w:rPr>
            </w:pPr>
            <w:r>
              <w:rPr>
                <w:rFonts w:ascii="Arial" w:cs="Arial" w:eastAsia="Arial" w:hAnsi="Arial"/>
                <w:sz w:val="17"/>
                <w:szCs w:val="17"/>
                <w:color w:val="auto"/>
                <w:w w:val="72"/>
              </w:rPr>
              <w:t>AGGREGATE</w:t>
            </w:r>
          </w:p>
        </w:tc>
        <w:tc>
          <w:tcPr>
            <w:tcW w:w="420" w:type="dxa"/>
            <w:vAlign w:val="bottom"/>
            <w:gridSpan w:val="2"/>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1,696,252</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120" w:type="dxa"/>
            <w:vAlign w:val="bottom"/>
            <w:gridSpan w:val="4"/>
          </w:tcPr>
          <w:p>
            <w:pPr>
              <w:ind w:left="220"/>
              <w:spacing w:after="0"/>
              <w:rPr>
                <w:sz w:val="20"/>
                <w:szCs w:val="20"/>
                <w:color w:val="auto"/>
              </w:rPr>
            </w:pPr>
            <w:r>
              <w:rPr>
                <w:rFonts w:ascii="Arial" w:cs="Arial" w:eastAsia="Arial" w:hAnsi="Arial"/>
                <w:sz w:val="18"/>
                <w:szCs w:val="18"/>
                <w:color w:val="auto"/>
              </w:rPr>
              <w:t>CHECK IF THE AGGREGATE AMOUNT IN ROW (11) EXCLUDES CERTAIN SHARES</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812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2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13.4%</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812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2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5" w:name="page6"/>
    <w:bookmarkEnd w:id="5"/>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30068X103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5 of 9 Pages</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This statement on Schedule 13D (“Schedule 13D”) relates to the common stock (the “Common Stock”), of Exagen, Inc., a Delaware corporation (the “Issuer”), whose principal executive offices are located at 1261 Liberty Way, Vista, California 92081.</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statement is being filed by the following persons (each a “Reporting Person” and, collectively, the “Reporting Persons”):</w:t>
      </w:r>
    </w:p>
    <w:p>
      <w:pPr>
        <w:spacing w:after="0" w:line="131" w:lineRule="exact"/>
        <w:rPr>
          <w:sz w:val="20"/>
          <w:szCs w:val="20"/>
          <w:color w:val="auto"/>
        </w:rPr>
      </w:pPr>
    </w:p>
    <w:p>
      <w:pPr>
        <w:ind w:left="1420" w:hanging="439"/>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H.I.G. Bio-Exagen, L.P., a Delaware limited partnership (“H.I.G. LP”);</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H.I.G.-GPII, Inc., a Delaware corporation (“H.I.G. GP”);</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Anthony Tamer, a United States citizen;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Sami Mnaymneh, a United States citizen.</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principal business address of each of the Reporting Persons is 1450 Brickell Avenue, 31st Floor, Miami, FL 33131. H.I.G. LP and H.I.G. GP are principally engaged in the business of investments in securities. The principal occupation of each of Mr. Tamer and Mr. Mnaymneh is serving as the Co-Chief Executive Officer and Director of H.I.G. Capital, LLC. Messrs. Tamer and Mnaymneh are also the only executive officers and directors of H.I.G. GP.</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During the last five years, none of the Reporting Persons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31" w:lineRule="exact"/>
        <w:rPr>
          <w:sz w:val="20"/>
          <w:szCs w:val="20"/>
          <w:color w:val="auto"/>
        </w:rPr>
      </w:pPr>
    </w:p>
    <w:p>
      <w:pPr>
        <w:ind w:left="420"/>
        <w:spacing w:after="0"/>
        <w:tabs>
          <w:tab w:leader="none" w:pos="14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Prior to the Issuer’s initial public offering (the “IPO”), H.I.G. LP purchased 233,446,519 shares of the Series H Redeemable Convertible Preferred Stock (the “Preferred Stock”) for an aggregate consideration of approximately $11.0 million. Upon closing of the IPO, the Preferred Stock automatically converted into 1,271,252 shares of Common Stock. In addition, on September 23, 2019, H.I.G. LP purchased 425,000 shares of Common Stock in the IPO at a price of $14 per share.</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H.I.G. LP obtained the funds for the purchase of the shares of Preferred Stock and Common Stock through capital contributions from their partners, including the other Reporting Persons.</w:t>
      </w:r>
    </w:p>
    <w:p>
      <w:pPr>
        <w:sectPr>
          <w:pgSz w:w="11900" w:h="16838" w:orient="portrait"/>
          <w:cols w:equalWidth="0" w:num="1">
            <w:col w:w="11020"/>
          </w:cols>
          <w:pgMar w:left="440" w:top="274" w:right="439" w:bottom="1440" w:gutter="0" w:footer="0" w:header="0"/>
        </w:sectPr>
      </w:pPr>
    </w:p>
    <w:bookmarkStart w:id="6" w:name="page7"/>
    <w:bookmarkEnd w:id="6"/>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30068X103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6 of 9 Pages</w:t>
      </w:r>
    </w:p>
    <w:p>
      <w:pPr>
        <w:spacing w:after="0" w:line="15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On July 19, 2019, the Issuer, H.I.G. LP and certain other shareholders of the Issuer entered into an Amended and Restated Investors’ Rights Agreement (the “Investors’ Rights Agreement”), pursuant to which the Issuer granted certain demand registration rights, shelf registration rights and piggyback registration rights to such shareholders. The rights of any shareholder under the Investors’ Rights Agreement will terminate upon the later of:</w:t>
      </w:r>
    </w:p>
    <w:p>
      <w:pPr>
        <w:spacing w:after="0" w:line="2" w:lineRule="exact"/>
        <w:rPr>
          <w:sz w:val="20"/>
          <w:szCs w:val="20"/>
          <w:color w:val="auto"/>
        </w:rPr>
      </w:pPr>
    </w:p>
    <w:p>
      <w:pPr>
        <w:ind w:left="4" w:right="120" w:hanging="4"/>
        <w:spacing w:after="0" w:line="290"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five years following the closing of the IPO and (ii) such date, on or after the closing of the IPO, on which such shareholder holds less than 1% of the outstanding Common Stock and may immediately sell all shares of its Common Stock under Rule 144 during any ninety-day period.</w:t>
      </w:r>
    </w:p>
    <w:p>
      <w:pPr>
        <w:spacing w:after="0" w:line="161"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The foregoing description of the Investors’ Rights Agreement does not purport to be complete and is qualified in its entirety by reference to the full text of such agreement, which is filed as an exhibit to this Schedule 13D, and incorporated herein by reference.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The Reporting Persons acquired the securities described in this Schedule 13D for investment purposes and they intend to review their investments in the Issuer on a continuing basis. Any actions the Reporting Persons might undertake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w:t>
      </w:r>
    </w:p>
    <w:p>
      <w:pPr>
        <w:spacing w:after="0" w:line="188" w:lineRule="exact"/>
        <w:rPr>
          <w:sz w:val="20"/>
          <w:szCs w:val="20"/>
          <w:color w:val="auto"/>
        </w:rPr>
      </w:pPr>
    </w:p>
    <w:p>
      <w:pPr>
        <w:ind w:left="4" w:right="140" w:firstLine="440"/>
        <w:spacing w:after="0" w:line="296" w:lineRule="auto"/>
        <w:rPr>
          <w:sz w:val="20"/>
          <w:szCs w:val="20"/>
          <w:color w:val="auto"/>
        </w:rPr>
      </w:pPr>
      <w:r>
        <w:rPr>
          <w:rFonts w:ascii="Arial" w:cs="Arial" w:eastAsia="Arial" w:hAnsi="Arial"/>
          <w:sz w:val="16"/>
          <w:szCs w:val="16"/>
          <w:color w:val="auto"/>
        </w:rPr>
        <w:t>The Reporting Persons may, at any time and from time to time, acquire additional securities of the Issuer, or retain or sell all or a portion of the securities then held, in the open market or in privately negotiated transactions. In addition, the Reporting Persons or their designee to the Issuer’s board of directors may engage in discussions with management, the board of directors, and shareholders of the Issuer and other relevant parties or encourage such persons to consider or explore extraordinary corporate transactions, such as: a merger; sales or acquisitions of assets or businesses; changes to the capitalization or dividend policy of the Issuer; or other material changes to the Issuer’s business or corporate structure.</w:t>
      </w:r>
    </w:p>
    <w:p>
      <w:pPr>
        <w:spacing w:after="0" w:line="161"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Other than as described above, none of the Reporting Persons currently has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 (b)</w:t>
      </w:r>
    </w:p>
    <w:p>
      <w:pPr>
        <w:spacing w:after="0" w:line="225" w:lineRule="exact"/>
        <w:rPr>
          <w:sz w:val="20"/>
          <w:szCs w:val="20"/>
          <w:color w:val="auto"/>
        </w:rPr>
      </w:pPr>
    </w:p>
    <w:p>
      <w:pPr>
        <w:ind w:left="4" w:right="180" w:firstLine="440"/>
        <w:spacing w:after="0" w:line="279" w:lineRule="auto"/>
        <w:rPr>
          <w:sz w:val="20"/>
          <w:szCs w:val="20"/>
          <w:color w:val="auto"/>
        </w:rPr>
      </w:pPr>
      <w:r>
        <w:rPr>
          <w:rFonts w:ascii="Arial" w:cs="Arial" w:eastAsia="Arial" w:hAnsi="Arial"/>
          <w:sz w:val="17"/>
          <w:szCs w:val="17"/>
          <w:color w:val="auto"/>
        </w:rPr>
        <w:t>The following sets forth the aggregate number and percentage of shares of Common Stock beneficially owned by each of the Reporting Persons, as well as the number of shares of Common Stock as to which each Reporting Person has the sole power to vote or to direct the vote, shared power to vote or to direct the vote, sole power to dispose or to direct the disposition, or shared power to dispose or to direct the disposition of as of the date hereof, based on 12,652,138 shares of Common Stock outstanding as of November 6, 2020, as reported by the</w:t>
      </w:r>
    </w:p>
    <w:p>
      <w:pPr>
        <w:sectPr>
          <w:pgSz w:w="11900" w:h="16838" w:orient="portrait"/>
          <w:cols w:equalWidth="0" w:num="1">
            <w:col w:w="11024"/>
          </w:cols>
          <w:pgMar w:left="436" w:top="274" w:right="439" w:bottom="1440" w:gutter="0" w:footer="0" w:header="0"/>
        </w:sectPr>
      </w:pPr>
    </w:p>
    <w:bookmarkStart w:id="7" w:name="page8"/>
    <w:bookmarkEnd w:id="7"/>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30068X103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7 of 9 Pages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Issuer in its Form 10-Q filed with the Securities and Exchange Commission for the quarter ended September 30, 2020.</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Sole</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Sole</w:t>
            </w: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Shared</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power to</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dispose or</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power to</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power to</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to direct</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to direct</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Percent</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vote or</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vote or to</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the</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8"/>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 Person</w:t>
            </w:r>
            <w:r>
              <w:rPr>
                <w:rFonts w:ascii="Arial" w:cs="Arial" w:eastAsia="Arial" w:hAnsi="Arial"/>
                <w:sz w:val="12"/>
                <w:szCs w:val="12"/>
                <w:b w:val="1"/>
                <w:bCs w:val="1"/>
                <w:color w:val="auto"/>
              </w:rPr>
              <w:t>(1)</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860" w:type="dxa"/>
            <w:vAlign w:val="bottom"/>
            <w:gridSpan w:val="2"/>
            <w:vMerge w:val="continue"/>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to direct</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direct the</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disposition</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158"/>
        </w:trPr>
        <w:tc>
          <w:tcPr>
            <w:tcW w:w="5500" w:type="dxa"/>
            <w:vAlign w:val="bottom"/>
            <w:gridSpan w:val="2"/>
            <w:vMerge w:val="continue"/>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owned</w:t>
            </w:r>
          </w:p>
        </w:tc>
        <w:tc>
          <w:tcPr>
            <w:tcW w:w="8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84"/>
              </w:rPr>
              <w:t>of class</w:t>
            </w:r>
          </w:p>
        </w:tc>
        <w:tc>
          <w:tcPr>
            <w:tcW w:w="8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the vote</w:t>
            </w: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vote</w:t>
            </w: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of</w:t>
            </w:r>
          </w:p>
        </w:tc>
        <w:tc>
          <w:tcPr>
            <w:tcW w:w="8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H.I.G. Bio-Exagen, L.P.</w:t>
            </w:r>
          </w:p>
        </w:tc>
        <w:tc>
          <w:tcPr>
            <w:tcW w:w="7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1,696,252</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13.4%</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0</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1,696,252</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1,696,252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H.I.G.-GPII, Inc.</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1,696,252</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1,696,252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1,696,252</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Tamer</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1,696,252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1,696,252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1,696,252</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Sami Mnaymneh</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1,696,252</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1,696,252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1,696,252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 w:right="220" w:firstLine="440"/>
        <w:spacing w:after="0" w:line="263" w:lineRule="auto"/>
        <w:rPr>
          <w:sz w:val="20"/>
          <w:szCs w:val="20"/>
          <w:color w:val="auto"/>
        </w:rPr>
      </w:pPr>
      <w:r>
        <w:rPr>
          <w:rFonts w:ascii="Arial" w:cs="Arial" w:eastAsia="Arial" w:hAnsi="Arial"/>
          <w:sz w:val="18"/>
          <w:szCs w:val="18"/>
          <w:color w:val="auto"/>
        </w:rPr>
        <w:t>H.I.G. LP is the record holder of the securities reported herein. H.I.G. GP is the general partner of H.I.G. LP and has sole voting and investment control over the shares owned by H.I.G. LP. Anthony Tamer and Sami Mnaymneh are the sole shareholders of H.I.G. GP and may be deemed to share beneficial ownership of the shares held by H.I.G. Bio-Exagen, L.P.</w:t>
      </w:r>
    </w:p>
    <w:p>
      <w:pPr>
        <w:spacing w:after="0" w:line="89"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past 60 days none of the Reporting Persons has effected any transactions in the Common Stock.</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ind w:left="4" w:right="780" w:firstLine="440"/>
        <w:spacing w:after="0" w:line="277" w:lineRule="auto"/>
        <w:rPr>
          <w:sz w:val="20"/>
          <w:szCs w:val="20"/>
          <w:color w:val="auto"/>
        </w:rPr>
      </w:pPr>
      <w:r>
        <w:rPr>
          <w:rFonts w:ascii="Arial" w:cs="Arial" w:eastAsia="Arial" w:hAnsi="Arial"/>
          <w:sz w:val="18"/>
          <w:szCs w:val="18"/>
          <w:color w:val="auto"/>
        </w:rPr>
        <w:t>Item 4 above summarizes certain provisions of the Investors’ Rights Agreement and is incorporated herein by reference. A copy of such agreement is attached as an exhibit to this Schedule 13D, and incorporated herein by reference.</w:t>
      </w:r>
    </w:p>
    <w:p>
      <w:pPr>
        <w:spacing w:after="0" w:line="170"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ectPr>
          <w:pgSz w:w="11900" w:h="16838" w:orient="portrait"/>
          <w:cols w:equalWidth="0" w:num="1">
            <w:col w:w="11024"/>
          </w:cols>
          <w:pgMar w:left="436" w:top="274"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0"/>
        </w:trPr>
        <w:tc>
          <w:tcPr>
            <w:tcW w:w="4520" w:type="dxa"/>
            <w:vAlign w:val="bottom"/>
            <w:gridSpan w:val="4"/>
          </w:tcPr>
          <w:p>
            <w:pPr>
              <w:spacing w:after="0"/>
              <w:rPr>
                <w:sz w:val="20"/>
                <w:szCs w:val="20"/>
                <w:color w:val="auto"/>
              </w:rPr>
            </w:pPr>
            <w:r>
              <w:rPr>
                <w:rFonts w:ascii="Arial" w:cs="Arial" w:eastAsia="Arial" w:hAnsi="Arial"/>
                <w:sz w:val="18"/>
                <w:szCs w:val="18"/>
                <w:color w:val="auto"/>
              </w:rPr>
              <w:t>CUSIP No. 30068X103</w:t>
            </w:r>
          </w:p>
        </w:tc>
        <w:tc>
          <w:tcPr>
            <w:tcW w:w="3600" w:type="dxa"/>
            <w:vAlign w:val="bottom"/>
          </w:tcPr>
          <w:p>
            <w:pPr>
              <w:ind w:left="1060"/>
              <w:spacing w:after="0"/>
              <w:rPr>
                <w:sz w:val="20"/>
                <w:szCs w:val="20"/>
                <w:color w:val="auto"/>
              </w:rPr>
            </w:pPr>
            <w:r>
              <w:rPr>
                <w:rFonts w:ascii="Arial" w:cs="Arial" w:eastAsia="Arial" w:hAnsi="Arial"/>
                <w:sz w:val="18"/>
                <w:szCs w:val="18"/>
                <w:color w:val="auto"/>
              </w:rPr>
              <w:t>13D</w:t>
            </w:r>
          </w:p>
        </w:tc>
        <w:tc>
          <w:tcPr>
            <w:tcW w:w="2900" w:type="dxa"/>
            <w:vAlign w:val="bottom"/>
          </w:tcPr>
          <w:p>
            <w:pPr>
              <w:ind w:left="1620"/>
              <w:spacing w:after="0"/>
              <w:rPr>
                <w:sz w:val="20"/>
                <w:szCs w:val="20"/>
                <w:color w:val="auto"/>
              </w:rPr>
            </w:pPr>
            <w:r>
              <w:rPr>
                <w:rFonts w:ascii="Arial" w:cs="Arial" w:eastAsia="Arial" w:hAnsi="Arial"/>
                <w:sz w:val="18"/>
                <w:szCs w:val="18"/>
                <w:color w:val="auto"/>
                <w:w w:val="85"/>
              </w:rPr>
              <w:t>Page 8 of 9 Pages</w:t>
            </w:r>
          </w:p>
        </w:tc>
        <w:tc>
          <w:tcPr>
            <w:tcW w:w="0" w:type="dxa"/>
            <w:vAlign w:val="bottom"/>
          </w:tcPr>
          <w:p>
            <w:pPr>
              <w:spacing w:after="0"/>
              <w:rPr>
                <w:sz w:val="1"/>
                <w:szCs w:val="1"/>
                <w:color w:val="auto"/>
              </w:rPr>
            </w:pPr>
          </w:p>
        </w:tc>
      </w:tr>
      <w:tr>
        <w:trPr>
          <w:trHeight w:val="36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7.</w:t>
            </w:r>
          </w:p>
        </w:tc>
        <w:tc>
          <w:tcPr>
            <w:tcW w:w="37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Materials to be Filed as Exhibits</w:t>
            </w:r>
          </w:p>
        </w:tc>
        <w:tc>
          <w:tcPr>
            <w:tcW w:w="36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60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600" w:type="dxa"/>
            <w:vAlign w:val="bottom"/>
            <w:vMerge w:val="continue"/>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264" w:hanging="1264"/>
        <w:spacing w:after="0"/>
        <w:tabs>
          <w:tab w:leader="none" w:pos="1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117" w:lineRule="exact"/>
        <w:rPr>
          <w:sz w:val="20"/>
          <w:szCs w:val="20"/>
          <w:color w:val="auto"/>
        </w:rPr>
      </w:pPr>
    </w:p>
    <w:p>
      <w:pPr>
        <w:ind w:left="1264" w:right="420" w:hanging="1264"/>
        <w:spacing w:after="0" w:line="342" w:lineRule="auto"/>
        <w:tabs>
          <w:tab w:leader="none" w:pos="1264" w:val="left"/>
        </w:tabs>
        <w:numPr>
          <w:ilvl w:val="0"/>
          <w:numId w:val="6"/>
        </w:numPr>
        <w:rPr>
          <w:rFonts w:ascii="Arial" w:cs="Arial" w:eastAsia="Arial" w:hAnsi="Arial"/>
          <w:sz w:val="16"/>
          <w:szCs w:val="16"/>
          <w:color w:val="auto"/>
        </w:rPr>
      </w:pPr>
      <w:r>
        <w:rPr>
          <w:rFonts w:ascii="Arial" w:cs="Arial" w:eastAsia="Arial" w:hAnsi="Arial"/>
          <w:sz w:val="16"/>
          <w:szCs w:val="16"/>
          <w:color w:val="auto"/>
        </w:rPr>
        <w:t>Amended and Restated Investors’ Rights Agreement, dated July 12, 2019, by and among the Issuer and certain of its stockholders (incorporated by reference to Exhibit 4.2 to the Issuer’s Registration Statement on Form S-1 filed on September 9, 2019).</w:t>
      </w:r>
    </w:p>
    <w:p>
      <w:pPr>
        <w:sectPr>
          <w:pgSz w:w="11900" w:h="16838" w:orient="portrait"/>
          <w:cols w:equalWidth="0" w:num="1">
            <w:col w:w="11024"/>
          </w:cols>
          <w:pgMar w:left="436" w:top="274" w:right="439" w:bottom="1440" w:gutter="0" w:footer="0" w:header="0"/>
        </w:sectPr>
      </w:pPr>
    </w:p>
    <w:bookmarkStart w:id="9" w:name="page10"/>
    <w:bookmarkEnd w:id="9"/>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30068X103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9 of 9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February 24,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H.I.G. Bio-Exagen,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H.I.G.-GP II, Inc., 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Richard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Richard Siegel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H.I.G.-GP II,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Richard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Richard Siegel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Anthony Tamer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Anthony Tamer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Sami W. Mnaymneh</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Sami W. Mnaymneh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that they are jointly filing this statement on Schedule 13D.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hereby execute this Joint Filing Agreement as of the 24</w:t>
      </w:r>
      <w:r>
        <w:rPr>
          <w:rFonts w:ascii="Arial" w:cs="Arial" w:eastAsia="Arial" w:hAnsi="Arial"/>
          <w:sz w:val="15"/>
          <w:szCs w:val="15"/>
          <w:color w:val="auto"/>
        </w:rPr>
        <w:t>th</w:t>
      </w:r>
      <w:r>
        <w:rPr>
          <w:rFonts w:ascii="Arial" w:cs="Arial" w:eastAsia="Arial" w:hAnsi="Arial"/>
          <w:sz w:val="18"/>
          <w:szCs w:val="18"/>
          <w:color w:val="auto"/>
        </w:rPr>
        <w:t xml:space="preserve"> day of February,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H.I.G. Bio-Exagen,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H.I.G.-GP II, Inc., 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Richard Siegel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H.I.G.-GP II,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Richard Siegel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Anthony Tamer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Anthony Tamer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Sami W. Mnaymneh</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Sami W. Mnaymneh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2021-02-24T15:51:07Z</dcterms:created>
  <dcterms:modified xsi:type="dcterms:W3CDTF">2021-02-24T15:51:07Z</dcterms:modified>
</cp:coreProperties>
</file>