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4, 2026 </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EXAGEN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001-39049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20-0434866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1261 Liberty 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Vista, CA 92081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(760) 560-1501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tbl>
      <w:tblPr>
        <w:tblW w:w="8441" w:type="dxa"/>
        <w:jc w:val="left"/>
        <w:tblInd w:w="0" w:type="dxa"/>
        <w:tblLayout w:type="fixed"/>
        <w:tblCellMar>
          <w:top w:w="28" w:type="dxa"/>
          <w:left w:w="28" w:type="dxa"/>
          <w:bottom w:w="28" w:type="dxa"/>
          <w:right w:w="28" w:type="dxa"/>
        </w:tblCellMar>
      </w:tblPr>
      <w:tblGrid>
        <w:gridCol w:w="124"/>
        <w:gridCol w:w="109"/>
        <w:gridCol w:w="109"/>
        <w:gridCol w:w="1259"/>
        <w:gridCol w:w="1259"/>
        <w:gridCol w:w="1259"/>
        <w:gridCol w:w="1259"/>
        <w:gridCol w:w="1259"/>
        <w:gridCol w:w="18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70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720"/>
        <w:gridCol w:w="720"/>
        <w:gridCol w:w="1020"/>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XGN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20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 reported its financial results for the three and six months ended June 30, 2026. A copy of the press release issued by the Company is furnished as Exhibit 99.1 to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6927"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exagenearningspressr.htm">
              <w:r>
                <w:rPr>
                  <w:rStyle w:val="InternetLink"/>
                  <w:rFonts w:ascii="Times New Roman;serif" w:hAnsi="Times New Roman;serif"/>
                  <w:b w:val="false"/>
                  <w:color w:val="0E32E1"/>
                  <w:sz w:val="20"/>
                  <w:u w:val="single"/>
                </w:rPr>
                <w:t>Press Release dated August 4,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927"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69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43"/>
        <w:gridCol w:w="143"/>
        <w:gridCol w:w="143"/>
        <w:gridCol w:w="143"/>
        <w:gridCol w:w="143"/>
        <w:gridCol w:w="143"/>
        <w:gridCol w:w="586"/>
        <w:gridCol w:w="586"/>
        <w:gridCol w:w="83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EXAGEN INC.</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756"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2438"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G. Black</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G. Black</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drawing>
          <wp:inline distT="0" distB="0" distL="0" distR="0">
            <wp:extent cx="1638300" cy="581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581025"/>
                    </a:xfrm>
                    <a:prstGeom prst="rect">
                      <a:avLst/>
                    </a:prstGeom>
                  </pic:spPr>
                </pic:pic>
              </a:graphicData>
            </a:graphic>
          </wp:inline>
        </w:drawing>
      </w:r>
    </w:p>
    <w:p>
      <w:pPr>
        <w:pStyle w:val="TextBody"/>
        <w:bidi w:val="0"/>
        <w:spacing w:lineRule="auto" w:line="276" w:before="0" w:after="160"/>
        <w:jc w:val="center"/>
        <w:rPr/>
      </w:pPr>
      <w:r>
        <w:rPr>
          <w:rFonts w:ascii="Arial;sans-serif" w:hAnsi="Arial;sans-serif"/>
          <w:b/>
          <w:color w:val="000000"/>
          <w:sz w:val="22"/>
          <w:shd w:fill="FFFFFF" w:val="clear"/>
        </w:rPr>
        <w:t>Exagen Inc. Reports Second Quarter 2026 Financial Results</w:t>
      </w:r>
      <w:r>
        <w:rPr>
          <w:color w:val="000000"/>
        </w:rPr>
        <w:t xml:space="preserve"> </w:t>
      </w:r>
    </w:p>
    <w:p>
      <w:pPr>
        <w:pStyle w:val="TextBody"/>
        <w:bidi w:val="0"/>
        <w:spacing w:before="0" w:after="0"/>
        <w:jc w:val="left"/>
        <w:rPr/>
      </w:pPr>
      <w:r>
        <w:rPr/>
      </w:r>
    </w:p>
    <w:p>
      <w:pPr>
        <w:pStyle w:val="TextBody"/>
        <w:bidi w:val="0"/>
        <w:spacing w:lineRule="auto" w:line="240" w:before="0" w:after="160"/>
        <w:jc w:val="center"/>
        <w:rPr>
          <w:rFonts w:ascii="Arial;sans-serif" w:hAnsi="Arial;sans-serif"/>
          <w:b w:val="false"/>
          <w:i/>
          <w:color w:val="000000"/>
          <w:sz w:val="22"/>
        </w:rPr>
      </w:pPr>
      <w:r>
        <w:rPr>
          <w:rFonts w:ascii="Arial;sans-serif" w:hAnsi="Arial;sans-serif"/>
          <w:b w:val="false"/>
          <w:i/>
          <w:color w:val="000000"/>
          <w:sz w:val="22"/>
        </w:rPr>
        <w:t xml:space="preserve">Achieved record total revenue, test volume and trailing twelve-month ASP </w:t>
      </w:r>
    </w:p>
    <w:p>
      <w:pPr>
        <w:pStyle w:val="TextBody"/>
        <w:bidi w:val="0"/>
        <w:spacing w:lineRule="auto" w:line="240" w:before="0" w:after="160"/>
        <w:jc w:val="center"/>
        <w:rPr>
          <w:rFonts w:ascii="Arial;sans-serif" w:hAnsi="Arial;sans-serif"/>
          <w:b w:val="false"/>
          <w:i/>
          <w:color w:val="000000"/>
          <w:sz w:val="22"/>
        </w:rPr>
      </w:pPr>
      <w:r>
        <w:rPr>
          <w:rFonts w:ascii="Arial;sans-serif" w:hAnsi="Arial;sans-serif"/>
          <w:b w:val="false"/>
          <w:i/>
          <w:color w:val="000000"/>
          <w:sz w:val="22"/>
        </w:rPr>
        <w:t xml:space="preserve">Reduced net loss by nearly 30% and narrowed adjusted EBITDA loss to $0.1 million </w:t>
      </w:r>
    </w:p>
    <w:p>
      <w:pPr>
        <w:pStyle w:val="TextBody"/>
        <w:bidi w:val="0"/>
        <w:spacing w:lineRule="auto" w:line="240" w:before="0" w:after="160"/>
        <w:jc w:val="center"/>
        <w:rPr>
          <w:rFonts w:ascii="Arial;sans-serif" w:hAnsi="Arial;sans-serif"/>
          <w:b w:val="false"/>
          <w:i/>
          <w:color w:val="000000"/>
          <w:sz w:val="22"/>
        </w:rPr>
      </w:pPr>
      <w:r>
        <w:rPr>
          <w:rFonts w:ascii="Arial;sans-serif" w:hAnsi="Arial;sans-serif"/>
          <w:b w:val="false"/>
          <w:i/>
          <w:color w:val="000000"/>
          <w:sz w:val="22"/>
        </w:rPr>
        <w:t xml:space="preserve">Increased full-year revenue guidance to $72 - $75 million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August 4,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Carlsbad, Calif., – Exagen Inc. (Nasdaq: XGN), a leading provider of autoimmune testing solutions, today reported financial results for the quarter ended June 30, 2026, and recent corporate updates. </w:t>
      </w:r>
    </w:p>
    <w:p>
      <w:pPr>
        <w:pStyle w:val="TextBody"/>
        <w:bidi w:val="0"/>
        <w:spacing w:before="0" w:after="0"/>
        <w:jc w:val="left"/>
        <w:rPr/>
      </w:pPr>
      <w:r>
        <w:rPr/>
      </w:r>
    </w:p>
    <w:tbl>
      <w:tblPr>
        <w:tblW w:w="9450" w:type="dxa"/>
        <w:jc w:val="left"/>
        <w:tblInd w:w="0" w:type="dxa"/>
        <w:tblLayout w:type="fixed"/>
        <w:tblCellMar>
          <w:top w:w="28" w:type="dxa"/>
          <w:left w:w="28" w:type="dxa"/>
          <w:bottom w:w="28" w:type="dxa"/>
          <w:right w:w="28" w:type="dxa"/>
        </w:tblCellMar>
      </w:tblPr>
      <w:tblGrid>
        <w:gridCol w:w="1341"/>
        <w:gridCol w:w="1178"/>
        <w:gridCol w:w="118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301"/>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Unaudited. In thousands, except ASP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Trailing-twelve-month average selling price (ASP)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30,033 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 xml:space="preserve">Second Quarter 2026 and Recent Corporate Highlights: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Achieved record total revenue of $19.9 million, an increase of 16% compared to second quarter 2025.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Grew AVISE CTD test volume 11% compared to second quarter 2025.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Expanded AVISE CTD trailing twelve-month ASP to $446 per test, an increase of $18 per test, or 4% compared to second quarter 2025.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Drove a significant improvement in adjusted EBITDA, reporting a loss of $0.1 million compared to a loss of $1.7 million in second quarter 2025.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Ended the quarter with approximately $25 million in cash and cash equivalents.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Published a systematic review validating strong real-world AVISE Lupus performance in an analysis of over 3,100 patients across 14 medical centers, which demonstrated that use of AVISE CTD correctly identified approximately 25% of SLE patients missed by conventional markers.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 xml:space="preserve">We continue to advance Exagen’s unique mission to bring clarity to autoimmune disease,” said John Aballi, President and Chief Executive Officer. “Second quarter financial results demonstrate the progress we’re making in improving the growth and operating profile of our business, putting us within reach of sustainable profitability and cash generation. At the same time, we are building on Exagen’s leadership in autoimmune diagnostics through continued investment in clinical evidence generation, pipeline innovation and AI-powered tools that support rheumatology workflows to strengthen our role in rheumatology decision-making.”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2026 Guidance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The Company increased full-year 2026 revenue guidance to $72 million - $75 million compared to previous guidance of $70 million - $73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Conference Call and Webcast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Date: August 4, 2026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Time: 8:30 a.m. ET/ 5:30 a.m. PT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U.S. dial-in: 877-407-0890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International dial-in: +1 201-389-0918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Webcast: Available via the Exagen Investor Relations website at investors.exagen.com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Replay:</w:t>
      </w:r>
      <w:r>
        <w:rPr>
          <w:color w:val="000000"/>
        </w:rPr>
        <w:t xml:space="preserve"> </w:t>
      </w:r>
      <w:r>
        <w:rPr>
          <w:rFonts w:ascii="Arial;sans-serif" w:hAnsi="Arial;sans-serif"/>
          <w:b w:val="false"/>
          <w:color w:val="000000"/>
          <w:sz w:val="22"/>
        </w:rPr>
        <w:t xml:space="preserve">A telephone replay will be available until Tuesday, August 18, 2026: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U.S. replay: 877-660-6853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International replay: +1 201-612-7415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Replay passcode: 13760979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Webcast: A recording of the webcast will be available one hour after the call concludes via the Exagen Investor Relations website at investors.exagen.com </w:t>
      </w:r>
    </w:p>
    <w:p>
      <w:pPr>
        <w:pStyle w:val="TextBody"/>
        <w:bidi w:val="0"/>
        <w:spacing w:before="0" w:after="120"/>
        <w:ind w:left="0" w:right="0" w:hanging="360"/>
        <w:jc w:val="left"/>
        <w:rPr/>
      </w:pPr>
      <w:r>
        <w:rPr/>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 xml:space="preserve">Use of Non-GAAP Financial Measures (Unaudited)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addition to the financial results prepared in accordance with generally accepted accounting principles in the United States (GAAP), this press release contains the metric adjusted EBITDA, which is not calculated in accordance with GAAP and is a non-GAAP financial measure. Adjusted EBITDA is defined as net loss adjusted for interest income (expense), income tax expense (benefit), depreciation and amortization expense, stock</w:t>
        <w:noBreakHyphen/>
        <w:t>based compensation expense, change in fair value of warrant liability, and certain other non</w:t>
        <w:noBreakHyphen/>
        <w:t>cash, unusual or non</w:t>
        <w:noBreakHyphen/>
        <w:t xml:space="preserve">recurring items, including, for example, losses on extinguishment of debt and changes in the fair value of warrant liabilities; we do not exclude normal, recurring, cash operating expenses from this measure. Such items could have a significant impact on the calculation of GAAP net loss.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Exagen uses adjusted EBITDA internally because the company believes these metrics provide useful supplemental information in assessing its operating performance reported in accordance with GAAP. Exagen believes adjusted EBITDA may enhance an evaluation of the operating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performance because it excludes the impact of prior decisions made about capital investment, financing, investing and certain expenses the company believes are not indicative of the ongoing performance. However, this non-GAAP financial measure may be different from non-GAAP financial measures used by other companies, even when the same or similarly titled terms are used to identify such measures, limiting their usefulness for comparative purposes.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This non-GAAP financial measure is not meant to be considered in isolation or used as a substitute for net loss reported in accordance with GAAP, should be considered in conjunction with the financial information presented in accordance with GAAP, has no standardized meaning prescribed by GAAP, is unaudited, and is not prepared under any comprehensive set of accounting rules or principles. In addition, from time to time in the future, there may be other items that Exagen may exclude for purposes of these non-GAAP financial measures, and the company may in the future cease to exclude items that it has historically excluded for purposes of these non-GAAP financial measures. Likewise, Exagen may determine to modify the nature of adjustments to arrive at these non-GAAP financial measures. Because of the non-standardized definitions of non-GAAP financial measures, the non-GAAP financial measure as used by the company in this press release and the accompanying reconciliation table have limits in their usefulness to investors and may be calculated differently from, and therefore may not be directly comparable to, similarly titled measures used by other companies. Accordingly, investors should not place undue reliance on non-GAAP financial measures.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 reconciliation of net loss to non-GAAP adjusted EBITDA is provided in the financial schedules that are part of this press release.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About Exagen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Exagen Inc. (Nasdaq: XGN) is a leading provider of autoimmune diagnostics, committed to transforming care for patients with chronic and debilitating autoimmune conditions. Based in San Diego County, California, Exagen’s mission is to provide clarity in autoimmune disease decision-making and improve clinical outcomes through its innovative testing portfolio. The company’s flagship product, AVISE® CTD, enables clinicians to more effectively diagnose complex autoimmune conditions such as lupus, rheumatoid arthritis, and Sjögren’s disease earlier and with greater accuracy. Exagen’s CLIA-certified, CAP-accredited laboratory specializes in the testing of rheumatic diseases, delivering precise and timely results, supported by a suite of AVISE-branded tests for disease diagnosis, prognosis, and monitoring. With a focus on research, innovation, education, and patient-centered care, Exagen is dedicated to addressing the ongoing challenges of autoimmune disease management.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For more information, visit Exagen.com or follow Exagen on LinkedIn.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Forward Looking Statements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positioning, and ambitions; evaluations and judgments regarding financial results and the potential implications of those results, potential future financial and business performance, including any improvements to adjusted EBITDA, ASP, net loss and potential profitability; the potential utility and effectiveness of Exagen’s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services and testing solutions; the impact of Exagen’s revenue cycle management strategy on the timing of collections and cash burn; potential stockholder value and growth and full-year 2026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interactions with regulatory authorities, and delays in ongoing and planned clinical trials involving its tests; the potential effects of inflation and tariffs on Exagen’s margins; and changes in laws and regulations related to Exagen’s regulatory requirements. Exagen’s commercial success depends upon attaining and maintaining significant market acceptance of its testing products among rheumatologists, patients, third-party payors and others in the medical community; Exagen’s ability to successfully execute on its business strategies; and ability to obtain additional funding;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2025, filed with the SEC on March 10, 2026,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Investors: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Tina Jacobsen, CFA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Exagen Inc.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ir@exagen.com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Exagen Inc.</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Unaudited Condensed Statements of Operations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811"/>
        <w:gridCol w:w="1362"/>
        <w:gridCol w:w="1362"/>
        <w:gridCol w:w="109"/>
        <w:gridCol w:w="109"/>
        <w:gridCol w:w="109"/>
        <w:gridCol w:w="223"/>
        <w:gridCol w:w="738"/>
        <w:gridCol w:w="115"/>
        <w:gridCol w:w="115"/>
        <w:gridCol w:w="115"/>
        <w:gridCol w:w="115"/>
        <w:gridCol w:w="223"/>
        <w:gridCol w:w="738"/>
        <w:gridCol w:w="115"/>
        <w:gridCol w:w="109"/>
        <w:gridCol w:w="109"/>
        <w:gridCol w:w="109"/>
        <w:gridCol w:w="223"/>
        <w:gridCol w:w="738"/>
        <w:gridCol w:w="109"/>
        <w:gridCol w:w="109"/>
        <w:gridCol w:w="109"/>
        <w:gridCol w:w="109"/>
        <w:gridCol w:w="223"/>
        <w:gridCol w:w="738"/>
        <w:gridCol w:w="161"/>
      </w:tblGrid>
      <w:tr>
        <w:trPr/>
        <w:tc>
          <w:tcPr>
            <w:tcW w:w="181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(8,191)</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shares used to compute 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24,164,569 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21,085,749 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24,012,761 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19,830,265 </w:t>
            </w:r>
          </w:p>
        </w:tc>
        <w:tc>
          <w:tcPr>
            <w:tcW w:w="16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Exagen Inc.</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Unaudited Condensed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32"/>
        <w:gridCol w:w="2222"/>
        <w:gridCol w:w="2223"/>
        <w:gridCol w:w="109"/>
        <w:gridCol w:w="109"/>
        <w:gridCol w:w="109"/>
        <w:gridCol w:w="213"/>
        <w:gridCol w:w="703"/>
        <w:gridCol w:w="118"/>
        <w:gridCol w:w="109"/>
        <w:gridCol w:w="109"/>
        <w:gridCol w:w="109"/>
        <w:gridCol w:w="243"/>
        <w:gridCol w:w="802"/>
        <w:gridCol w:w="195"/>
      </w:tblGrid>
      <w:tr>
        <w:trPr/>
        <w:tc>
          <w:tcPr>
            <w:tcW w:w="283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48,893 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58,022 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14,159 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non-current, net of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22,264 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39,719 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40,573 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$0.001 par value; 10,000,000 shares authorized, no shares issued or outstanding as of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$0.001 par value; 200,000,000 shares authorized as of June 30, 2026 and December 31, 2025; 24,193,101 and 22,911,575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331,708 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(321,445)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17,449 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51,935 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58,022 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Exagen Inc.</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Reconciliation of Non-GAAP Financial Measures (UNAUDITED)</w:t>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The table below presents the reconciliation of adjusted EBITDA, which is a non-GAAP financial measure. See "Use of Non-GAAP Financial Measures (UNAUDITED)" above for further information regarding Exagen's use of non-GAAP financial measures.</w:t>
      </w:r>
    </w:p>
    <w:tbl>
      <w:tblPr>
        <w:tblW w:w="8355" w:type="dxa"/>
        <w:jc w:val="center"/>
        <w:tblInd w:w="0" w:type="dxa"/>
        <w:tblLayout w:type="fixed"/>
        <w:tblCellMar>
          <w:top w:w="28" w:type="dxa"/>
          <w:left w:w="28" w:type="dxa"/>
          <w:bottom w:w="28" w:type="dxa"/>
          <w:right w:w="28" w:type="dxa"/>
        </w:tblCellMar>
      </w:tblPr>
      <w:tblGrid>
        <w:gridCol w:w="1070"/>
        <w:gridCol w:w="941"/>
        <w:gridCol w:w="944"/>
        <w:gridCol w:w="109"/>
        <w:gridCol w:w="109"/>
        <w:gridCol w:w="109"/>
        <w:gridCol w:w="219"/>
        <w:gridCol w:w="706"/>
        <w:gridCol w:w="121"/>
        <w:gridCol w:w="121"/>
        <w:gridCol w:w="121"/>
        <w:gridCol w:w="121"/>
        <w:gridCol w:w="219"/>
        <w:gridCol w:w="706"/>
        <w:gridCol w:w="121"/>
        <w:gridCol w:w="109"/>
        <w:gridCol w:w="109"/>
        <w:gridCol w:w="109"/>
        <w:gridCol w:w="200"/>
        <w:gridCol w:w="645"/>
        <w:gridCol w:w="111"/>
        <w:gridCol w:w="111"/>
        <w:gridCol w:w="111"/>
        <w:gridCol w:w="111"/>
        <w:gridCol w:w="200"/>
        <w:gridCol w:w="645"/>
        <w:gridCol w:w="157"/>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180" w:after="283"/>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2573</Words>
  <Characters>14703</Characters>
  <CharactersWithSpaces>17035</CharactersWithSpaces>
  <Paragraphs>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