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4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3"/>
                <w:szCs w:val="23"/>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2016-01-19</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$30,852,618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60" w:type="dxa"/>
            <w:vAlign w:val="bottom"/>
          </w:tcPr>
          <w:p>
            <w:pPr>
              <w:ind w:left="140"/>
              <w:spacing w:after="0"/>
              <w:rPr>
                <w:sz w:val="20"/>
                <w:szCs w:val="20"/>
                <w:color w:val="auto"/>
              </w:rPr>
            </w:pPr>
            <w:r>
              <w:rPr>
                <w:rFonts w:ascii="Arial" w:cs="Arial" w:eastAsia="Arial" w:hAnsi="Arial"/>
                <w:sz w:val="22"/>
                <w:szCs w:val="22"/>
                <w:color w:val="auto"/>
                <w:w w:val="91"/>
              </w:rPr>
              <w:t>$16,817,541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0"/>
              </w:rPr>
              <w:t>Total Remaining to be Sold $14,035,077 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2016-01-26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2019-12-07T22:51:28Z</dcterms:created>
  <dcterms:modified xsi:type="dcterms:W3CDTF">2019-12-07T22:51:28Z</dcterms:modified>
</cp:coreProperties>
</file>