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 (Amendment No. __1__)*</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Exagen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30068X103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1300" w:right="8600" w:firstLine="4"/>
        <w:spacing w:after="0" w:line="500" w:lineRule="auto"/>
        <w:tabs>
          <w:tab w:leader="none" w:pos="145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Rule 13d-1(b) [X] Rule 13d-1(c)</w:t>
      </w:r>
    </w:p>
    <w:p>
      <w:pPr>
        <w:spacing w:after="0" w:line="1" w:lineRule="exact"/>
        <w:rPr>
          <w:rFonts w:ascii="Times New Roman" w:cs="Times New Roman" w:eastAsia="Times New Roman" w:hAnsi="Times New Roman"/>
          <w:sz w:val="18"/>
          <w:szCs w:val="18"/>
          <w:color w:val="auto"/>
        </w:rPr>
      </w:pPr>
    </w:p>
    <w:p>
      <w:pPr>
        <w:ind w:left="1460" w:hanging="156"/>
        <w:spacing w:after="0"/>
        <w:tabs>
          <w:tab w:leader="none" w:pos="1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474980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 w:name="page2"/>
    <w:bookmarkEnd w:id="1"/>
    <w:p>
      <w:pPr>
        <w:ind w:left="652" w:hanging="652"/>
        <w:spacing w:after="0"/>
        <w:tabs>
          <w:tab w:leader="none" w:pos="65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652" w:right="3899"/>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RTW Investments, LP</w:t>
      </w:r>
    </w:p>
    <w:p>
      <w:pPr>
        <w:ind w:left="652" w:hanging="652"/>
        <w:spacing w:after="0"/>
        <w:tabs>
          <w:tab w:leader="none" w:pos="65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5" w:lineRule="exact"/>
        <w:rPr>
          <w:sz w:val="20"/>
          <w:szCs w:val="20"/>
          <w:color w:val="auto"/>
        </w:rPr>
      </w:pPr>
    </w:p>
    <w:p>
      <w:pPr>
        <w:ind w:left="7772"/>
        <w:spacing w:after="0"/>
        <w:rPr>
          <w:sz w:val="20"/>
          <w:szCs w:val="20"/>
          <w:color w:val="auto"/>
        </w:rPr>
      </w:pPr>
      <w:r>
        <w:rPr>
          <w:rFonts w:ascii="Times New Roman" w:cs="Times New Roman" w:eastAsia="Times New Roman" w:hAnsi="Times New Roman"/>
          <w:sz w:val="18"/>
          <w:szCs w:val="18"/>
          <w:color w:val="auto"/>
        </w:rPr>
        <w:t>(a) [ ]</w:t>
      </w:r>
    </w:p>
    <w:p>
      <w:pPr>
        <w:spacing w:after="0" w:line="27" w:lineRule="exact"/>
        <w:rPr>
          <w:sz w:val="20"/>
          <w:szCs w:val="20"/>
          <w:color w:val="auto"/>
        </w:rPr>
      </w:pPr>
    </w:p>
    <w:p>
      <w:pPr>
        <w:ind w:left="7772"/>
        <w:spacing w:after="0"/>
        <w:rPr>
          <w:sz w:val="20"/>
          <w:szCs w:val="20"/>
          <w:color w:val="auto"/>
        </w:rPr>
      </w:pPr>
      <w:r>
        <w:rPr>
          <w:rFonts w:ascii="Times New Roman" w:cs="Times New Roman" w:eastAsia="Times New Roman" w:hAnsi="Times New Roman"/>
          <w:sz w:val="18"/>
          <w:szCs w:val="18"/>
          <w:color w:val="auto"/>
        </w:rPr>
        <w:t>(b) [X]</w:t>
      </w:r>
    </w:p>
    <w:p>
      <w:pPr>
        <w:spacing w:after="0" w:line="207" w:lineRule="exact"/>
        <w:rPr>
          <w:sz w:val="20"/>
          <w:szCs w:val="20"/>
          <w:color w:val="auto"/>
        </w:rPr>
      </w:pPr>
    </w:p>
    <w:p>
      <w:pPr>
        <w:ind w:left="652" w:hanging="652"/>
        <w:spacing w:after="0"/>
        <w:tabs>
          <w:tab w:leader="none" w:pos="65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652" w:right="5819" w:hanging="652"/>
        <w:spacing w:after="0" w:line="532" w:lineRule="auto"/>
        <w:tabs>
          <w:tab w:leader="none" w:pos="65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378" w:lineRule="exact"/>
        <w:rPr>
          <w:sz w:val="20"/>
          <w:szCs w:val="20"/>
          <w:color w:val="auto"/>
        </w:rPr>
      </w:pPr>
    </w:p>
    <w:p>
      <w:pPr>
        <w:ind w:left="652" w:right="7619" w:hanging="652"/>
        <w:spacing w:after="0" w:line="500" w:lineRule="auto"/>
        <w:tabs>
          <w:tab w:leader="none" w:pos="6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652" w:right="7359" w:hanging="652"/>
        <w:spacing w:after="0" w:line="500" w:lineRule="auto"/>
        <w:tabs>
          <w:tab w:leader="none" w:pos="6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1,250,131*</w:t>
      </w:r>
    </w:p>
    <w:p>
      <w:pPr>
        <w:spacing w:after="0" w:line="1" w:lineRule="exact"/>
        <w:rPr>
          <w:rFonts w:ascii="Times New Roman" w:cs="Times New Roman" w:eastAsia="Times New Roman" w:hAnsi="Times New Roman"/>
          <w:sz w:val="18"/>
          <w:szCs w:val="18"/>
          <w:color w:val="auto"/>
        </w:rPr>
      </w:pPr>
    </w:p>
    <w:p>
      <w:pPr>
        <w:ind w:left="652" w:right="7219" w:hanging="652"/>
        <w:spacing w:after="0" w:line="500" w:lineRule="auto"/>
        <w:tabs>
          <w:tab w:leader="none" w:pos="6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652" w:right="6959" w:hanging="652"/>
        <w:spacing w:after="0" w:line="500" w:lineRule="auto"/>
        <w:tabs>
          <w:tab w:leader="none" w:pos="6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1,250,131*</w:t>
      </w:r>
    </w:p>
    <w:p>
      <w:pPr>
        <w:spacing w:after="0" w:line="1" w:lineRule="exact"/>
        <w:rPr>
          <w:rFonts w:ascii="Times New Roman" w:cs="Times New Roman" w:eastAsia="Times New Roman" w:hAnsi="Times New Roman"/>
          <w:sz w:val="18"/>
          <w:szCs w:val="18"/>
          <w:color w:val="auto"/>
        </w:rPr>
      </w:pPr>
    </w:p>
    <w:p>
      <w:pPr>
        <w:ind w:left="652" w:right="2939" w:hanging="652"/>
        <w:spacing w:after="0" w:line="500" w:lineRule="auto"/>
        <w:tabs>
          <w:tab w:leader="none" w:pos="6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1,250,131*</w:t>
      </w:r>
    </w:p>
    <w:p>
      <w:pPr>
        <w:spacing w:after="0" w:line="1" w:lineRule="exact"/>
        <w:rPr>
          <w:rFonts w:ascii="Times New Roman" w:cs="Times New Roman" w:eastAsia="Times New Roman" w:hAnsi="Times New Roman"/>
          <w:sz w:val="18"/>
          <w:szCs w:val="18"/>
          <w:color w:val="auto"/>
        </w:rPr>
      </w:pPr>
    </w:p>
    <w:p>
      <w:pPr>
        <w:ind w:left="7772" w:right="579" w:hanging="7772"/>
        <w:spacing w:after="0" w:line="500"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 [ ]</w:t>
      </w:r>
    </w:p>
    <w:p>
      <w:pPr>
        <w:spacing w:after="0" w:line="1" w:lineRule="exact"/>
        <w:rPr>
          <w:rFonts w:ascii="Times New Roman" w:cs="Times New Roman" w:eastAsia="Times New Roman" w:hAnsi="Times New Roman"/>
          <w:sz w:val="18"/>
          <w:szCs w:val="18"/>
          <w:color w:val="auto"/>
        </w:rPr>
      </w:pPr>
    </w:p>
    <w:p>
      <w:pPr>
        <w:ind w:left="652" w:right="4419" w:hanging="652"/>
        <w:spacing w:after="0" w:line="500" w:lineRule="auto"/>
        <w:tabs>
          <w:tab w:leader="none" w:pos="6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9.89%*</w:t>
      </w:r>
    </w:p>
    <w:p>
      <w:pPr>
        <w:spacing w:after="0" w:line="1" w:lineRule="exact"/>
        <w:rPr>
          <w:rFonts w:ascii="Times New Roman" w:cs="Times New Roman" w:eastAsia="Times New Roman" w:hAnsi="Times New Roman"/>
          <w:sz w:val="18"/>
          <w:szCs w:val="18"/>
          <w:color w:val="auto"/>
        </w:rPr>
      </w:pPr>
    </w:p>
    <w:p>
      <w:pPr>
        <w:ind w:left="652" w:right="5159" w:hanging="652"/>
        <w:spacing w:after="0" w:line="532" w:lineRule="auto"/>
        <w:tabs>
          <w:tab w:leader="none" w:pos="6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 OO,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661" w:right="1440" w:bottom="1440" w:gutter="0" w:footer="0" w:header="0"/>
        </w:sectPr>
      </w:pPr>
    </w:p>
    <w:bookmarkStart w:id="2" w:name="page3"/>
    <w:bookmarkEnd w:id="2"/>
    <w:p>
      <w:pPr>
        <w:ind w:left="652" w:hanging="652"/>
        <w:spacing w:after="0"/>
        <w:tabs>
          <w:tab w:leader="none" w:pos="6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652" w:right="3899"/>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RTW Master Fund, Ltd.</w:t>
      </w:r>
    </w:p>
    <w:p>
      <w:pPr>
        <w:ind w:left="652" w:hanging="652"/>
        <w:spacing w:after="0"/>
        <w:tabs>
          <w:tab w:leader="none" w:pos="6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5" w:lineRule="exact"/>
        <w:rPr>
          <w:sz w:val="20"/>
          <w:szCs w:val="20"/>
          <w:color w:val="auto"/>
        </w:rPr>
      </w:pPr>
    </w:p>
    <w:p>
      <w:pPr>
        <w:ind w:left="7772"/>
        <w:spacing w:after="0"/>
        <w:rPr>
          <w:sz w:val="20"/>
          <w:szCs w:val="20"/>
          <w:color w:val="auto"/>
        </w:rPr>
      </w:pPr>
      <w:r>
        <w:rPr>
          <w:rFonts w:ascii="Times New Roman" w:cs="Times New Roman" w:eastAsia="Times New Roman" w:hAnsi="Times New Roman"/>
          <w:sz w:val="18"/>
          <w:szCs w:val="18"/>
          <w:color w:val="auto"/>
        </w:rPr>
        <w:t>(a) [ ]</w:t>
      </w:r>
    </w:p>
    <w:p>
      <w:pPr>
        <w:spacing w:after="0" w:line="27" w:lineRule="exact"/>
        <w:rPr>
          <w:sz w:val="20"/>
          <w:szCs w:val="20"/>
          <w:color w:val="auto"/>
        </w:rPr>
      </w:pPr>
    </w:p>
    <w:p>
      <w:pPr>
        <w:ind w:left="7772"/>
        <w:spacing w:after="0"/>
        <w:rPr>
          <w:sz w:val="20"/>
          <w:szCs w:val="20"/>
          <w:color w:val="auto"/>
        </w:rPr>
      </w:pPr>
      <w:r>
        <w:rPr>
          <w:rFonts w:ascii="Times New Roman" w:cs="Times New Roman" w:eastAsia="Times New Roman" w:hAnsi="Times New Roman"/>
          <w:sz w:val="18"/>
          <w:szCs w:val="18"/>
          <w:color w:val="auto"/>
        </w:rPr>
        <w:t>(b) [X]</w:t>
      </w:r>
    </w:p>
    <w:p>
      <w:pPr>
        <w:spacing w:after="0" w:line="207" w:lineRule="exact"/>
        <w:rPr>
          <w:sz w:val="20"/>
          <w:szCs w:val="20"/>
          <w:color w:val="auto"/>
        </w:rPr>
      </w:pPr>
    </w:p>
    <w:p>
      <w:pPr>
        <w:ind w:left="652" w:hanging="652"/>
        <w:spacing w:after="0"/>
        <w:tabs>
          <w:tab w:leader="none" w:pos="6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652" w:right="5819" w:hanging="652"/>
        <w:spacing w:after="0" w:line="532" w:lineRule="auto"/>
        <w:tabs>
          <w:tab w:leader="none" w:pos="6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378" w:lineRule="exact"/>
        <w:rPr>
          <w:sz w:val="20"/>
          <w:szCs w:val="20"/>
          <w:color w:val="auto"/>
        </w:rPr>
      </w:pPr>
    </w:p>
    <w:p>
      <w:pPr>
        <w:ind w:left="652" w:right="7619" w:hanging="652"/>
        <w:spacing w:after="0" w:line="500" w:lineRule="auto"/>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652" w:right="7359" w:hanging="652"/>
        <w:spacing w:after="0" w:line="500" w:lineRule="auto"/>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900,520*</w:t>
      </w:r>
    </w:p>
    <w:p>
      <w:pPr>
        <w:spacing w:after="0" w:line="1" w:lineRule="exact"/>
        <w:rPr>
          <w:rFonts w:ascii="Times New Roman" w:cs="Times New Roman" w:eastAsia="Times New Roman" w:hAnsi="Times New Roman"/>
          <w:sz w:val="18"/>
          <w:szCs w:val="18"/>
          <w:color w:val="auto"/>
        </w:rPr>
      </w:pPr>
    </w:p>
    <w:p>
      <w:pPr>
        <w:ind w:left="652" w:right="7219" w:hanging="652"/>
        <w:spacing w:after="0" w:line="500" w:lineRule="auto"/>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652" w:right="6959" w:hanging="652"/>
        <w:spacing w:after="0" w:line="500" w:lineRule="auto"/>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900,520*</w:t>
      </w:r>
    </w:p>
    <w:p>
      <w:pPr>
        <w:spacing w:after="0" w:line="1" w:lineRule="exact"/>
        <w:rPr>
          <w:rFonts w:ascii="Times New Roman" w:cs="Times New Roman" w:eastAsia="Times New Roman" w:hAnsi="Times New Roman"/>
          <w:sz w:val="18"/>
          <w:szCs w:val="18"/>
          <w:color w:val="auto"/>
        </w:rPr>
      </w:pPr>
    </w:p>
    <w:p>
      <w:pPr>
        <w:ind w:left="652" w:right="2939" w:hanging="652"/>
        <w:spacing w:after="0" w:line="500" w:lineRule="auto"/>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900,520*</w:t>
      </w:r>
    </w:p>
    <w:p>
      <w:pPr>
        <w:spacing w:after="0" w:line="1" w:lineRule="exact"/>
        <w:rPr>
          <w:rFonts w:ascii="Times New Roman" w:cs="Times New Roman" w:eastAsia="Times New Roman" w:hAnsi="Times New Roman"/>
          <w:sz w:val="18"/>
          <w:szCs w:val="18"/>
          <w:color w:val="auto"/>
        </w:rPr>
      </w:pPr>
    </w:p>
    <w:p>
      <w:pPr>
        <w:ind w:left="7772" w:right="579" w:hanging="7772"/>
        <w:spacing w:after="0" w:line="500" w:lineRule="auto"/>
        <w:tabs>
          <w:tab w:leader="none" w:pos="6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 [ ]</w:t>
      </w:r>
    </w:p>
    <w:p>
      <w:pPr>
        <w:spacing w:after="0" w:line="1" w:lineRule="exact"/>
        <w:rPr>
          <w:rFonts w:ascii="Times New Roman" w:cs="Times New Roman" w:eastAsia="Times New Roman" w:hAnsi="Times New Roman"/>
          <w:sz w:val="18"/>
          <w:szCs w:val="18"/>
          <w:color w:val="auto"/>
        </w:rPr>
      </w:pPr>
    </w:p>
    <w:p>
      <w:pPr>
        <w:ind w:left="652" w:right="4419" w:hanging="652"/>
        <w:spacing w:after="0" w:line="500" w:lineRule="auto"/>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7.12%*</w:t>
      </w:r>
    </w:p>
    <w:p>
      <w:pPr>
        <w:spacing w:after="0" w:line="1" w:lineRule="exact"/>
        <w:rPr>
          <w:rFonts w:ascii="Times New Roman" w:cs="Times New Roman" w:eastAsia="Times New Roman" w:hAnsi="Times New Roman"/>
          <w:sz w:val="18"/>
          <w:szCs w:val="18"/>
          <w:color w:val="auto"/>
        </w:rPr>
      </w:pPr>
    </w:p>
    <w:p>
      <w:pPr>
        <w:ind w:left="652" w:right="5159" w:hanging="652"/>
        <w:spacing w:after="0" w:line="532" w:lineRule="auto"/>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661" w:right="1440" w:bottom="1440" w:gutter="0" w:footer="0" w:header="0"/>
        </w:sectPr>
      </w:pPr>
    </w:p>
    <w:bookmarkStart w:id="3" w:name="page4"/>
    <w:bookmarkEnd w:id="3"/>
    <w:p>
      <w:pPr>
        <w:ind w:left="652" w:hanging="652"/>
        <w:spacing w:after="0"/>
        <w:tabs>
          <w:tab w:leader="none" w:pos="6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652" w:right="3899"/>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Roderick Wong</w:t>
      </w:r>
    </w:p>
    <w:p>
      <w:pPr>
        <w:ind w:left="652" w:hanging="652"/>
        <w:spacing w:after="0"/>
        <w:tabs>
          <w:tab w:leader="none" w:pos="6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5" w:lineRule="exact"/>
        <w:rPr>
          <w:sz w:val="20"/>
          <w:szCs w:val="20"/>
          <w:color w:val="auto"/>
        </w:rPr>
      </w:pPr>
    </w:p>
    <w:p>
      <w:pPr>
        <w:ind w:left="7772"/>
        <w:spacing w:after="0"/>
        <w:rPr>
          <w:sz w:val="20"/>
          <w:szCs w:val="20"/>
          <w:color w:val="auto"/>
        </w:rPr>
      </w:pPr>
      <w:r>
        <w:rPr>
          <w:rFonts w:ascii="Times New Roman" w:cs="Times New Roman" w:eastAsia="Times New Roman" w:hAnsi="Times New Roman"/>
          <w:sz w:val="18"/>
          <w:szCs w:val="18"/>
          <w:color w:val="auto"/>
        </w:rPr>
        <w:t>(a) [ ]</w:t>
      </w:r>
    </w:p>
    <w:p>
      <w:pPr>
        <w:spacing w:after="0" w:line="27" w:lineRule="exact"/>
        <w:rPr>
          <w:sz w:val="20"/>
          <w:szCs w:val="20"/>
          <w:color w:val="auto"/>
        </w:rPr>
      </w:pPr>
    </w:p>
    <w:p>
      <w:pPr>
        <w:ind w:left="7772"/>
        <w:spacing w:after="0"/>
        <w:rPr>
          <w:sz w:val="20"/>
          <w:szCs w:val="20"/>
          <w:color w:val="auto"/>
        </w:rPr>
      </w:pPr>
      <w:r>
        <w:rPr>
          <w:rFonts w:ascii="Times New Roman" w:cs="Times New Roman" w:eastAsia="Times New Roman" w:hAnsi="Times New Roman"/>
          <w:sz w:val="18"/>
          <w:szCs w:val="18"/>
          <w:color w:val="auto"/>
        </w:rPr>
        <w:t>(b) [X]</w:t>
      </w:r>
    </w:p>
    <w:p>
      <w:pPr>
        <w:spacing w:after="0" w:line="207" w:lineRule="exact"/>
        <w:rPr>
          <w:sz w:val="20"/>
          <w:szCs w:val="20"/>
          <w:color w:val="auto"/>
        </w:rPr>
      </w:pPr>
    </w:p>
    <w:p>
      <w:pPr>
        <w:ind w:left="652" w:hanging="652"/>
        <w:spacing w:after="0"/>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652" w:right="5819" w:hanging="652"/>
        <w:spacing w:after="0" w:line="532" w:lineRule="auto"/>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 of America</w:t>
      </w:r>
    </w:p>
    <w:p>
      <w:pPr>
        <w:spacing w:after="0" w:line="378" w:lineRule="exact"/>
        <w:rPr>
          <w:sz w:val="20"/>
          <w:szCs w:val="20"/>
          <w:color w:val="auto"/>
        </w:rPr>
      </w:pPr>
    </w:p>
    <w:p>
      <w:pPr>
        <w:ind w:left="652" w:right="7619" w:hanging="652"/>
        <w:spacing w:after="0" w:line="500" w:lineRule="auto"/>
        <w:tabs>
          <w:tab w:leader="none" w:pos="6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652" w:right="7359" w:hanging="652"/>
        <w:spacing w:after="0" w:line="500" w:lineRule="auto"/>
        <w:tabs>
          <w:tab w:leader="none" w:pos="6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1,250,131*</w:t>
      </w:r>
    </w:p>
    <w:p>
      <w:pPr>
        <w:spacing w:after="0" w:line="1" w:lineRule="exact"/>
        <w:rPr>
          <w:rFonts w:ascii="Times New Roman" w:cs="Times New Roman" w:eastAsia="Times New Roman" w:hAnsi="Times New Roman"/>
          <w:sz w:val="18"/>
          <w:szCs w:val="18"/>
          <w:color w:val="auto"/>
        </w:rPr>
      </w:pPr>
    </w:p>
    <w:p>
      <w:pPr>
        <w:ind w:left="652" w:right="7219" w:hanging="652"/>
        <w:spacing w:after="0" w:line="500" w:lineRule="auto"/>
        <w:tabs>
          <w:tab w:leader="none" w:pos="6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652" w:right="6959" w:hanging="652"/>
        <w:spacing w:after="0" w:line="500" w:lineRule="auto"/>
        <w:tabs>
          <w:tab w:leader="none" w:pos="6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1,250,131*</w:t>
      </w:r>
    </w:p>
    <w:p>
      <w:pPr>
        <w:spacing w:after="0" w:line="1" w:lineRule="exact"/>
        <w:rPr>
          <w:rFonts w:ascii="Times New Roman" w:cs="Times New Roman" w:eastAsia="Times New Roman" w:hAnsi="Times New Roman"/>
          <w:sz w:val="18"/>
          <w:szCs w:val="18"/>
          <w:color w:val="auto"/>
        </w:rPr>
      </w:pPr>
    </w:p>
    <w:p>
      <w:pPr>
        <w:ind w:left="652" w:right="2939" w:hanging="652"/>
        <w:spacing w:after="0" w:line="500" w:lineRule="auto"/>
        <w:tabs>
          <w:tab w:leader="none" w:pos="6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1,250,131*</w:t>
      </w:r>
    </w:p>
    <w:p>
      <w:pPr>
        <w:spacing w:after="0" w:line="1" w:lineRule="exact"/>
        <w:rPr>
          <w:rFonts w:ascii="Times New Roman" w:cs="Times New Roman" w:eastAsia="Times New Roman" w:hAnsi="Times New Roman"/>
          <w:sz w:val="18"/>
          <w:szCs w:val="18"/>
          <w:color w:val="auto"/>
        </w:rPr>
      </w:pPr>
    </w:p>
    <w:p>
      <w:pPr>
        <w:ind w:left="7772" w:right="579" w:hanging="7772"/>
        <w:spacing w:after="0" w:line="500"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 [ ]</w:t>
      </w:r>
    </w:p>
    <w:p>
      <w:pPr>
        <w:spacing w:after="0" w:line="1" w:lineRule="exact"/>
        <w:rPr>
          <w:rFonts w:ascii="Times New Roman" w:cs="Times New Roman" w:eastAsia="Times New Roman" w:hAnsi="Times New Roman"/>
          <w:sz w:val="18"/>
          <w:szCs w:val="18"/>
          <w:color w:val="auto"/>
        </w:rPr>
      </w:pPr>
    </w:p>
    <w:p>
      <w:pPr>
        <w:ind w:left="652" w:right="4419" w:hanging="652"/>
        <w:spacing w:after="0" w:line="500" w:lineRule="auto"/>
        <w:tabs>
          <w:tab w:leader="none" w:pos="6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9.89%*</w:t>
      </w:r>
    </w:p>
    <w:p>
      <w:pPr>
        <w:spacing w:after="0" w:line="1" w:lineRule="exact"/>
        <w:rPr>
          <w:rFonts w:ascii="Times New Roman" w:cs="Times New Roman" w:eastAsia="Times New Roman" w:hAnsi="Times New Roman"/>
          <w:sz w:val="18"/>
          <w:szCs w:val="18"/>
          <w:color w:val="auto"/>
        </w:rPr>
      </w:pPr>
    </w:p>
    <w:p>
      <w:pPr>
        <w:ind w:left="652" w:right="5159" w:hanging="652"/>
        <w:spacing w:after="0" w:line="532" w:lineRule="auto"/>
        <w:tabs>
          <w:tab w:leader="none" w:pos="6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661"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w:t>
            </w: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Name of Issuer:</w:t>
            </w:r>
          </w:p>
        </w:tc>
      </w:tr>
      <w:tr>
        <w:trPr>
          <w:trHeight w:val="439"/>
        </w:trPr>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Exagen Inc.</w:t>
            </w:r>
          </w:p>
        </w:tc>
      </w:tr>
      <w:tr>
        <w:trPr>
          <w:trHeight w:val="432"/>
        </w:trPr>
        <w:tc>
          <w:tcPr>
            <w:tcW w:w="68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w:t>
            </w: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r>
        <w:trPr>
          <w:trHeight w:val="414"/>
        </w:trPr>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1261 Liberty Way, Suite C</w:t>
            </w:r>
          </w:p>
        </w:tc>
      </w:tr>
      <w:tr>
        <w:trPr>
          <w:trHeight w:val="255"/>
        </w:trPr>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Vista, California 92081</w:t>
            </w: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w:t>
            </w: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Name of person filing:</w:t>
            </w:r>
          </w:p>
        </w:tc>
      </w:tr>
      <w:tr>
        <w:trPr>
          <w:trHeight w:val="414"/>
        </w:trPr>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RTW Investments, LP</w:t>
            </w:r>
          </w:p>
        </w:tc>
      </w:tr>
      <w:tr>
        <w:trPr>
          <w:trHeight w:val="216"/>
        </w:trPr>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RTW Master Fund, Ltd.</w:t>
            </w:r>
          </w:p>
        </w:tc>
      </w:tr>
      <w:tr>
        <w:trPr>
          <w:trHeight w:val="241"/>
        </w:trPr>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Roderick Wong</w:t>
            </w:r>
          </w:p>
        </w:tc>
      </w:tr>
      <w:tr>
        <w:trPr>
          <w:trHeight w:val="432"/>
        </w:trPr>
        <w:tc>
          <w:tcPr>
            <w:tcW w:w="68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w:t>
            </w: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Address or principal business office or, if none, residence:</w:t>
            </w:r>
          </w:p>
        </w:tc>
      </w:tr>
      <w:tr>
        <w:trPr>
          <w:trHeight w:val="414"/>
        </w:trPr>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RTW Investments, LP</w:t>
            </w:r>
          </w:p>
        </w:tc>
      </w:tr>
      <w:tr>
        <w:trPr>
          <w:trHeight w:val="216"/>
        </w:trPr>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40 10th Avenue</w:t>
            </w:r>
          </w:p>
        </w:tc>
      </w:tr>
      <w:tr>
        <w:trPr>
          <w:trHeight w:val="216"/>
        </w:trPr>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Floor 7</w:t>
            </w:r>
          </w:p>
        </w:tc>
      </w:tr>
      <w:tr>
        <w:trPr>
          <w:trHeight w:val="234"/>
        </w:trPr>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10014</w:t>
            </w:r>
          </w:p>
        </w:tc>
      </w:tr>
      <w:tr>
        <w:trPr>
          <w:trHeight w:val="414"/>
        </w:trPr>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RTW Master Fund, Ltd.</w:t>
            </w:r>
          </w:p>
        </w:tc>
      </w:tr>
      <w:tr>
        <w:trPr>
          <w:trHeight w:val="216"/>
        </w:trPr>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c/o Intertrust Corporate Services (Cayman) Limited</w:t>
            </w:r>
          </w:p>
        </w:tc>
      </w:tr>
      <w:tr>
        <w:trPr>
          <w:trHeight w:val="216"/>
        </w:trPr>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190 Elgin Avenue, George Town</w:t>
            </w:r>
          </w:p>
        </w:tc>
      </w:tr>
      <w:tr>
        <w:trPr>
          <w:trHeight w:val="234"/>
        </w:trPr>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Grand Cayman KY1-9001, Cayman Islands</w:t>
            </w:r>
          </w:p>
        </w:tc>
      </w:tr>
      <w:tr>
        <w:trPr>
          <w:trHeight w:val="414"/>
        </w:trPr>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Roderick Wong</w:t>
            </w:r>
          </w:p>
        </w:tc>
      </w:tr>
      <w:tr>
        <w:trPr>
          <w:trHeight w:val="216"/>
        </w:trPr>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c/o RTW Investments, LP</w:t>
            </w:r>
          </w:p>
        </w:tc>
      </w:tr>
      <w:tr>
        <w:trPr>
          <w:trHeight w:val="216"/>
        </w:trPr>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40 10th Avenue</w:t>
            </w:r>
          </w:p>
        </w:tc>
      </w:tr>
      <w:tr>
        <w:trPr>
          <w:trHeight w:val="216"/>
        </w:trPr>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Floor 7</w:t>
            </w:r>
          </w:p>
        </w:tc>
      </w:tr>
      <w:tr>
        <w:trPr>
          <w:trHeight w:val="241"/>
        </w:trPr>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New York 10014</w:t>
            </w:r>
          </w:p>
        </w:tc>
      </w:tr>
      <w:tr>
        <w:trPr>
          <w:trHeight w:val="432"/>
        </w:trPr>
        <w:tc>
          <w:tcPr>
            <w:tcW w:w="68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w:t>
            </w: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Citizenship:</w:t>
            </w:r>
          </w:p>
        </w:tc>
      </w:tr>
      <w:tr>
        <w:trPr>
          <w:trHeight w:val="414"/>
        </w:trPr>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RTW Investments, LP – Delaware</w:t>
            </w:r>
          </w:p>
        </w:tc>
      </w:tr>
      <w:tr>
        <w:trPr>
          <w:trHeight w:val="216"/>
        </w:trPr>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RTW Master Fund, Ltd. – Cayman Islands</w:t>
            </w:r>
          </w:p>
        </w:tc>
      </w:tr>
      <w:tr>
        <w:trPr>
          <w:trHeight w:val="241"/>
        </w:trPr>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Roderick Wong – United States of America</w:t>
            </w:r>
          </w:p>
        </w:tc>
      </w:tr>
      <w:tr>
        <w:trPr>
          <w:trHeight w:val="432"/>
        </w:trPr>
        <w:tc>
          <w:tcPr>
            <w:tcW w:w="68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w:t>
            </w: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Title of class of securities:</w:t>
            </w:r>
          </w:p>
        </w:tc>
      </w:tr>
      <w:tr>
        <w:trPr>
          <w:trHeight w:val="452"/>
        </w:trPr>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par value $0.001 per share</w:t>
            </w:r>
          </w:p>
        </w:tc>
      </w:tr>
      <w:tr>
        <w:trPr>
          <w:trHeight w:val="432"/>
        </w:trPr>
        <w:tc>
          <w:tcPr>
            <w:tcW w:w="68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w:t>
            </w: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r>
      <w:tr>
        <w:trPr>
          <w:trHeight w:val="439"/>
        </w:trPr>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30068X103</w:t>
            </w:r>
          </w:p>
        </w:tc>
      </w:tr>
      <w:tr>
        <w:trPr>
          <w:trHeight w:val="439"/>
        </w:trPr>
        <w:tc>
          <w:tcPr>
            <w:tcW w:w="6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5" w:name="page6"/>
    <w:bookmarkEnd w:id="5"/>
    <w:p>
      <w:pPr>
        <w:spacing w:after="0"/>
        <w:tabs>
          <w:tab w:leader="none" w:pos="82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8"/>
          <w:szCs w:val="18"/>
          <w:color w:val="auto"/>
        </w:rPr>
        <w:t>If This Statement is filed pursuant to §§.240.13d-1(b) or 240.13d-2(b), or (c), check whether the person filing is a</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N/A</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Ownership.</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  Amount beneficially owned:</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RTW Investments, LP – 1,250,131*</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RTW Master Fund, Ltd. – 900,520*</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Roderick Wong – 1,250,131*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5715</wp:posOffset>
            </wp:positionV>
            <wp:extent cx="618934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89345" cy="17145"/>
                    </a:xfrm>
                    <a:prstGeom prst="rect">
                      <a:avLst/>
                    </a:prstGeom>
                    <a:noFill/>
                  </pic:spPr>
                </pic:pic>
              </a:graphicData>
            </a:graphic>
          </wp:anchor>
        </w:drawing>
      </w:r>
    </w:p>
    <w:p>
      <w:pPr>
        <w:spacing w:after="0" w:line="21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(b) Percent of class:</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RTW Investments, LP – 9.89%*</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RTW Master Fund, Ltd. – 7.12%*</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Roderick Wong – 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5715</wp:posOffset>
            </wp:positionV>
            <wp:extent cx="618934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89345" cy="17145"/>
                    </a:xfrm>
                    <a:prstGeom prst="rect">
                      <a:avLst/>
                    </a:prstGeom>
                    <a:noFill/>
                  </pic:spPr>
                </pic:pic>
              </a:graphicData>
            </a:graphic>
          </wp:anchor>
        </w:drawing>
      </w:r>
    </w:p>
    <w:p>
      <w:pPr>
        <w:spacing w:after="0" w:line="214" w:lineRule="exact"/>
        <w:rPr>
          <w:sz w:val="20"/>
          <w:szCs w:val="20"/>
          <w:color w:val="auto"/>
        </w:rPr>
      </w:pPr>
    </w:p>
    <w:p>
      <w:pPr>
        <w:ind w:left="1500" w:hanging="655"/>
        <w:spacing w:after="0"/>
        <w:tabs>
          <w:tab w:leader="none" w:pos="15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rFonts w:ascii="Times New Roman" w:cs="Times New Roman" w:eastAsia="Times New Roman" w:hAnsi="Times New Roman"/>
          <w:sz w:val="18"/>
          <w:szCs w:val="18"/>
          <w:color w:val="auto"/>
        </w:rPr>
      </w:pPr>
    </w:p>
    <w:p>
      <w:pPr>
        <w:ind w:left="1880" w:hanging="387"/>
        <w:spacing w:after="0"/>
        <w:tabs>
          <w:tab w:leader="none" w:pos="188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25" w:lineRule="exact"/>
        <w:rPr>
          <w:rFonts w:ascii="Times New Roman" w:cs="Times New Roman" w:eastAsia="Times New Roman" w:hAnsi="Times New Roman"/>
          <w:sz w:val="18"/>
          <w:szCs w:val="18"/>
          <w:color w:val="auto"/>
        </w:rPr>
      </w:pPr>
    </w:p>
    <w:p>
      <w:pPr>
        <w:ind w:left="1880" w:right="7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RTW Investments, LP – 0 RTW Master Fund, Ltd. – 0 Roderick Wong – 0</w:t>
      </w:r>
    </w:p>
    <w:p>
      <w:pPr>
        <w:spacing w:after="0" w:line="175" w:lineRule="exact"/>
        <w:rPr>
          <w:rFonts w:ascii="Times New Roman" w:cs="Times New Roman" w:eastAsia="Times New Roman" w:hAnsi="Times New Roman"/>
          <w:sz w:val="18"/>
          <w:szCs w:val="18"/>
          <w:color w:val="auto"/>
        </w:rPr>
      </w:pPr>
    </w:p>
    <w:p>
      <w:pPr>
        <w:ind w:left="1880" w:hanging="387"/>
        <w:spacing w:after="0"/>
        <w:tabs>
          <w:tab w:leader="none" w:pos="188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5" w:lineRule="exact"/>
        <w:rPr>
          <w:rFonts w:ascii="Times New Roman" w:cs="Times New Roman" w:eastAsia="Times New Roman" w:hAnsi="Times New Roman"/>
          <w:sz w:val="18"/>
          <w:szCs w:val="18"/>
          <w:color w:val="auto"/>
        </w:rPr>
      </w:pPr>
    </w:p>
    <w:p>
      <w:pPr>
        <w:ind w:left="1880" w:right="678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RTW Investments, LP – 1,250,131* RTW Master Fund, Ltd. 900,520* Roderick Wong – 1,250,131*</w:t>
      </w:r>
    </w:p>
    <w:p>
      <w:pPr>
        <w:spacing w:after="0" w:line="157" w:lineRule="exact"/>
        <w:rPr>
          <w:rFonts w:ascii="Times New Roman" w:cs="Times New Roman" w:eastAsia="Times New Roman" w:hAnsi="Times New Roman"/>
          <w:sz w:val="18"/>
          <w:szCs w:val="18"/>
          <w:color w:val="auto"/>
        </w:rPr>
      </w:pPr>
    </w:p>
    <w:p>
      <w:pPr>
        <w:ind w:left="1880" w:hanging="387"/>
        <w:spacing w:after="0"/>
        <w:tabs>
          <w:tab w:leader="none" w:pos="188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25" w:lineRule="exact"/>
        <w:rPr>
          <w:rFonts w:ascii="Times New Roman" w:cs="Times New Roman" w:eastAsia="Times New Roman" w:hAnsi="Times New Roman"/>
          <w:sz w:val="18"/>
          <w:szCs w:val="18"/>
          <w:color w:val="auto"/>
        </w:rPr>
      </w:pPr>
    </w:p>
    <w:p>
      <w:pPr>
        <w:ind w:left="1880" w:right="7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RTW Investments, LP – 0 RTW Master Fund, Ltd. – 0 Roderick Wong – 0</w:t>
      </w:r>
    </w:p>
    <w:p>
      <w:pPr>
        <w:spacing w:after="0" w:line="175" w:lineRule="exact"/>
        <w:rPr>
          <w:rFonts w:ascii="Times New Roman" w:cs="Times New Roman" w:eastAsia="Times New Roman" w:hAnsi="Times New Roman"/>
          <w:sz w:val="18"/>
          <w:szCs w:val="18"/>
          <w:color w:val="auto"/>
        </w:rPr>
      </w:pPr>
    </w:p>
    <w:p>
      <w:pPr>
        <w:ind w:left="1880" w:hanging="387"/>
        <w:spacing w:after="0"/>
        <w:tabs>
          <w:tab w:leader="none" w:pos="188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25" w:lineRule="exact"/>
        <w:rPr>
          <w:rFonts w:ascii="Times New Roman" w:cs="Times New Roman" w:eastAsia="Times New Roman" w:hAnsi="Times New Roman"/>
          <w:sz w:val="18"/>
          <w:szCs w:val="18"/>
          <w:color w:val="auto"/>
        </w:rPr>
      </w:pPr>
    </w:p>
    <w:p>
      <w:pPr>
        <w:jc w:val="both"/>
        <w:ind w:left="1880" w:right="678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RTW Investments, LP – 1,250,131* RTW Master Fund, Ltd. – 900,520* Roderick Wong – 1,250,131*</w:t>
      </w:r>
    </w:p>
    <w:p>
      <w:pPr>
        <w:spacing w:after="0" w:line="306" w:lineRule="exact"/>
        <w:rPr>
          <w:rFonts w:ascii="Times New Roman" w:cs="Times New Roman" w:eastAsia="Times New Roman" w:hAnsi="Times New Roman"/>
          <w:sz w:val="18"/>
          <w:szCs w:val="18"/>
          <w:color w:val="auto"/>
        </w:rPr>
      </w:pPr>
    </w:p>
    <w:p>
      <w:pPr>
        <w:jc w:val="both"/>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Common Stock, par value $0.001 per share (the "Shares"), of Exagen Inc. (the "Company") reported herein are held by RTW Master Fund, Ltd. and one or more private funds (together the "Funds") managed by RTW Investments, LP (the "Adviser"). The Adviser, in its capacity as the investment manager of the Funds, has the power to vote and the power to direct the disposition of all Shares held by the Funds. Accordingly, for the purposes of Reg. Section 240.13d-3, the Adviser may be deemed to beneficially own an aggregate of 1,250,131 Shares, or 9.89% of the Company’s 12,652,138 Shares deemed issued and outstanding as of November 6, 2020, as disclosed in the Company’s Form 10-Q Quarterly Report, as filed with the Securities and Exchange Commission on November 10, 2020. Roderick Wong is the Managing Partner of the Adviser. This report shall not be deemed an admission that the Adviser, the Funds or any other person is the beneficial owner of the securities reported herein for purposes of Section 13 of the Securities Exchange Act of 1934, as amended, or for any other purpose. Each of the reporting persons herein disclaims beneficial ownership of the Shares reported herein except to the extent of the reporting person’s pecuniary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-1299845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spacing w:after="0"/>
        <w:tabs>
          <w:tab w:leader="none" w:pos="82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color w:val="auto"/>
        </w:rPr>
        <w:t>Ownership of Five Percent or Less of a Class.</w:t>
      </w:r>
    </w:p>
    <w:p>
      <w:pPr>
        <w:spacing w:after="0" w:line="225" w:lineRule="exact"/>
        <w:rPr>
          <w:sz w:val="20"/>
          <w:szCs w:val="20"/>
          <w:color w:val="auto"/>
        </w:rPr>
      </w:pPr>
    </w:p>
    <w:p>
      <w:pPr>
        <w:jc w:val="both"/>
        <w:ind w:left="840" w:right="2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17145</wp:posOffset>
            </wp:positionV>
            <wp:extent cx="66008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0082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25"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17145</wp:posOffset>
            </wp:positionV>
            <wp:extent cx="66008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00825" cy="17145"/>
                    </a:xfrm>
                    <a:prstGeom prst="rect">
                      <a:avLst/>
                    </a:prstGeom>
                    <a:noFill/>
                  </pic:spPr>
                </pic:pic>
              </a:graphicData>
            </a:graphic>
          </wp:anchor>
        </w:drawing>
      </w:r>
    </w:p>
    <w:p>
      <w:pPr>
        <w:spacing w:after="0" w:line="232" w:lineRule="exact"/>
        <w:rPr>
          <w:sz w:val="20"/>
          <w:szCs w:val="20"/>
          <w:color w:val="auto"/>
        </w:rPr>
      </w:pPr>
    </w:p>
    <w:p>
      <w:pPr>
        <w:ind w:left="840" w:hanging="836"/>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 Control Person.</w:t>
      </w:r>
    </w:p>
    <w:p>
      <w:pPr>
        <w:spacing w:after="0" w:line="162" w:lineRule="exact"/>
        <w:rPr>
          <w:sz w:val="20"/>
          <w:szCs w:val="20"/>
          <w:color w:val="auto"/>
        </w:rPr>
      </w:pPr>
    </w:p>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17145</wp:posOffset>
            </wp:positionV>
            <wp:extent cx="66008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0082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color w:val="auto"/>
        </w:rPr>
        <w:t>Identification and Classification of Members of the Group.</w:t>
      </w:r>
    </w:p>
    <w:p>
      <w:pPr>
        <w:spacing w:after="0" w:line="225" w:lineRule="exact"/>
        <w:rPr>
          <w:sz w:val="20"/>
          <w:szCs w:val="20"/>
          <w:color w:val="auto"/>
        </w:rPr>
      </w:pPr>
    </w:p>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If a group has filed this schedule pursuant to §240.13d-1(b)(1)(ii)(J),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17145</wp:posOffset>
            </wp:positionV>
            <wp:extent cx="66008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0082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color w:val="auto"/>
        </w:rPr>
        <w:t>Notice of Dissolution of Group.</w:t>
      </w:r>
    </w:p>
    <w:p>
      <w:pPr>
        <w:spacing w:after="0" w:line="225" w:lineRule="exact"/>
        <w:rPr>
          <w:sz w:val="20"/>
          <w:szCs w:val="20"/>
          <w:color w:val="auto"/>
        </w:rPr>
      </w:pPr>
    </w:p>
    <w:p>
      <w:pPr>
        <w:jc w:val="both"/>
        <w:ind w:left="840"/>
        <w:spacing w:after="0" w:line="282" w:lineRule="auto"/>
        <w:rPr>
          <w:sz w:val="20"/>
          <w:szCs w:val="20"/>
          <w:color w:val="auto"/>
        </w:rPr>
      </w:pPr>
      <w:r>
        <w:rPr>
          <w:rFonts w:ascii="Times New Roman" w:cs="Times New Roman" w:eastAsia="Times New Roman" w:hAnsi="Times New Roman"/>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6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17145</wp:posOffset>
            </wp:positionV>
            <wp:extent cx="66008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0082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Item 10.</w:t>
        <w:tab/>
        <w:t>Certification.</w:t>
      </w:r>
    </w:p>
    <w:p>
      <w:pPr>
        <w:spacing w:after="0" w:line="225" w:lineRule="exact"/>
        <w:rPr>
          <w:sz w:val="20"/>
          <w:szCs w:val="20"/>
          <w:color w:val="auto"/>
        </w:rPr>
      </w:pPr>
    </w:p>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Dated: February 12, 2021</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RTW Investments, LP</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Roderick Wong, Managing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RTW Master Fund, Ltd.</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Roderick Wong, Director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Roderick Wong</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Roderick Wong, Individually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s.240.13d-7 for other parties for whom copies are to be sent.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Statement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Rule 13d-1(k)(1)</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hereby consent and agree to the joint filing of Schedule 13G Amendment No. 1 under the Securities Exchange Act of 1934, as amended, with respect to the Common Stock, par value $0.001 per share of Exagen Inc. beneficially owned by them, together with any or all amendments thereto, when and if appropriate. The parties hereto further consent and agree to file this Joint Filing Statement pursuant to Rule13d-1(k)(1)(iii) as an exhibit to Schedule 13G, thereby incorporating the same into such Schedule13G.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Joint Filing Statement may be terminated by any of the undersigned upon written notice or such lesser period of notice as the undersigned may mutually agree.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12, 2021</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RTW Investments, LP</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Roderick Wong, Managing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RTW Master Fund, Ltd.</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Roderick Wong, Director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Roderick Wong</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Roderick Wong,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5"/>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3"/>
    </w:lvl>
  </w:abstractNum>
  <w:abstractNum w:abstractNumId="6">
    <w:nsid w:val="5BD062C2"/>
    <w:multiLevelType w:val="hybridMultilevel"/>
    <w:lvl w:ilvl="0">
      <w:lvlJc w:val="left"/>
      <w:lvlText w:val="%1."/>
      <w:numFmt w:val="decimal"/>
      <w:start w:val="5"/>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3"/>
    </w:lvl>
  </w:abstractNum>
  <w:abstractNum w:abstractNumId="9">
    <w:nsid w:val="216231B"/>
    <w:multiLevelType w:val="hybridMultilevel"/>
    <w:lvl w:ilvl="0">
      <w:lvlJc w:val="left"/>
      <w:lvlText w:val="%1."/>
      <w:numFmt w:val="decimal"/>
      <w:start w:val="5"/>
    </w:lvl>
  </w:abstractNum>
  <w:abstractNum w:abstractNumId="10">
    <w:nsid w:val="1F16E9E8"/>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2021-02-12T08:52:55Z</dcterms:created>
  <dcterms:modified xsi:type="dcterms:W3CDTF">2021-02-12T08:52:55Z</dcterms:modified>
</cp:coreProperties>
</file>