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800 Bradbury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940" w:firstLine="41"/>
        <w:spacing w:after="0" w:line="471" w:lineRule="auto"/>
        <w:rPr>
          <w:sz w:val="20"/>
          <w:szCs w:val="20"/>
          <w:color w:val="auto"/>
        </w:rPr>
      </w:pPr>
      <w:r>
        <w:rPr>
          <w:rFonts w:ascii="Arial" w:cs="Arial" w:eastAsia="Arial" w:hAnsi="Arial"/>
          <w:sz w:val="22"/>
          <w:szCs w:val="22"/>
          <w:color w:val="auto"/>
        </w:rPr>
        <w:t>Albuquerque NEW MEXICO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108</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800 Bradbury 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108</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40" w:type="dxa"/>
            <w:vAlign w:val="bottom"/>
          </w:tcPr>
          <w:p>
            <w:pPr>
              <w:ind w:left="500"/>
              <w:spacing w:after="0"/>
              <w:rPr>
                <w:sz w:val="20"/>
                <w:szCs w:val="20"/>
                <w:color w:val="auto"/>
              </w:rPr>
            </w:pPr>
            <w:r>
              <w:rPr>
                <w:rFonts w:ascii="Arial" w:cs="Arial" w:eastAsia="Arial" w:hAnsi="Arial"/>
                <w:sz w:val="22"/>
                <w:szCs w:val="22"/>
                <w:color w:val="auto"/>
              </w:rPr>
              <w:t>Beto</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406 W. Overland Drive</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El Paso</w:t>
            </w: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79901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800 Bradbury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108</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Riccitelli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Sam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1131 Via Felicita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Encinitas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Walsh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3"/>
              </w:rPr>
              <w:t>P.O. Box 3125</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Del Mar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Curt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One Stamford Plaza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263 Tresser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Stamford</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06901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800 Bradbury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108</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1" w:right="1440" w:bottom="47"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60" w:type="dxa"/>
            <w:vAlign w:val="bottom"/>
            <w:gridSpan w:val="2"/>
          </w:tcPr>
          <w:p>
            <w:pPr>
              <w:spacing w:after="0"/>
              <w:rPr>
                <w:sz w:val="20"/>
                <w:szCs w:val="20"/>
                <w:color w:val="auto"/>
              </w:rPr>
            </w:pPr>
            <w:r>
              <w:rPr>
                <w:rFonts w:ascii="Arial" w:cs="Arial" w:eastAsia="Arial" w:hAnsi="Arial"/>
                <w:sz w:val="22"/>
                <w:szCs w:val="22"/>
                <w:color w:val="auto"/>
                <w:w w:val="93"/>
              </w:rPr>
              <w:t>5. Issuer Size</w:t>
            </w:r>
          </w:p>
        </w:tc>
        <w:tc>
          <w:tcPr>
            <w:tcW w:w="15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500"/>
        </w:trPr>
        <w:tc>
          <w:tcPr>
            <w:tcW w:w="240" w:type="dxa"/>
            <w:vAlign w:val="bottom"/>
          </w:tcPr>
          <w:p>
            <w:pPr>
              <w:spacing w:after="0"/>
              <w:rPr>
                <w:sz w:val="24"/>
                <w:szCs w:val="24"/>
                <w:color w:val="auto"/>
              </w:rPr>
            </w:pPr>
          </w:p>
        </w:tc>
        <w:tc>
          <w:tcPr>
            <w:tcW w:w="2520" w:type="dxa"/>
            <w:vAlign w:val="bottom"/>
            <w:gridSpan w:val="2"/>
          </w:tcPr>
          <w:p>
            <w:pPr>
              <w:ind w:left="280"/>
              <w:spacing w:after="0"/>
              <w:rPr>
                <w:sz w:val="20"/>
                <w:szCs w:val="20"/>
                <w:color w:val="auto"/>
              </w:rPr>
            </w:pPr>
            <w:r>
              <w:rPr>
                <w:rFonts w:ascii="Arial" w:cs="Arial" w:eastAsia="Arial" w:hAnsi="Arial"/>
                <w:sz w:val="22"/>
                <w:szCs w:val="22"/>
                <w:b w:val="1"/>
                <w:bCs w:val="1"/>
                <w:color w:val="auto"/>
              </w:rPr>
              <w:t>Revenue Range</w:t>
            </w:r>
          </w:p>
        </w:tc>
        <w:tc>
          <w:tcPr>
            <w:tcW w:w="680" w:type="dxa"/>
            <w:vAlign w:val="bottom"/>
          </w:tcPr>
          <w:p>
            <w:pPr>
              <w:ind w:left="360"/>
              <w:spacing w:after="0"/>
              <w:rPr>
                <w:sz w:val="20"/>
                <w:szCs w:val="20"/>
                <w:color w:val="auto"/>
              </w:rPr>
            </w:pPr>
            <w:r>
              <w:rPr>
                <w:rFonts w:ascii="Arial" w:cs="Arial" w:eastAsia="Arial" w:hAnsi="Arial"/>
                <w:sz w:val="22"/>
                <w:szCs w:val="22"/>
                <w:b w:val="1"/>
                <w:bCs w:val="1"/>
                <w:color w:val="auto"/>
                <w:w w:val="90"/>
              </w:rPr>
              <w:t>OR</w:t>
            </w:r>
          </w:p>
        </w:tc>
      </w:tr>
      <w:tr>
        <w:trPr>
          <w:trHeight w:val="297"/>
        </w:trPr>
        <w:tc>
          <w:tcPr>
            <w:tcW w:w="24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No Revenues</w:t>
            </w:r>
          </w:p>
        </w:tc>
        <w:tc>
          <w:tcPr>
            <w:tcW w:w="680" w:type="dxa"/>
            <w:vAlign w:val="bottom"/>
          </w:tcPr>
          <w:p>
            <w:pPr>
              <w:spacing w:after="0"/>
              <w:rPr>
                <w:sz w:val="24"/>
                <w:szCs w:val="24"/>
                <w:color w:val="auto"/>
              </w:rPr>
            </w:pPr>
          </w:p>
        </w:tc>
      </w:tr>
      <w:tr>
        <w:trPr>
          <w:trHeight w:val="297"/>
        </w:trPr>
        <w:tc>
          <w:tcPr>
            <w:tcW w:w="24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$1 - $1,000,000</w:t>
            </w:r>
          </w:p>
        </w:tc>
        <w:tc>
          <w:tcPr>
            <w:tcW w:w="680" w:type="dxa"/>
            <w:vAlign w:val="bottom"/>
          </w:tcPr>
          <w:p>
            <w:pPr>
              <w:spacing w:after="0"/>
              <w:rPr>
                <w:sz w:val="24"/>
                <w:szCs w:val="24"/>
                <w:color w:val="auto"/>
              </w:rPr>
            </w:pPr>
          </w:p>
        </w:tc>
      </w:tr>
      <w:tr>
        <w:trPr>
          <w:trHeight w:val="297"/>
        </w:trPr>
        <w:tc>
          <w:tcPr>
            <w:tcW w:w="24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8"/>
              </w:rPr>
              <w:t>$1,000,001</w:t>
            </w:r>
          </w:p>
        </w:tc>
        <w:tc>
          <w:tcPr>
            <w:tcW w:w="1500" w:type="dxa"/>
            <w:vAlign w:val="bottom"/>
          </w:tcPr>
          <w:p>
            <w:pPr>
              <w:ind w:left="40"/>
              <w:spacing w:after="0"/>
              <w:rPr>
                <w:sz w:val="20"/>
                <w:szCs w:val="20"/>
                <w:color w:val="auto"/>
              </w:rPr>
            </w:pPr>
            <w:r>
              <w:rPr>
                <w:rFonts w:ascii="Arial" w:cs="Arial" w:eastAsia="Arial" w:hAnsi="Arial"/>
                <w:sz w:val="22"/>
                <w:szCs w:val="22"/>
                <w:color w:val="auto"/>
              </w:rPr>
              <w:t>- $5,000,000</w:t>
            </w:r>
          </w:p>
        </w:tc>
        <w:tc>
          <w:tcPr>
            <w:tcW w:w="680" w:type="dxa"/>
            <w:vAlign w:val="bottom"/>
          </w:tcPr>
          <w:p>
            <w:pPr>
              <w:spacing w:after="0"/>
              <w:rPr>
                <w:sz w:val="24"/>
                <w:szCs w:val="24"/>
                <w:color w:val="auto"/>
              </w:rPr>
            </w:pPr>
          </w:p>
        </w:tc>
      </w:tr>
      <w:tr>
        <w:trPr>
          <w:trHeight w:val="284"/>
        </w:trPr>
        <w:tc>
          <w:tcPr>
            <w:tcW w:w="240" w:type="dxa"/>
            <w:vAlign w:val="bottom"/>
          </w:tcPr>
          <w:p>
            <w:pPr>
              <w:ind w:left="40"/>
              <w:spacing w:after="0"/>
              <w:rPr>
                <w:sz w:val="20"/>
                <w:szCs w:val="20"/>
                <w:color w:val="auto"/>
              </w:rPr>
            </w:pPr>
            <w:r>
              <w:rPr>
                <w:rFonts w:ascii="Arial" w:cs="Arial" w:eastAsia="Arial" w:hAnsi="Arial"/>
                <w:sz w:val="22"/>
                <w:szCs w:val="22"/>
                <w:color w:val="auto"/>
              </w:rPr>
              <w:t>X</w:t>
            </w:r>
          </w:p>
        </w:tc>
        <w:tc>
          <w:tcPr>
            <w:tcW w:w="1020" w:type="dxa"/>
            <w:vAlign w:val="bottom"/>
          </w:tcPr>
          <w:p>
            <w:pPr>
              <w:ind w:left="20"/>
              <w:spacing w:after="0"/>
              <w:rPr>
                <w:sz w:val="20"/>
                <w:szCs w:val="20"/>
                <w:color w:val="auto"/>
              </w:rPr>
            </w:pPr>
            <w:r>
              <w:rPr>
                <w:rFonts w:ascii="Arial" w:cs="Arial" w:eastAsia="Arial" w:hAnsi="Arial"/>
                <w:sz w:val="22"/>
                <w:szCs w:val="22"/>
                <w:color w:val="auto"/>
                <w:w w:val="88"/>
              </w:rPr>
              <w:t>$5,000,001</w:t>
            </w:r>
          </w:p>
        </w:tc>
        <w:tc>
          <w:tcPr>
            <w:tcW w:w="1500" w:type="dxa"/>
            <w:vAlign w:val="bottom"/>
          </w:tcPr>
          <w:p>
            <w:pPr>
              <w:ind w:left="40"/>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4"/>
                <w:szCs w:val="24"/>
                <w:color w:val="auto"/>
              </w:rPr>
            </w:pPr>
          </w:p>
        </w:tc>
      </w:tr>
      <w:tr>
        <w:trPr>
          <w:trHeight w:val="275"/>
        </w:trPr>
        <w:tc>
          <w:tcPr>
            <w:tcW w:w="240" w:type="dxa"/>
            <w:vAlign w:val="bottom"/>
          </w:tcPr>
          <w:p>
            <w:pPr>
              <w:spacing w:after="0"/>
              <w:rPr>
                <w:sz w:val="23"/>
                <w:szCs w:val="23"/>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$25,000,000</w:t>
            </w:r>
          </w:p>
        </w:tc>
        <w:tc>
          <w:tcPr>
            <w:tcW w:w="680" w:type="dxa"/>
            <w:vAlign w:val="bottom"/>
          </w:tcPr>
          <w:p>
            <w:pPr>
              <w:spacing w:after="0"/>
              <w:rPr>
                <w:sz w:val="23"/>
                <w:szCs w:val="23"/>
                <w:color w:val="auto"/>
              </w:rPr>
            </w:pPr>
          </w:p>
        </w:tc>
      </w:tr>
    </w:tbl>
    <w:p>
      <w:pPr>
        <w:spacing w:after="0" w:line="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1" w:right="1440" w:bottom="47"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1" w:right="1440" w:bottom="47"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19"/>
          <w:szCs w:val="19"/>
          <w:color w:val="auto"/>
        </w:rPr>
        <w:t>X Rule 506(b)</w:t>
      </w:r>
    </w:p>
    <w:p>
      <w:pPr>
        <w:spacing w:after="0" w:line="79"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ectPr>
          <w:pgSz w:w="11900" w:h="16838" w:orient="portrait"/>
          <w:cols w:equalWidth="0" w:num="2">
            <w:col w:w="3920" w:space="720"/>
            <w:col w:w="5579"/>
          </w:cols>
          <w:pgMar w:left="240" w:top="111" w:right="1440" w:bottom="4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2013-10-04</w:t>
            </w:r>
          </w:p>
        </w:tc>
        <w:tc>
          <w:tcPr>
            <w:tcW w:w="200" w:type="dxa"/>
            <w:vAlign w:val="bottom"/>
          </w:tcPr>
          <w:p>
            <w:pPr>
              <w:spacing w:after="0"/>
              <w:rPr>
                <w:sz w:val="24"/>
                <w:szCs w:val="24"/>
                <w:color w:val="auto"/>
              </w:rPr>
            </w:pPr>
          </w:p>
        </w:tc>
        <w:tc>
          <w:tcPr>
            <w:tcW w:w="38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$5,016,977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$5,016,977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16. Use of Proceeds</w:t>
      </w:r>
    </w:p>
    <w:p>
      <w:pPr>
        <w:spacing w:after="0" w:line="207"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$900,000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2013-10-14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2019-12-07T06:54:21Z</dcterms:created>
  <dcterms:modified xsi:type="dcterms:W3CDTF">2019-12-07T06:54:21Z</dcterms:modified>
</cp:coreProperties>
</file>