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November 13, 2023</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37"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Trading</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13"/>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Symbol(s)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r>
      <w:tr>
        <w:trPr>
          <w:trHeight w:val="25"/>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8"/>
        </w:trPr>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255" w:lineRule="exact"/>
        <w:rPr>
          <w:sz w:val="24"/>
          <w:szCs w:val="24"/>
          <w:color w:val="auto"/>
        </w:rPr>
      </w:pPr>
    </w:p>
    <w:p>
      <w:pPr>
        <w:ind w:right="60"/>
        <w:spacing w:after="0" w:line="22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9" w:lineRule="exact"/>
        <w:rPr>
          <w:sz w:val="24"/>
          <w:szCs w:val="24"/>
          <w:color w:val="auto"/>
        </w:rPr>
      </w:pPr>
    </w:p>
    <w:p>
      <w:pPr>
        <w:ind w:right="580"/>
        <w:spacing w:after="0" w:line="22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November 13, 2023, the Company reported its financial results for the three and nine months ended September 30, 2023. A copy of the press release issued by the Company is furnished as Exhibit 99.1 to this report.</w:t>
      </w:r>
    </w:p>
    <w:p>
      <w:pPr>
        <w:spacing w:after="0" w:line="17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2900" w:type="dxa"/>
            <w:vAlign w:val="bottom"/>
            <w:tcBorders>
              <w:bottom w:val="single" w:sz="8" w:color="0E32E1"/>
            </w:tcBorders>
          </w:tcPr>
          <w:p>
            <w:pPr>
              <w:spacing w:after="0"/>
              <w:rPr>
                <w:sz w:val="20"/>
                <w:szCs w:val="20"/>
                <w:color w:val="auto"/>
              </w:rPr>
            </w:pPr>
            <w:r>
              <w:rPr>
                <w:rFonts w:ascii="Arial" w:cs="Arial" w:eastAsia="Arial" w:hAnsi="Arial"/>
                <w:sz w:val="18"/>
                <w:szCs w:val="18"/>
                <w:color w:val="0E32E1"/>
                <w:w w:val="87"/>
              </w:rPr>
              <w:t>Press Release dated November 13, 2023</w:t>
            </w:r>
          </w:p>
        </w:tc>
        <w:tc>
          <w:tcPr>
            <w:tcW w:w="6880" w:type="dxa"/>
            <w:vAlign w:val="bottom"/>
          </w:tcPr>
          <w:p>
            <w:pPr>
              <w:spacing w:after="0"/>
              <w:rPr>
                <w:sz w:val="24"/>
                <w:szCs w:val="24"/>
                <w:color w:val="auto"/>
              </w:rPr>
            </w:pPr>
          </w:p>
        </w:tc>
      </w:tr>
      <w:tr>
        <w:trPr>
          <w:trHeight w:val="520"/>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Exagen Inc. Reports Strong Third Quarter 2023 Results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November 13, 2023</w:t>
      </w:r>
    </w:p>
    <w:p>
      <w:pPr>
        <w:spacing w:after="0" w:line="25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SAN DIEGO – Exagen Inc. (Nasdaq: XGN), a leading provider of autoimmune testng solutons, today reported fnancial results for the quarter ended September 30, 2023.</w:t>
      </w:r>
    </w:p>
    <w:p>
      <w:pPr>
        <w:spacing w:after="0" w:line="21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Recognized total revenue of $13.4 million for the third quarter of 2023.</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gross margin of 57.4% for the third quarter of 2023.</w:t>
      </w:r>
    </w:p>
    <w:p>
      <w:pPr>
        <w:spacing w:after="0" w:line="148" w:lineRule="exact"/>
        <w:rPr>
          <w:rFonts w:ascii="Arial" w:cs="Arial" w:eastAsia="Arial" w:hAnsi="Arial"/>
          <w:sz w:val="20"/>
          <w:szCs w:val="20"/>
          <w:color w:val="auto"/>
        </w:rPr>
      </w:pPr>
    </w:p>
    <w:p>
      <w:pPr>
        <w:ind w:left="980" w:hanging="324"/>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AVISE® CTD trailing twelve-month average selling price (ASP) of $320.</w:t>
      </w:r>
    </w:p>
    <w:p>
      <w:pPr>
        <w:spacing w:after="0" w:line="242" w:lineRule="exact"/>
        <w:rPr>
          <w:rFonts w:ascii="Arial" w:cs="Arial" w:eastAsia="Arial" w:hAnsi="Arial"/>
          <w:sz w:val="20"/>
          <w:szCs w:val="20"/>
          <w:color w:val="auto"/>
        </w:rPr>
      </w:pPr>
    </w:p>
    <w:p>
      <w:pPr>
        <w:ind w:left="980" w:hanging="324"/>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loss of $(5.4) million for the third quarter of 2023.</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Non-GAAP adjusted EBITDA of $(3.6) million for the third quarter of 2023.</w:t>
      </w:r>
    </w:p>
    <w:p>
      <w:pPr>
        <w:spacing w:after="0" w:line="242" w:lineRule="exact"/>
        <w:rPr>
          <w:rFonts w:ascii="Arial" w:cs="Arial" w:eastAsia="Arial" w:hAnsi="Arial"/>
          <w:sz w:val="20"/>
          <w:szCs w:val="20"/>
          <w:color w:val="auto"/>
        </w:rPr>
      </w:pPr>
    </w:p>
    <w:p>
      <w:pPr>
        <w:ind w:left="980" w:right="380" w:hanging="324"/>
        <w:spacing w:after="0" w:line="236" w:lineRule="auto"/>
        <w:tabs>
          <w:tab w:leader="none" w:pos="971" w:val="left"/>
        </w:tabs>
        <w:numPr>
          <w:ilvl w:val="0"/>
          <w:numId w:val="2"/>
        </w:numPr>
        <w:rPr>
          <w:rFonts w:ascii="Arial" w:cs="Arial" w:eastAsia="Arial" w:hAnsi="Arial"/>
          <w:sz w:val="20"/>
          <w:szCs w:val="20"/>
          <w:color w:val="auto"/>
        </w:rPr>
      </w:pPr>
      <w:r>
        <w:rPr>
          <w:rFonts w:ascii="Arial" w:cs="Arial" w:eastAsia="Arial" w:hAnsi="Arial"/>
          <w:sz w:val="20"/>
          <w:szCs w:val="20"/>
          <w:color w:val="auto"/>
        </w:rPr>
        <w:t>Entered into an exclusive license agreement with Johns Hopkins University to develop novel lupus nephrits biomarkers into clinical diagnostc tests.</w:t>
      </w:r>
    </w:p>
    <w:p>
      <w:pPr>
        <w:spacing w:after="0" w:line="209" w:lineRule="exact"/>
        <w:rPr>
          <w:sz w:val="20"/>
          <w:szCs w:val="20"/>
          <w:color w:val="auto"/>
        </w:rPr>
      </w:pPr>
    </w:p>
    <w:p>
      <w:pPr>
        <w:ind w:right="400"/>
        <w:spacing w:after="0" w:line="237" w:lineRule="auto"/>
        <w:rPr>
          <w:sz w:val="20"/>
          <w:szCs w:val="20"/>
          <w:color w:val="auto"/>
        </w:rPr>
      </w:pPr>
      <w:r>
        <w:rPr>
          <w:rFonts w:ascii="Arial" w:cs="Arial" w:eastAsia="Arial" w:hAnsi="Arial"/>
          <w:sz w:val="20"/>
          <w:szCs w:val="20"/>
          <w:color w:val="auto"/>
        </w:rPr>
        <w:t>“We believe we are well on pace to deliver record revenue, marked improvement in adjusted EBITDA and growth in AVISE CTD trailing twelve-month ASP for the full-year 2023. I am extremely proud of the team for their eforts this past quarter and we contnue to see improvement in key performance metrics which we telegraphed at the start of the year,” said John Aballi, President and Chief Executve Ofcer of Exagen.</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2023 Financial Results</w:t>
      </w:r>
    </w:p>
    <w:p>
      <w:pPr>
        <w:spacing w:after="0" w:line="391"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color w:val="auto"/>
        </w:rPr>
        <w:t>Revenue was $13.4 million for the third quarter of 2023, compared with $14.7 million in the third quarter of 2022 and $14.1 million in the second quarter of 2023. As a reminder for comparisons to 2022, revenue in the third quarter of 2022 included $3.7 million of Medicare revenue from the second quarter of 2022. Gross margin was 57.4% in the third quarter of 2023, compared to 58.7% in the second quarter of 2023 and 59.2% in the third quarter of 2022.</w:t>
      </w:r>
    </w:p>
    <w:p>
      <w:pPr>
        <w:spacing w:after="0" w:line="224" w:lineRule="exact"/>
        <w:rPr>
          <w:sz w:val="20"/>
          <w:szCs w:val="20"/>
          <w:color w:val="auto"/>
        </w:rPr>
      </w:pPr>
    </w:p>
    <w:p>
      <w:pPr>
        <w:ind w:right="60"/>
        <w:spacing w:after="0" w:line="274" w:lineRule="auto"/>
        <w:rPr>
          <w:sz w:val="20"/>
          <w:szCs w:val="20"/>
          <w:color w:val="auto"/>
        </w:rPr>
      </w:pPr>
      <w:r>
        <w:rPr>
          <w:rFonts w:ascii="Arial" w:cs="Arial" w:eastAsia="Arial" w:hAnsi="Arial"/>
          <w:sz w:val="20"/>
          <w:szCs w:val="20"/>
          <w:color w:val="auto"/>
        </w:rPr>
        <w:t>Operatng expenses were $18.5 million in the third quarter of 2023, compared with $22.5 million in the third quarter of 2022, primarily due to decreases in employee related expenses from the reducton in force in early December 2022.</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For the third quarter of 2023, net loss is $5.4 million, compared to a net loss of $8.1 million in the third quarter of 2022.</w:t>
      </w:r>
    </w:p>
    <w:p>
      <w:pPr>
        <w:sectPr>
          <w:pgSz w:w="11900" w:h="16838" w:orient="portrait"/>
          <w:cols w:equalWidth="0" w:num="1">
            <w:col w:w="11240"/>
          </w:cols>
          <w:pgMar w:left="320" w:top="1440" w:right="339" w:bottom="144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9"/>
          <w:szCs w:val="19"/>
          <w:color w:val="auto"/>
        </w:rPr>
        <w:t xml:space="preserve">Cash and cash equivalents were $28.4 million as of September 30, 2023 and our accounts receivable balance was $17 million. Cash and cash equivalents were </w:t>
      </w:r>
      <w:r>
        <w:rPr>
          <w:rFonts w:ascii="Arial" w:cs="Arial" w:eastAsia="Arial" w:hAnsi="Arial"/>
          <w:sz w:val="20"/>
          <w:szCs w:val="20"/>
          <w:color w:val="auto"/>
        </w:rPr>
        <w:t>$31.4 million</w:t>
      </w:r>
      <w:r>
        <w:rPr>
          <w:rFonts w:ascii="Arial" w:cs="Arial" w:eastAsia="Arial" w:hAnsi="Arial"/>
          <w:sz w:val="19"/>
          <w:szCs w:val="19"/>
          <w:color w:val="auto"/>
        </w:rPr>
        <w:t xml:space="preserve"> as of </w:t>
      </w:r>
      <w:r>
        <w:rPr>
          <w:rFonts w:ascii="Arial" w:cs="Arial" w:eastAsia="Arial" w:hAnsi="Arial"/>
          <w:sz w:val="20"/>
          <w:szCs w:val="20"/>
          <w:color w:val="auto"/>
        </w:rPr>
        <w:t>October 31, 2023</w:t>
      </w:r>
      <w:r>
        <w:rPr>
          <w:rFonts w:ascii="Arial" w:cs="Arial" w:eastAsia="Arial" w:hAnsi="Arial"/>
          <w:sz w:val="19"/>
          <w:szCs w:val="19"/>
          <w:color w:val="auto"/>
        </w:rPr>
        <w:t xml:space="preserve"> and our accounts receivable balance was $11.6 million.</w:t>
      </w:r>
    </w:p>
    <w:p>
      <w:pPr>
        <w:spacing w:after="0" w:line="184"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Adjusted EBITDA was $(3.6) million for Q3 2023 compared to $(6.1) million for Q3 2022 and $(13.2) million for the nine months ended September 30, 2023 compared to $(26.4) million during the same period in 2022.</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Company is providing certain preliminary fnancial informaton as of October 31, 2023, based on currently available informaton. This preliminary fnancial informaton is not a comprehensive statement of its fnancial results for the full three months and year ending December 31, 2023, and should not be viewed as a substtute for fnancial statements prepared in accordance with generally accepted accountng principles. Additonally, the Company’s fnancial closing procedures with respect to the preliminary fnancial informaton provided above are not yet complete and are subject to further fnancial review. These procedures ofen result in changes to accounts. This preliminary fnancial informaton is also not necessarily indicatve of the results to be achieved for the fourth quarter of 2023, the full year ending December 31, 2023 or any future period. Our actual results may be materially diferent from these estmates. The Company undertakes no obligaton to update or supplement the informaton provided above untl it releases its fnancial statements for the three months and year ending December 31, 2023. The preliminary fnancial informaton included in this press release has been prepared by, and is the responsibility of, our management. BDO USA, LLP (BDO) has not audited, reviewed, compiled, or applied agreed-upon procedures with respect to this preliminary fnancial informaton. Accordingly, BDO does not express an opinion or any other form of assurance with respect to this informaton.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Guidance</w:t>
      </w:r>
    </w:p>
    <w:p>
      <w:pPr>
        <w:spacing w:after="0" w:line="162" w:lineRule="exact"/>
        <w:rPr>
          <w:sz w:val="20"/>
          <w:szCs w:val="20"/>
          <w:color w:val="auto"/>
        </w:rPr>
      </w:pPr>
    </w:p>
    <w:p>
      <w:pPr>
        <w:ind w:right="160"/>
        <w:spacing w:after="0" w:line="316" w:lineRule="auto"/>
        <w:rPr>
          <w:sz w:val="20"/>
          <w:szCs w:val="20"/>
          <w:color w:val="auto"/>
        </w:rPr>
      </w:pPr>
      <w:r>
        <w:rPr>
          <w:rFonts w:ascii="Arial" w:cs="Arial" w:eastAsia="Arial" w:hAnsi="Arial"/>
          <w:sz w:val="18"/>
          <w:szCs w:val="18"/>
          <w:color w:val="auto"/>
        </w:rPr>
        <w:t>For full year 2023 revenue, we are providing guidance of at least $50 million, which will be record annual revenue for the organizaton. We also believe that our adjusted EBITDA for 2023 will be around negatve $20 million, and we expect adjusted EBITDA to improve in 2024.</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62" w:lineRule="exact"/>
        <w:rPr>
          <w:sz w:val="20"/>
          <w:szCs w:val="20"/>
          <w:color w:val="auto"/>
        </w:rPr>
      </w:pPr>
    </w:p>
    <w:p>
      <w:pPr>
        <w:ind w:right="20"/>
        <w:spacing w:after="0" w:line="265" w:lineRule="auto"/>
        <w:rPr>
          <w:sz w:val="20"/>
          <w:szCs w:val="20"/>
          <w:color w:val="auto"/>
        </w:rPr>
      </w:pPr>
      <w:r>
        <w:rPr>
          <w:rFonts w:ascii="Arial" w:cs="Arial" w:eastAsia="Arial" w:hAnsi="Arial"/>
          <w:sz w:val="20"/>
          <w:szCs w:val="20"/>
          <w:color w:val="auto"/>
        </w:rPr>
        <w:t>A conference call to review third quarter 2023 fnancial results and to provide a business update is scheduled for today, November 13, 2023, at 4:30 PM Eastern Time (1:30 PM Pacifc Time). Interested partes may access the conference call by dialing (201) 389-0918 (U.S.) or (877) 407-0890 (internatonal). Additonally, a link to a live webcast of the call will be available in the Investor Relatons secton of Exagen's website at investors.exagen.com.</w:t>
      </w:r>
    </w:p>
    <w:p>
      <w:pPr>
        <w:spacing w:after="0" w:line="118" w:lineRule="exact"/>
        <w:rPr>
          <w:sz w:val="20"/>
          <w:szCs w:val="20"/>
          <w:color w:val="auto"/>
        </w:rPr>
      </w:pPr>
    </w:p>
    <w:p>
      <w:pPr>
        <w:ind w:right="160"/>
        <w:spacing w:after="0" w:line="265" w:lineRule="auto"/>
        <w:rPr>
          <w:sz w:val="20"/>
          <w:szCs w:val="20"/>
          <w:color w:val="auto"/>
        </w:rPr>
      </w:pPr>
      <w:r>
        <w:rPr>
          <w:rFonts w:ascii="Arial" w:cs="Arial" w:eastAsia="Arial" w:hAnsi="Arial"/>
          <w:sz w:val="20"/>
          <w:szCs w:val="20"/>
          <w:color w:val="auto"/>
        </w:rPr>
        <w:t>Partcipants are asked to join a few minutes prior to the call to register for the event. A replay of the conference call will be available untl Monday, November 27, 2023, at 11:59 PM Eastern Time (8:59 PM Pacifc Time). Interested partes may access the replay by dialing (201) 612-7415 (U.S.) or (877) 660-6853 (internatonal) using passcode 13741926. A link to the replay of the webcast will also be available in the Investor Relatons secton of Exagen's website.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 (UNAUDITED)</w:t>
      </w:r>
    </w:p>
    <w:p>
      <w:pPr>
        <w:spacing w:after="0" w:line="162" w:lineRule="exact"/>
        <w:rPr>
          <w:sz w:val="20"/>
          <w:szCs w:val="20"/>
          <w:color w:val="auto"/>
        </w:rPr>
      </w:pPr>
    </w:p>
    <w:p>
      <w:pPr>
        <w:ind w:right="160"/>
        <w:spacing w:after="0" w:line="277" w:lineRule="auto"/>
        <w:rPr>
          <w:sz w:val="20"/>
          <w:szCs w:val="20"/>
          <w:color w:val="auto"/>
        </w:rPr>
      </w:pPr>
      <w:r>
        <w:rPr>
          <w:rFonts w:ascii="Arial" w:cs="Arial" w:eastAsia="Arial" w:hAnsi="Arial"/>
          <w:sz w:val="19"/>
          <w:szCs w:val="19"/>
          <w:color w:val="auto"/>
        </w:rPr>
        <w:t>In this release, we use the metrics of adjusted EBITDA, which is not calculated in accordance with generally accepted accountng principles in the United States (GAAP) and is a non-GAAP fnancial measure. Adjusted EBITDA excludes from net loss interest income (expense), income tax expense (beneft), depreciaton and amortzaton expense, and stock-based compensaton expense.</w:t>
      </w:r>
    </w:p>
    <w:p>
      <w:pPr>
        <w:sectPr>
          <w:pgSz w:w="11900" w:h="16838" w:orient="portrait"/>
          <w:cols w:equalWidth="0" w:num="1">
            <w:col w:w="11240"/>
          </w:cols>
          <w:pgMar w:left="320" w:top="1384" w:right="339" w:bottom="1440" w:gutter="0" w:footer="0" w:header="0"/>
        </w:sectPr>
      </w:pPr>
    </w:p>
    <w:bookmarkStart w:id="5" w:name="page6"/>
    <w:bookmarkEnd w:id="5"/>
    <w:p>
      <w:pPr>
        <w:spacing w:after="0" w:line="201" w:lineRule="exact"/>
        <w:rPr>
          <w:sz w:val="20"/>
          <w:szCs w:val="20"/>
          <w:color w:val="auto"/>
        </w:rPr>
      </w:pPr>
    </w:p>
    <w:p>
      <w:pPr>
        <w:jc w:val="both"/>
        <w:ind w:right="280"/>
        <w:spacing w:after="0" w:line="251" w:lineRule="auto"/>
        <w:rPr>
          <w:sz w:val="20"/>
          <w:szCs w:val="20"/>
          <w:color w:val="auto"/>
        </w:rPr>
      </w:pPr>
      <w:r>
        <w:rPr>
          <w:rFonts w:ascii="Arial" w:cs="Arial" w:eastAsia="Arial" w:hAnsi="Arial"/>
          <w:sz w:val="20"/>
          <w:szCs w:val="20"/>
          <w:color w:val="auto"/>
        </w:rPr>
        <w:t>We use adjusted EBITDA internally because we believe these metrics provide useful supplemental informaton in assessing our operatng performance reported in accordance with GAAP. We believe adjusted EBITDA may enhance an evaluaton of our operatng performance because it</w:t>
      </w:r>
    </w:p>
    <w:p>
      <w:pPr>
        <w:spacing w:after="0" w:line="1" w:lineRule="exact"/>
        <w:rPr>
          <w:sz w:val="20"/>
          <w:szCs w:val="20"/>
          <w:color w:val="auto"/>
        </w:rPr>
      </w:pPr>
    </w:p>
    <w:p>
      <w:pPr>
        <w:ind w:right="400"/>
        <w:spacing w:after="0" w:line="253" w:lineRule="auto"/>
        <w:rPr>
          <w:sz w:val="20"/>
          <w:szCs w:val="20"/>
          <w:color w:val="auto"/>
        </w:rPr>
      </w:pPr>
      <w:r>
        <w:rPr>
          <w:rFonts w:ascii="Arial" w:cs="Arial" w:eastAsia="Arial" w:hAnsi="Arial"/>
          <w:sz w:val="20"/>
          <w:szCs w:val="20"/>
          <w:color w:val="auto"/>
        </w:rPr>
        <w:t>excludes the impact of prior decisions made about capital investment, fnancing, investng and certain expenses we believe are not indicatve of our ongoing performance. However, this non-GAAP fnancial measure may be diferent from non-GAAP fnancial measures used by other companies, even when the same or similarly ttled terms are used to identfy such measures, limitng their usefulness for comparatve purposes.</w:t>
      </w:r>
    </w:p>
    <w:p>
      <w:pPr>
        <w:spacing w:after="0" w:line="211"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This non-GAAP fnancial measure is not meant to be considered in isolaton or used as a substtute for net loss reported in accordance with GAAP, should be considered in conjuncton with our fnancial informaton presented in accordance with GAAP, has no standardized meaning prescribed by GAAP, is unaudited, and is not prepared under any comprehensive set of accountng rules or principles. In additon, from tme to tme in the future, there may be other items that we may exclude for purposes of these non-GAAP fnancial measures, and we may in the future cease to exclude items that we have historically excluded for purposes of these non-GAAP fnancial measures. Likewise, we may determine to modify the nature of adjustments to arrive at these non-GAAP fnancial measures. Because of the non-standardized defnitons of non-GAAP fnancial measures, the non-GAAP fnancial measure as used by us in this press release and the accompanying reconciliaton table have limits in their usefulness to investors and may be calculated diferently from, and therefore may not be directly comparable to, similarly ttled measures used by other companies. Accordingly, investors should not place undue reliance on non-GAAP fnancial measures.</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62"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Exagen is a leading provider of autoimmune testng and its purpose as an organizaton is to provide clarity in autoimmune disease decision making with the goal of improving patents’ clinical outcomes. Exagen is located in San Diego County, California.</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informaton, please visit Exagen.com or follow @ExagenInc on X.</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4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 to, statements regarding: Exagen’s goals, strategies and ambitons; the potental utlity and efectveness of Exagen’s services and testng solutons, potental shareholder value and growth, preliminary fnancial informaton as of October 31, 2023, and guidance. The inclusion of forward-looking statements should not be regarded as a representaton by Exagen that any of its plans will be achieved. Actual results may difer from those set forth in this press release due to the risks and uncertaintes inherent in Exagen’s business, including,</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9"/>
          <w:szCs w:val="19"/>
          <w:color w:val="auto"/>
        </w:rPr>
        <w:t>without limitaton: delays in reimbursement and coverage decisions from Medicare and third-party payors and in interactons with regulatory authorites, and delays in ongoing and planned clinical trials involving its tests; Exagen’s commercial success depends upon ataining and maintaining signifcant market acceptance of its testng products among rheumatologists, patents, third-party payors and others in the medical community; Exagen’s ability to successfully execute on its business strategies; third-party payors not providing coverage and adequate reimbursement for Exagen’s testng products, including Exagen’s ability to collect on funds due; Exagen’s ability to obtain and maintain intellectual property protecton for its testng products; regulatory developments afectng</w:t>
      </w:r>
    </w:p>
    <w:p>
      <w:pPr>
        <w:sectPr>
          <w:pgSz w:w="11900" w:h="16838" w:orient="portrait"/>
          <w:cols w:equalWidth="0" w:num="1">
            <w:col w:w="11220"/>
          </w:cols>
          <w:pgMar w:left="320" w:top="1440" w:right="359" w:bottom="1440" w:gutter="0" w:footer="0" w:header="0"/>
        </w:sectPr>
      </w:pPr>
    </w:p>
    <w:bookmarkStart w:id="6" w:name="page7"/>
    <w:bookmarkEnd w:id="6"/>
    <w:p>
      <w:pPr>
        <w:spacing w:after="0" w:line="250" w:lineRule="auto"/>
        <w:rPr>
          <w:sz w:val="20"/>
          <w:szCs w:val="20"/>
          <w:color w:val="auto"/>
        </w:rPr>
      </w:pPr>
      <w:r>
        <w:rPr>
          <w:rFonts w:ascii="Arial" w:cs="Arial" w:eastAsia="Arial" w:hAnsi="Arial"/>
          <w:sz w:val="19"/>
          <w:szCs w:val="19"/>
          <w:color w:val="auto"/>
        </w:rPr>
        <w:t>Exagen’s business; and other risks described in Exagen’s prior press releases and Exagen’s flings with the Securites and Exchange Commission (“SEC”), including under the heading “Risk Factors” in Exagen’s Annual Report on Form 10-K for the year ended December 31, 2022, fled with the SEC on March 20, 2023, its Quarterly Report on Form 10-Q for the quarter ended June 30, 2023, fled with the SEC on August 7, 2023and any subsequent flings with the SEC. You are cautoned not to place undue reliance on these forward-looking statements, which speak only as of the date hereof, and Exagen undertakes no obligaton to update such statements to refect events that occur or circumstances that exist afer the date hereof. All forward-looking statements are qualifed in their entrety by this cautonary statement, which is made under the safe harbor provisions of the Private Securites Litgaton Reform Act of 1995.</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Ryan Douglas</w:t>
      </w:r>
    </w:p>
    <w:p>
      <w:pPr>
        <w:spacing w:after="0"/>
        <w:rPr>
          <w:sz w:val="20"/>
          <w:szCs w:val="20"/>
          <w:color w:val="auto"/>
        </w:rPr>
      </w:pPr>
      <w:r>
        <w:rPr>
          <w:rFonts w:ascii="Arial" w:cs="Arial" w:eastAsia="Arial" w:hAnsi="Arial"/>
          <w:sz w:val="20"/>
          <w:szCs w:val="20"/>
          <w:u w:val="single" w:color="auto"/>
          <w:color w:val="0563C1"/>
        </w:rPr>
        <w:t>rdouglas@exagen.com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760.560.1525</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Kamal Adawi, Chief Financial Ofcer</w:t>
      </w:r>
    </w:p>
    <w:p>
      <w:pPr>
        <w:spacing w:after="0"/>
        <w:rPr>
          <w:sz w:val="20"/>
          <w:szCs w:val="20"/>
          <w:color w:val="auto"/>
        </w:rPr>
      </w:pPr>
      <w:r>
        <w:rPr>
          <w:rFonts w:ascii="Arial" w:cs="Arial" w:eastAsia="Arial" w:hAnsi="Arial"/>
          <w:sz w:val="20"/>
          <w:szCs w:val="20"/>
          <w:u w:val="single" w:color="auto"/>
          <w:color w:val="0563C1"/>
        </w:rPr>
        <w:t>kadawi@exagen.com</w:t>
      </w:r>
    </w:p>
    <w:p>
      <w:pPr>
        <w:sectPr>
          <w:pgSz w:w="11900" w:h="16838" w:orient="portrait"/>
          <w:cols w:equalWidth="0" w:num="1">
            <w:col w:w="11220"/>
          </w:cols>
          <w:pgMar w:left="320" w:top="1384" w:right="359" w:bottom="1440" w:gutter="0" w:footer="0" w:header="0"/>
        </w:sectPr>
      </w:pPr>
    </w:p>
    <w:bookmarkStart w:id="7" w:name="page8"/>
    <w:bookmarkEnd w:id="7"/>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7"/>
                <w:szCs w:val="17"/>
                <w:color w:val="auto"/>
              </w:rPr>
            </w:pPr>
          </w:p>
        </w:tc>
        <w:tc>
          <w:tcPr>
            <w:tcW w:w="26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32,726</w:t>
            </w:r>
          </w:p>
        </w:tc>
        <w:tc>
          <w:tcPr>
            <w:tcW w:w="0" w:type="dxa"/>
            <w:vAlign w:val="bottom"/>
          </w:tcPr>
          <w:p>
            <w:pPr>
              <w:spacing w:after="0"/>
              <w:rPr>
                <w:sz w:val="1"/>
                <w:szCs w:val="1"/>
                <w:color w:val="auto"/>
              </w:rPr>
            </w:pPr>
          </w:p>
        </w:tc>
      </w:tr>
      <w:tr>
        <w:trPr>
          <w:trHeight w:val="197"/>
        </w:trPr>
        <w:tc>
          <w:tcPr>
            <w:tcW w:w="56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17,905</w:t>
            </w:r>
          </w:p>
        </w:tc>
        <w:tc>
          <w:tcPr>
            <w:tcW w:w="0" w:type="dxa"/>
            <w:vAlign w:val="bottom"/>
          </w:tcPr>
          <w:p>
            <w:pPr>
              <w:spacing w:after="0"/>
              <w:rPr>
                <w:sz w:val="1"/>
                <w:szCs w:val="1"/>
                <w:color w:val="auto"/>
              </w:rPr>
            </w:pPr>
          </w:p>
        </w:tc>
      </w:tr>
      <w:tr>
        <w:trPr>
          <w:trHeight w:val="197"/>
        </w:trPr>
        <w:tc>
          <w:tcPr>
            <w:tcW w:w="562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35,212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39,206</w:t>
            </w:r>
          </w:p>
        </w:tc>
        <w:tc>
          <w:tcPr>
            <w:tcW w:w="0" w:type="dxa"/>
            <w:vAlign w:val="bottom"/>
          </w:tcPr>
          <w:p>
            <w:pPr>
              <w:spacing w:after="0"/>
              <w:rPr>
                <w:sz w:val="1"/>
                <w:szCs w:val="1"/>
                <w:color w:val="auto"/>
              </w:rPr>
            </w:pPr>
          </w:p>
        </w:tc>
      </w:tr>
      <w:tr>
        <w:trPr>
          <w:trHeight w:val="208"/>
        </w:trPr>
        <w:tc>
          <w:tcPr>
            <w:tcW w:w="5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7,175</w:t>
            </w:r>
          </w:p>
        </w:tc>
        <w:tc>
          <w:tcPr>
            <w:tcW w:w="0" w:type="dxa"/>
            <w:vAlign w:val="bottom"/>
          </w:tcPr>
          <w:p>
            <w:pPr>
              <w:spacing w:after="0"/>
              <w:rPr>
                <w:sz w:val="1"/>
                <w:szCs w:val="1"/>
                <w:color w:val="auto"/>
              </w:rPr>
            </w:pPr>
          </w:p>
        </w:tc>
      </w:tr>
      <w:tr>
        <w:trPr>
          <w:trHeight w:val="190"/>
        </w:trPr>
        <w:tc>
          <w:tcPr>
            <w:tcW w:w="56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56,473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64,286</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(31,560)</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(1,822)</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90"/>
        </w:trPr>
        <w:tc>
          <w:tcPr>
            <w:tcW w:w="5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(33,033)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line="150" w:lineRule="exact"/>
              <w:rPr>
                <w:sz w:val="20"/>
                <w:szCs w:val="20"/>
                <w:color w:val="auto"/>
              </w:rPr>
            </w:pPr>
            <w:r>
              <w:rPr>
                <w:rFonts w:ascii="Arial" w:cs="Arial" w:eastAsia="Arial" w:hAnsi="Arial"/>
                <w:sz w:val="14"/>
                <w:szCs w:val="14"/>
                <w:color w:val="auto"/>
              </w:rPr>
              <w:t>Weighted-average number of shares used to compute net loss per share, basic and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17,692,603</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17,080,959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17,626,686</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17,044,623</w:t>
            </w:r>
          </w:p>
        </w:tc>
        <w:tc>
          <w:tcPr>
            <w:tcW w:w="0" w:type="dxa"/>
            <w:vAlign w:val="bottom"/>
          </w:tcPr>
          <w:p>
            <w:pPr>
              <w:spacing w:after="0"/>
              <w:rPr>
                <w:sz w:val="1"/>
                <w:szCs w:val="1"/>
                <w:color w:val="auto"/>
              </w:rPr>
            </w:pPr>
          </w:p>
        </w:tc>
      </w:tr>
      <w:tr>
        <w:trPr>
          <w:trHeight w:val="154"/>
        </w:trPr>
        <w:tc>
          <w:tcPr>
            <w:tcW w:w="5620" w:type="dxa"/>
            <w:vAlign w:val="bottom"/>
          </w:tcPr>
          <w:p>
            <w:pPr>
              <w:ind w:left="20"/>
              <w:spacing w:after="0" w:line="154" w:lineRule="exact"/>
              <w:rPr>
                <w:sz w:val="20"/>
                <w:szCs w:val="20"/>
                <w:color w:val="auto"/>
              </w:rPr>
            </w:pPr>
            <w:r>
              <w:rPr>
                <w:rFonts w:ascii="Arial" w:cs="Arial" w:eastAsia="Arial" w:hAnsi="Arial"/>
                <w:sz w:val="14"/>
                <w:szCs w:val="14"/>
                <w:color w:val="auto"/>
              </w:rPr>
              <w:t>diluted</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8" w:name="page9"/>
    <w:bookmarkEnd w:id="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Unaudited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62,391</w:t>
            </w:r>
          </w:p>
        </w:tc>
        <w:tc>
          <w:tcPr>
            <w:tcW w:w="0" w:type="dxa"/>
            <w:vAlign w:val="bottom"/>
          </w:tcPr>
          <w:p>
            <w:pPr>
              <w:spacing w:after="0"/>
              <w:rPr>
                <w:sz w:val="1"/>
                <w:szCs w:val="1"/>
                <w:color w:val="auto"/>
              </w:rPr>
            </w:pPr>
          </w:p>
        </w:tc>
      </w:tr>
      <w:tr>
        <w:trPr>
          <w:trHeight w:val="197"/>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6,077</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0" w:type="dxa"/>
            <w:vAlign w:val="bottom"/>
          </w:tcPr>
          <w:p>
            <w:pPr>
              <w:spacing w:after="0"/>
              <w:rPr>
                <w:sz w:val="1"/>
                <w:szCs w:val="1"/>
                <w:color w:val="auto"/>
              </w:rPr>
            </w:pPr>
          </w:p>
        </w:tc>
      </w:tr>
      <w:tr>
        <w:trPr>
          <w:trHeight w:val="190"/>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48,908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72,611</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8,197</w:t>
            </w:r>
          </w:p>
        </w:tc>
        <w:tc>
          <w:tcPr>
            <w:tcW w:w="0" w:type="dxa"/>
            <w:vAlign w:val="bottom"/>
          </w:tcPr>
          <w:p>
            <w:pPr>
              <w:spacing w:after="0"/>
              <w:rPr>
                <w:sz w:val="1"/>
                <w:szCs w:val="1"/>
                <w:color w:val="auto"/>
              </w:rPr>
            </w:pPr>
          </w:p>
        </w:tc>
      </w:tr>
      <w:tr>
        <w:trPr>
          <w:trHeight w:val="196"/>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90"/>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60,928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86,221</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w:t>
            </w:r>
          </w:p>
        </w:tc>
        <w:tc>
          <w:tcPr>
            <w:tcW w:w="0" w:type="dxa"/>
            <w:vAlign w:val="bottom"/>
          </w:tcPr>
          <w:p>
            <w:pPr>
              <w:spacing w:after="0"/>
              <w:rPr>
                <w:sz w:val="1"/>
                <w:szCs w:val="1"/>
                <w:color w:val="auto"/>
              </w:rPr>
            </w:pPr>
          </w:p>
        </w:tc>
      </w:tr>
      <w:tr>
        <w:trPr>
          <w:trHeight w:val="196"/>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5,347</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Borrowings-current portion</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9,623</w:t>
            </w: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19,193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28,778</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4,493</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43,761</w:t>
            </w: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680" w:type="dxa"/>
            <w:vAlign w:val="bottom"/>
          </w:tcPr>
          <w:p>
            <w:pPr>
              <w:ind w:left="360"/>
              <w:spacing w:after="0" w:line="157" w:lineRule="exact"/>
              <w:rPr>
                <w:sz w:val="20"/>
                <w:szCs w:val="20"/>
                <w:color w:val="auto"/>
              </w:rPr>
            </w:pPr>
            <w:r>
              <w:rPr>
                <w:rFonts w:ascii="Arial" w:cs="Arial" w:eastAsia="Arial" w:hAnsi="Arial"/>
                <w:sz w:val="14"/>
                <w:szCs w:val="14"/>
                <w:color w:val="auto"/>
              </w:rPr>
              <w:t>Preferred stock, $0.001 par value; 10,000,000 shares authorized, no shares issued or outstanding as of September 30, 2023 and</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680" w:type="dxa"/>
            <w:vAlign w:val="bottom"/>
          </w:tcPr>
          <w:p>
            <w:pPr>
              <w:ind w:left="360"/>
              <w:spacing w:after="0"/>
              <w:rPr>
                <w:sz w:val="20"/>
                <w:szCs w:val="20"/>
                <w:color w:val="auto"/>
              </w:rPr>
            </w:pPr>
            <w:r>
              <w:rPr>
                <w:rFonts w:ascii="Arial" w:cs="Arial" w:eastAsia="Arial" w:hAnsi="Arial"/>
                <w:sz w:val="14"/>
                <w:szCs w:val="14"/>
                <w:color w:val="auto"/>
              </w:rPr>
              <w:t>December 31, 2022</w:t>
            </w: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Common stock, $0.001 par value; 200,000,000 shares authorized as of September 30, 2023 and December 31, 2022;</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1"/>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16,931,894 and 16,549,984 shares issued and outstanding as of September 30, 2023 and December 31, 2022, respectively</w:t>
            </w: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301,130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297,970</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(273,643)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(255,527)</w:t>
            </w:r>
          </w:p>
        </w:tc>
        <w:tc>
          <w:tcPr>
            <w:tcW w:w="0" w:type="dxa"/>
            <w:vAlign w:val="bottom"/>
          </w:tcPr>
          <w:p>
            <w:pPr>
              <w:spacing w:after="0"/>
              <w:rPr>
                <w:sz w:val="1"/>
                <w:szCs w:val="1"/>
                <w:color w:val="auto"/>
              </w:rPr>
            </w:pPr>
          </w:p>
        </w:tc>
      </w:tr>
      <w:tr>
        <w:trPr>
          <w:trHeight w:val="190"/>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27,504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60,928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1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155" w:lineRule="exact"/>
        <w:rPr>
          <w:sz w:val="20"/>
          <w:szCs w:val="20"/>
          <w:color w:val="auto"/>
        </w:rPr>
      </w:pPr>
    </w:p>
    <w:p>
      <w:pPr>
        <w:ind w:right="300"/>
        <w:spacing w:after="0" w:line="295" w:lineRule="auto"/>
        <w:rPr>
          <w:sz w:val="20"/>
          <w:szCs w:val="20"/>
          <w:color w:val="auto"/>
        </w:rPr>
      </w:pPr>
      <w:r>
        <w:rPr>
          <w:rFonts w:ascii="Arial" w:cs="Arial" w:eastAsia="Arial" w:hAnsi="Arial"/>
          <w:sz w:val="19"/>
          <w:szCs w:val="19"/>
          <w:color w:val="auto"/>
        </w:rPr>
        <w:t>The table below presents the reconciliaton of adjusted EBITDA, which is a non-GAAP fnancial measure. See "Use of Non-GAAP Financial Measures (UNAUDITED)" above for further informaton regarding the Company's use of non-GAAP fnancial measures.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4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30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179"/>
        </w:trPr>
        <w:tc>
          <w:tcPr>
            <w:tcW w:w="20" w:type="dxa"/>
            <w:vAlign w:val="bottom"/>
          </w:tcPr>
          <w:p>
            <w:pPr>
              <w:spacing w:after="0"/>
              <w:rPr>
                <w:sz w:val="15"/>
                <w:szCs w:val="15"/>
                <w:color w:val="auto"/>
              </w:rPr>
            </w:pPr>
          </w:p>
        </w:tc>
        <w:tc>
          <w:tcPr>
            <w:tcW w:w="45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3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(5,415)</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(8,096)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(18,116)</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(33,033)</w:t>
            </w:r>
          </w:p>
        </w:tc>
      </w:tr>
      <w:tr>
        <w:trPr>
          <w:trHeight w:val="208"/>
        </w:trPr>
        <w:tc>
          <w:tcPr>
            <w:tcW w:w="2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 Expense</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r>
      <w:tr>
        <w:trPr>
          <w:trHeight w:val="197"/>
        </w:trPr>
        <w:tc>
          <w:tcPr>
            <w:tcW w:w="20" w:type="dxa"/>
            <w:vAlign w:val="bottom"/>
          </w:tcPr>
          <w:p>
            <w:pPr>
              <w:spacing w:after="0"/>
              <w:rPr>
                <w:sz w:val="17"/>
                <w:szCs w:val="17"/>
                <w:color w:val="auto"/>
              </w:rPr>
            </w:pPr>
          </w:p>
        </w:tc>
        <w:tc>
          <w:tcPr>
            <w:tcW w:w="4520" w:type="dxa"/>
            <w:vAlign w:val="bottom"/>
            <w:gridSpan w:val="2"/>
          </w:tcPr>
          <w:p>
            <w:pPr>
              <w:ind w:left="340"/>
              <w:spacing w:after="0"/>
              <w:rPr>
                <w:sz w:val="20"/>
                <w:szCs w:val="20"/>
                <w:color w:val="auto"/>
              </w:rPr>
            </w:pPr>
            <w:r>
              <w:rPr>
                <w:rFonts w:ascii="Arial" w:cs="Arial" w:eastAsia="Arial" w:hAnsi="Arial"/>
                <w:sz w:val="14"/>
                <w:szCs w:val="14"/>
                <w:color w:val="auto"/>
              </w:rPr>
              <w:t>Interest Expense</w:t>
            </w:r>
          </w:p>
        </w:tc>
        <w:tc>
          <w:tcPr>
            <w:tcW w:w="1040" w:type="dxa"/>
            <w:vAlign w:val="bottom"/>
          </w:tcPr>
          <w:p>
            <w:pPr>
              <w:spacing w:after="0"/>
              <w:rPr>
                <w:sz w:val="17"/>
                <w:szCs w:val="17"/>
                <w:color w:val="auto"/>
              </w:rPr>
            </w:pPr>
          </w:p>
        </w:tc>
        <w:tc>
          <w:tcPr>
            <w:tcW w:w="560" w:type="dxa"/>
            <w:vAlign w:val="bottom"/>
          </w:tcPr>
          <w:p>
            <w:pPr>
              <w:jc w:val="center"/>
              <w:ind w:left="128"/>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1,822</w:t>
            </w:r>
          </w:p>
        </w:tc>
      </w:tr>
      <w:tr>
        <w:trPr>
          <w:trHeight w:val="208"/>
        </w:trPr>
        <w:tc>
          <w:tcPr>
            <w:tcW w:w="2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r>
      <w:tr>
        <w:trPr>
          <w:trHeight w:val="197"/>
        </w:trPr>
        <w:tc>
          <w:tcPr>
            <w:tcW w:w="2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891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4,123</w:t>
            </w: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EBITDA (Non-GAAP)</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2023-11-13T15:21:15Z</dcterms:created>
  <dcterms:modified xsi:type="dcterms:W3CDTF">2023-11-13T15:21:15Z</dcterms:modified>
</cp:coreProperties>
</file>