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151765</wp:posOffset>
            </wp:positionV>
            <wp:extent cx="977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3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111760</wp:posOffset>
            </wp:positionV>
            <wp:extent cx="977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28" w:lineRule="exact"/>
        <w:rPr>
          <w:sz w:val="24"/>
          <w:szCs w:val="2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7"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28" w:lineRule="exact"/>
        <w:rPr>
          <w:rFonts w:ascii="MS PGothic" w:cs="MS PGothic" w:eastAsia="MS PGothic" w:hAnsi="MS PGothic"/>
          <w:sz w:val="14"/>
          <w:szCs w:val="14"/>
          <w:color w:val="auto"/>
        </w:rPr>
      </w:pPr>
    </w:p>
    <w:p>
      <w:pPr>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28"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8"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8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Exagen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8" w:lineRule="exact"/>
        <w:rPr>
          <w:sz w:val="24"/>
          <w:szCs w:val="24"/>
          <w:color w:val="auto"/>
        </w:rPr>
      </w:pPr>
    </w:p>
    <w:p>
      <w:pPr>
        <w:ind w:left="540" w:hanging="53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8" w:lineRule="exact"/>
        <w:rPr>
          <w:sz w:val="24"/>
          <w:szCs w:val="2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8" w:lineRule="exact"/>
        <w:rPr>
          <w:rFonts w:ascii="MS PGothic" w:cs="MS PGothic" w:eastAsia="MS PGothic" w:hAnsi="MS PGothic"/>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44" w:lineRule="exact"/>
        <w:rPr>
          <w:rFonts w:ascii="Arial" w:cs="Arial" w:eastAsia="Arial" w:hAnsi="Arial"/>
          <w:sz w:val="14"/>
          <w:szCs w:val="14"/>
          <w:color w:val="auto"/>
        </w:rPr>
      </w:pPr>
    </w:p>
    <w:p>
      <w:pPr>
        <w:ind w:left="1080" w:right="20" w:hanging="534"/>
        <w:spacing w:after="0" w:line="229" w:lineRule="auto"/>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2" w:lineRule="exact"/>
        <w:rPr>
          <w:rFonts w:ascii="Arial" w:cs="Arial" w:eastAsia="Arial" w:hAnsi="Arial"/>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transactions:</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4" w:lineRule="exact"/>
        <w:rPr>
          <w:rFonts w:ascii="Arial" w:cs="Arial" w:eastAsia="Arial" w:hAnsi="Arial"/>
          <w:sz w:val="14"/>
          <w:szCs w:val="1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8" w:lineRule="exact"/>
        <w:rPr>
          <w:rFonts w:ascii="MS PGothic" w:cs="MS PGothic" w:eastAsia="MS PGothic" w:hAnsi="MS PGothic"/>
          <w:sz w:val="14"/>
          <w:szCs w:val="14"/>
          <w:color w:val="auto"/>
        </w:rPr>
      </w:pPr>
    </w:p>
    <w:p>
      <w:pPr>
        <w:ind w:left="540" w:hanging="534"/>
        <w:spacing w:after="0" w:line="229" w:lineRule="auto"/>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 w:lineRule="exact"/>
        <w:rPr>
          <w:rFonts w:ascii="MS PGothic" w:cs="MS PGothic" w:eastAsia="MS PGothic" w:hAnsi="MS PGothic"/>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-1613535</wp:posOffset>
            </wp:positionV>
            <wp:extent cx="644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-1870710</wp:posOffset>
            </wp:positionV>
            <wp:extent cx="644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-2127885</wp:posOffset>
            </wp:positionV>
            <wp:extent cx="6446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-2470785</wp:posOffset>
            </wp:positionV>
            <wp:extent cx="6446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-2727960</wp:posOffset>
            </wp:positionV>
            <wp:extent cx="6446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109220</wp:posOffset>
            </wp:positionV>
            <wp:extent cx="6446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-147320</wp:posOffset>
            </wp:positionV>
            <wp:extent cx="64465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-404495</wp:posOffset>
            </wp:positionV>
            <wp:extent cx="6446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-661670</wp:posOffset>
            </wp:positionV>
            <wp:extent cx="64465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546100</wp:posOffset>
            </wp:positionV>
            <wp:extent cx="7089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511810</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20"/>
          </w:cols>
          <w:pgMar w:left="340" w:top="1054"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732155</wp:posOffset>
            </wp:positionV>
            <wp:extent cx="1611630" cy="643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43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2021 ANNUAL MEETING OF STOCKHOLDERS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June 17, 2021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EXAGEN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April 27,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You are cordially invited to attend the Annual Meeting of Stockholders of Exagen Inc., a Delaware corporation (the "Company"). The meeting is expected to be held on June 17, 2021 at 8:00 a.m. Pacific Time in the Encore Meeting Room of the Hard Rock Hotel San Diego, 207 5th Avenue, San Diego, California 92101.</w:t>
      </w:r>
    </w:p>
    <w:p>
      <w:pPr>
        <w:spacing w:after="0" w:line="215"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23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However, 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154305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0007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Thursday, 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089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Annual Meeting of Stockholders (the "Annual Meeting") of Exagen Inc. will be held in the Encore Meeting Room of the Hard Rock Hotel San Diego, 207 5th Avenue, San Diego, California 92101 on Thursday, June 17, 2021, at 8:00 a.m. Pacific Time, for the following purposes:</w:t>
      </w:r>
    </w:p>
    <w:p>
      <w:pPr>
        <w:spacing w:after="0" w:line="141" w:lineRule="exact"/>
        <w:rPr>
          <w:sz w:val="20"/>
          <w:szCs w:val="20"/>
          <w:color w:val="auto"/>
        </w:rPr>
      </w:pPr>
    </w:p>
    <w:p>
      <w:pPr>
        <w:ind w:left="660" w:right="62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directors to serve as Class II directors for a three-year term expiring at the 2024 Annual Meeting of Stockholders and until their respective successors shall have been duly elected and qualified;</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BDO USA, LLP as our independent registered public accounting firm for the fiscal year ending December 31, 2021; and</w:t>
      </w:r>
    </w:p>
    <w:p>
      <w:pPr>
        <w:spacing w:after="0" w:line="167" w:lineRule="exact"/>
        <w:rPr>
          <w:rFonts w:ascii="Arial" w:cs="Arial" w:eastAsia="Arial" w:hAnsi="Arial"/>
          <w:sz w:val="16"/>
          <w:szCs w:val="16"/>
          <w:color w:val="auto"/>
        </w:rPr>
      </w:pPr>
    </w:p>
    <w:p>
      <w:pPr>
        <w:ind w:left="660" w:right="4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of the Annual Meeting.</w:t>
      </w:r>
    </w:p>
    <w:p>
      <w:pPr>
        <w:spacing w:after="0" w:line="14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230"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foregoing items of business are more fully described in the attached proxy statement, which forms a part of this notice and is incorporated herein by reference. Holders of record of our common stock as of the close of business on April 19, 2021 are entitled to notice of and to vote at the Annual Meeting, or any continuation, postponement or adjournment of the Annual Meeting.</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It is important that your shares be represented regardless of the number of shares you may hold. Whether or not you plan to attend the Annual Meeting in person,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support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27, 2021</w:t>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15"/>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gridSpan w:val="3"/>
          </w:tcPr>
          <w:p>
            <w:pPr>
              <w:ind w:left="2620"/>
              <w:spacing w:after="0"/>
              <w:rPr>
                <w:sz w:val="20"/>
                <w:szCs w:val="20"/>
                <w:color w:val="auto"/>
              </w:rPr>
            </w:pPr>
            <w:r>
              <w:rPr>
                <w:rFonts w:ascii="Arial" w:cs="Arial" w:eastAsia="Arial" w:hAnsi="Arial"/>
                <w:sz w:val="16"/>
                <w:szCs w:val="16"/>
                <w:b w:val="1"/>
                <w:bCs w:val="1"/>
                <w:color w:val="auto"/>
                <w:w w:val="99"/>
              </w:rPr>
              <w:t>Page</w:t>
            </w:r>
          </w:p>
        </w:tc>
      </w:tr>
      <w:tr>
        <w:trPr>
          <w:trHeight w:val="182"/>
        </w:trPr>
        <w:tc>
          <w:tcPr>
            <w:tcW w:w="6460" w:type="dxa"/>
            <w:vAlign w:val="bottom"/>
            <w:gridSpan w:val="35"/>
          </w:tcPr>
          <w:p>
            <w:pPr>
              <w:spacing w:after="0" w:line="181" w:lineRule="exact"/>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General</w:t>
              </w:r>
            </w:hyperlink>
          </w:p>
        </w:tc>
        <w:tc>
          <w:tcPr>
            <w:tcW w:w="2860" w:type="dxa"/>
            <w:vAlign w:val="bottom"/>
            <w:gridSpan w:val="2"/>
          </w:tcPr>
          <w:p>
            <w:pPr>
              <w:jc w:val="center"/>
              <w:ind w:left="2699"/>
              <w:spacing w:after="0" w:line="181"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160" w:type="dxa"/>
            <w:vAlign w:val="bottom"/>
          </w:tcPr>
          <w:p>
            <w:pPr>
              <w:spacing w:after="0"/>
              <w:rPr>
                <w:sz w:val="15"/>
                <w:szCs w:val="15"/>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60" w:type="dxa"/>
            <w:vAlign w:val="bottom"/>
            <w:gridSpan w:val="3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Proposals</w:t>
              </w:r>
            </w:hyperlink>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1</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80" w:type="dxa"/>
            <w:vAlign w:val="bottom"/>
            <w:gridSpan w:val="14"/>
          </w:tcPr>
          <w:p>
            <w:pPr>
              <w:spacing w:after="0"/>
              <w:rPr>
                <w:rFonts w:ascii="Arial" w:cs="Arial" w:eastAsia="Arial" w:hAnsi="Arial"/>
                <w:sz w:val="16"/>
                <w:szCs w:val="16"/>
                <w:color w:val="0000FF"/>
                <w:w w:val="99"/>
              </w:rPr>
            </w:pPr>
            <w:hyperlink w:anchor="page6">
              <w:r>
                <w:rPr>
                  <w:rFonts w:ascii="Arial" w:cs="Arial" w:eastAsia="Arial" w:hAnsi="Arial"/>
                  <w:sz w:val="16"/>
                  <w:szCs w:val="16"/>
                  <w:color w:val="0000FF"/>
                  <w:w w:val="99"/>
                </w:rPr>
                <w:t>Recommendations of the Board</w:t>
              </w:r>
            </w:hyperlink>
          </w:p>
        </w:tc>
        <w:tc>
          <w:tcPr>
            <w:tcW w:w="4180" w:type="dxa"/>
            <w:vAlign w:val="bottom"/>
            <w:gridSpan w:val="21"/>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2</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860" w:type="dxa"/>
            <w:vAlign w:val="bottom"/>
            <w:gridSpan w:val="18"/>
          </w:tcPr>
          <w:p>
            <w:pPr>
              <w:spacing w:after="0"/>
              <w:rPr>
                <w:rFonts w:ascii="Arial" w:cs="Arial" w:eastAsia="Arial" w:hAnsi="Arial"/>
                <w:sz w:val="16"/>
                <w:szCs w:val="16"/>
                <w:color w:val="0000FF"/>
                <w:w w:val="99"/>
              </w:rPr>
            </w:pPr>
            <w:hyperlink w:anchor="page6">
              <w:r>
                <w:rPr>
                  <w:rFonts w:ascii="Arial" w:cs="Arial" w:eastAsia="Arial" w:hAnsi="Arial"/>
                  <w:sz w:val="16"/>
                  <w:szCs w:val="16"/>
                  <w:color w:val="0000FF"/>
                  <w:w w:val="99"/>
                </w:rPr>
                <w:t>Information About This Proxy Statement</w:t>
              </w:r>
            </w:hyperlink>
          </w:p>
        </w:tc>
        <w:tc>
          <w:tcPr>
            <w:tcW w:w="3600" w:type="dxa"/>
            <w:vAlign w:val="bottom"/>
            <w:gridSpan w:val="17"/>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2</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80" w:type="dxa"/>
            <w:vAlign w:val="bottom"/>
            <w:gridSpan w:val="32"/>
          </w:tcPr>
          <w:p>
            <w:pPr>
              <w:spacing w:after="0"/>
              <w:rPr>
                <w:rFonts w:ascii="Arial" w:cs="Arial" w:eastAsia="Arial" w:hAnsi="Arial"/>
                <w:sz w:val="16"/>
                <w:szCs w:val="16"/>
                <w:b w:val="1"/>
                <w:bCs w:val="1"/>
                <w:color w:val="0000FF"/>
              </w:rPr>
            </w:pPr>
            <w:hyperlink w:anchor="page7">
              <w:r>
                <w:rPr>
                  <w:rFonts w:ascii="Arial" w:cs="Arial" w:eastAsia="Arial" w:hAnsi="Arial"/>
                  <w:sz w:val="16"/>
                  <w:szCs w:val="16"/>
                  <w:b w:val="1"/>
                  <w:bCs w:val="1"/>
                  <w:color w:val="0000FF"/>
                </w:rPr>
                <w:t>Questions and Answers About Annual Meeting of Stockholders</w:t>
              </w:r>
            </w:hyperlink>
          </w:p>
        </w:tc>
        <w:tc>
          <w:tcPr>
            <w:tcW w:w="1580" w:type="dxa"/>
            <w:vAlign w:val="bottom"/>
            <w:gridSpan w:val="3"/>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3</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80" w:type="dxa"/>
            <w:vAlign w:val="bottom"/>
            <w:gridSpan w:val="32"/>
          </w:tcPr>
          <w:p>
            <w:pPr>
              <w:spacing w:after="0"/>
              <w:rPr>
                <w:rFonts w:ascii="Arial" w:cs="Arial" w:eastAsia="Arial" w:hAnsi="Arial"/>
                <w:sz w:val="16"/>
                <w:szCs w:val="16"/>
                <w:b w:val="1"/>
                <w:bCs w:val="1"/>
                <w:color w:val="0000FF"/>
              </w:rPr>
            </w:pPr>
            <w:hyperlink w:anchor="page10">
              <w:r>
                <w:rPr>
                  <w:rFonts w:ascii="Arial" w:cs="Arial" w:eastAsia="Arial" w:hAnsi="Arial"/>
                  <w:sz w:val="16"/>
                  <w:szCs w:val="16"/>
                  <w:b w:val="1"/>
                  <w:bCs w:val="1"/>
                  <w:color w:val="0000FF"/>
                </w:rPr>
                <w:t>Proposals to be Voted On</w:t>
              </w:r>
            </w:hyperlink>
          </w:p>
        </w:tc>
        <w:tc>
          <w:tcPr>
            <w:tcW w:w="1580" w:type="dxa"/>
            <w:vAlign w:val="bottom"/>
            <w:gridSpan w:val="3"/>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7</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80" w:type="dxa"/>
            <w:vAlign w:val="bottom"/>
            <w:gridSpan w:val="14"/>
          </w:tcPr>
          <w:p>
            <w:pPr>
              <w:spacing w:after="0"/>
              <w:rPr>
                <w:rFonts w:ascii="Arial" w:cs="Arial" w:eastAsia="Arial" w:hAnsi="Arial"/>
                <w:sz w:val="16"/>
                <w:szCs w:val="16"/>
                <w:color w:val="0000FF"/>
                <w:w w:val="97"/>
              </w:rPr>
            </w:pPr>
            <w:hyperlink w:anchor="page11">
              <w:r>
                <w:rPr>
                  <w:rFonts w:ascii="Arial" w:cs="Arial" w:eastAsia="Arial" w:hAnsi="Arial"/>
                  <w:sz w:val="16"/>
                  <w:szCs w:val="16"/>
                  <w:color w:val="0000FF"/>
                  <w:w w:val="97"/>
                </w:rPr>
                <w:t>Proposal 1: Election of Directors</w:t>
              </w:r>
            </w:hyperlink>
          </w:p>
        </w:tc>
        <w:tc>
          <w:tcPr>
            <w:tcW w:w="4180" w:type="dxa"/>
            <w:vAlign w:val="bottom"/>
            <w:gridSpan w:val="21"/>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7</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60" w:type="dxa"/>
            <w:vAlign w:val="bottom"/>
            <w:tcBorders>
              <w:bottom w:val="single" w:sz="8" w:color="0000FF"/>
            </w:tcBorders>
            <w:gridSpan w:val="35"/>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Proposal 2: Ratification of Appointment of Independent Registered Public Accounting Firm</w:t>
              </w:r>
            </w:hyperlink>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4">
              <w:r>
                <w:rPr>
                  <w:rFonts w:ascii="Arial" w:cs="Arial" w:eastAsia="Arial" w:hAnsi="Arial"/>
                  <w:sz w:val="15"/>
                  <w:szCs w:val="15"/>
                  <w:color w:val="0000FF"/>
                  <w:w w:val="71"/>
                </w:rPr>
                <w:t>11</w:t>
              </w:r>
            </w:hyperlink>
          </w:p>
        </w:tc>
        <w:tc>
          <w:tcPr>
            <w:tcW w:w="160" w:type="dxa"/>
            <w:vAlign w:val="bottom"/>
          </w:tcPr>
          <w:p>
            <w:pPr>
              <w:spacing w:after="0"/>
              <w:rPr>
                <w:sz w:val="17"/>
                <w:szCs w:val="17"/>
                <w:color w:val="auto"/>
              </w:rPr>
            </w:pPr>
          </w:p>
        </w:tc>
      </w:tr>
      <w:tr>
        <w:trPr>
          <w:trHeight w:val="196"/>
        </w:trPr>
        <w:tc>
          <w:tcPr>
            <w:tcW w:w="5560" w:type="dxa"/>
            <w:vAlign w:val="bottom"/>
            <w:tcBorders>
              <w:bottom w:val="single" w:sz="8" w:color="0000FF"/>
            </w:tcBorders>
            <w:gridSpan w:val="34"/>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Independent Registered Public Accounting Firm Fees and Other Matters</w:t>
              </w:r>
            </w:hyperlink>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5">
              <w:r>
                <w:rPr>
                  <w:rFonts w:ascii="Arial" w:cs="Arial" w:eastAsia="Arial" w:hAnsi="Arial"/>
                  <w:sz w:val="15"/>
                  <w:szCs w:val="15"/>
                  <w:color w:val="0000FF"/>
                  <w:w w:val="71"/>
                </w:rPr>
                <w:t>11</w:t>
              </w:r>
            </w:hyperlink>
          </w:p>
        </w:tc>
        <w:tc>
          <w:tcPr>
            <w:tcW w:w="160" w:type="dxa"/>
            <w:vAlign w:val="bottom"/>
          </w:tcPr>
          <w:p>
            <w:pPr>
              <w:spacing w:after="0"/>
              <w:rPr>
                <w:sz w:val="17"/>
                <w:szCs w:val="17"/>
                <w:color w:val="auto"/>
              </w:rPr>
            </w:pPr>
          </w:p>
        </w:tc>
      </w:tr>
      <w:tr>
        <w:trPr>
          <w:trHeight w:val="196"/>
        </w:trPr>
        <w:tc>
          <w:tcPr>
            <w:tcW w:w="78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15">
              <w:r>
                <w:rPr>
                  <w:rFonts w:ascii="Arial" w:cs="Arial" w:eastAsia="Arial" w:hAnsi="Arial"/>
                  <w:sz w:val="16"/>
                  <w:szCs w:val="16"/>
                  <w:color w:val="0000FF"/>
                  <w:w w:val="99"/>
                </w:rPr>
                <w:t>Audit Fees</w:t>
              </w:r>
            </w:hyperlink>
          </w:p>
        </w:tc>
        <w:tc>
          <w:tcPr>
            <w:tcW w:w="5680" w:type="dxa"/>
            <w:vAlign w:val="bottom"/>
            <w:gridSpan w:val="3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5">
              <w:r>
                <w:rPr>
                  <w:rFonts w:ascii="Arial" w:cs="Arial" w:eastAsia="Arial" w:hAnsi="Arial"/>
                  <w:sz w:val="15"/>
                  <w:szCs w:val="15"/>
                  <w:color w:val="0000FF"/>
                  <w:w w:val="71"/>
                </w:rPr>
                <w:t>11</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Audit Committee Pre-Approval of Audit and Non-Audit Services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c>
          <w:tcPr>
            <w:tcW w:w="160" w:type="dxa"/>
            <w:vAlign w:val="bottom"/>
          </w:tcPr>
          <w:p>
            <w:pPr>
              <w:spacing w:after="0"/>
              <w:rPr>
                <w:sz w:val="17"/>
                <w:szCs w:val="17"/>
                <w:color w:val="auto"/>
              </w:rPr>
            </w:pPr>
          </w:p>
        </w:tc>
      </w:tr>
      <w:tr>
        <w:trPr>
          <w:trHeight w:val="196"/>
        </w:trPr>
        <w:tc>
          <w:tcPr>
            <w:tcW w:w="4520" w:type="dxa"/>
            <w:vAlign w:val="bottom"/>
            <w:tcBorders>
              <w:top w:val="single" w:sz="8" w:color="0000FF"/>
            </w:tcBorders>
            <w:gridSpan w:val="31"/>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Report of the Audit Committee of the Board</w:t>
              </w:r>
            </w:hyperlink>
          </w:p>
        </w:tc>
        <w:tc>
          <w:tcPr>
            <w:tcW w:w="1940" w:type="dxa"/>
            <w:vAlign w:val="bottom"/>
            <w:gridSpan w:val="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16">
              <w:r>
                <w:rPr>
                  <w:rFonts w:ascii="Arial" w:cs="Arial" w:eastAsia="Arial" w:hAnsi="Arial"/>
                  <w:sz w:val="15"/>
                  <w:szCs w:val="15"/>
                  <w:color w:val="0000FF"/>
                  <w:w w:val="71"/>
                </w:rPr>
                <w:t>13</w:t>
              </w:r>
            </w:hyperlink>
          </w:p>
        </w:tc>
        <w:tc>
          <w:tcPr>
            <w:tcW w:w="160" w:type="dxa"/>
            <w:vAlign w:val="bottom"/>
          </w:tcPr>
          <w:p>
            <w:pPr>
              <w:spacing w:after="0"/>
              <w:rPr>
                <w:sz w:val="17"/>
                <w:szCs w:val="17"/>
                <w:color w:val="auto"/>
              </w:rPr>
            </w:pPr>
          </w:p>
        </w:tc>
      </w:tr>
      <w:tr>
        <w:trPr>
          <w:trHeight w:val="196"/>
        </w:trPr>
        <w:tc>
          <w:tcPr>
            <w:tcW w:w="1420" w:type="dxa"/>
            <w:vAlign w:val="bottom"/>
            <w:tcBorders>
              <w:top w:val="single" w:sz="8" w:color="0000FF"/>
              <w:bottom w:val="single" w:sz="8" w:color="0000FF"/>
            </w:tcBorders>
            <w:gridSpan w:val="7"/>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Executive Officers</w:t>
              </w:r>
            </w:hyperlink>
          </w:p>
        </w:tc>
        <w:tc>
          <w:tcPr>
            <w:tcW w:w="1920" w:type="dxa"/>
            <w:vAlign w:val="bottom"/>
            <w:tcBorders>
              <w:top w:val="single" w:sz="8" w:color="0000FF"/>
            </w:tcBorders>
            <w:gridSpan w:val="14"/>
          </w:tcPr>
          <w:p>
            <w:pPr>
              <w:spacing w:after="0"/>
              <w:rPr>
                <w:sz w:val="17"/>
                <w:szCs w:val="17"/>
                <w:color w:val="auto"/>
              </w:rPr>
            </w:pPr>
          </w:p>
        </w:tc>
        <w:tc>
          <w:tcPr>
            <w:tcW w:w="3120" w:type="dxa"/>
            <w:vAlign w:val="bottom"/>
            <w:gridSpan w:val="1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17">
              <w:r>
                <w:rPr>
                  <w:rFonts w:ascii="Arial" w:cs="Arial" w:eastAsia="Arial" w:hAnsi="Arial"/>
                  <w:sz w:val="15"/>
                  <w:szCs w:val="15"/>
                  <w:color w:val="0000FF"/>
                  <w:w w:val="71"/>
                </w:rPr>
                <w:t>14</w:t>
              </w:r>
            </w:hyperlink>
          </w:p>
        </w:tc>
        <w:tc>
          <w:tcPr>
            <w:tcW w:w="160" w:type="dxa"/>
            <w:vAlign w:val="bottom"/>
          </w:tcPr>
          <w:p>
            <w:pPr>
              <w:spacing w:after="0"/>
              <w:rPr>
                <w:sz w:val="17"/>
                <w:szCs w:val="17"/>
                <w:color w:val="auto"/>
              </w:rPr>
            </w:pPr>
          </w:p>
        </w:tc>
      </w:tr>
      <w:tr>
        <w:trPr>
          <w:trHeight w:val="196"/>
        </w:trPr>
        <w:tc>
          <w:tcPr>
            <w:tcW w:w="1700" w:type="dxa"/>
            <w:vAlign w:val="bottom"/>
            <w:tcBorders>
              <w:bottom w:val="single" w:sz="8" w:color="0000FF"/>
            </w:tcBorders>
            <w:gridSpan w:val="10"/>
          </w:tcPr>
          <w:p>
            <w:pPr>
              <w:spacing w:after="0"/>
              <w:rPr>
                <w:rFonts w:ascii="Arial" w:cs="Arial" w:eastAsia="Arial" w:hAnsi="Arial"/>
                <w:sz w:val="16"/>
                <w:szCs w:val="16"/>
                <w:b w:val="1"/>
                <w:bCs w:val="1"/>
                <w:color w:val="0000FF"/>
                <w:w w:val="95"/>
              </w:rPr>
            </w:pPr>
            <w:hyperlink w:anchor="page18">
              <w:r>
                <w:rPr>
                  <w:rFonts w:ascii="Arial" w:cs="Arial" w:eastAsia="Arial" w:hAnsi="Arial"/>
                  <w:sz w:val="16"/>
                  <w:szCs w:val="16"/>
                  <w:b w:val="1"/>
                  <w:bCs w:val="1"/>
                  <w:color w:val="0000FF"/>
                  <w:w w:val="95"/>
                </w:rPr>
                <w:t>Corporate Governance</w:t>
              </w:r>
            </w:hyperlink>
          </w:p>
        </w:tc>
        <w:tc>
          <w:tcPr>
            <w:tcW w:w="4760" w:type="dxa"/>
            <w:vAlign w:val="bottom"/>
            <w:gridSpan w:val="2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8">
              <w:r>
                <w:rPr>
                  <w:rFonts w:ascii="Arial" w:cs="Arial" w:eastAsia="Arial" w:hAnsi="Arial"/>
                  <w:sz w:val="15"/>
                  <w:szCs w:val="15"/>
                  <w:color w:val="0000FF"/>
                  <w:w w:val="71"/>
                </w:rPr>
                <w:t>14</w:t>
              </w:r>
            </w:hyperlink>
          </w:p>
        </w:tc>
        <w:tc>
          <w:tcPr>
            <w:tcW w:w="160" w:type="dxa"/>
            <w:vAlign w:val="bottom"/>
          </w:tcPr>
          <w:p>
            <w:pPr>
              <w:spacing w:after="0"/>
              <w:rPr>
                <w:sz w:val="17"/>
                <w:szCs w:val="17"/>
                <w:color w:val="auto"/>
              </w:rPr>
            </w:pPr>
          </w:p>
        </w:tc>
      </w:tr>
      <w:tr>
        <w:trPr>
          <w:trHeight w:val="196"/>
        </w:trPr>
        <w:tc>
          <w:tcPr>
            <w:tcW w:w="600" w:type="dxa"/>
            <w:vAlign w:val="bottom"/>
            <w:tcBorders>
              <w:bottom w:val="single" w:sz="8" w:color="0000FF"/>
            </w:tcBorders>
          </w:tcPr>
          <w:p>
            <w:pPr>
              <w:spacing w:after="0"/>
              <w:rPr>
                <w:rFonts w:ascii="Arial" w:cs="Arial" w:eastAsia="Arial" w:hAnsi="Arial"/>
                <w:sz w:val="16"/>
                <w:szCs w:val="16"/>
                <w:color w:val="0000FF"/>
                <w:w w:val="98"/>
              </w:rPr>
            </w:pPr>
            <w:hyperlink w:anchor="page18">
              <w:r>
                <w:rPr>
                  <w:rFonts w:ascii="Arial" w:cs="Arial" w:eastAsia="Arial" w:hAnsi="Arial"/>
                  <w:sz w:val="16"/>
                  <w:szCs w:val="16"/>
                  <w:color w:val="0000FF"/>
                  <w:w w:val="98"/>
                </w:rPr>
                <w:t>General</w:t>
              </w:r>
            </w:hyperlink>
          </w:p>
        </w:tc>
        <w:tc>
          <w:tcPr>
            <w:tcW w:w="5860" w:type="dxa"/>
            <w:vAlign w:val="bottom"/>
            <w:gridSpan w:val="3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8">
              <w:r>
                <w:rPr>
                  <w:rFonts w:ascii="Arial" w:cs="Arial" w:eastAsia="Arial" w:hAnsi="Arial"/>
                  <w:sz w:val="15"/>
                  <w:szCs w:val="15"/>
                  <w:color w:val="0000FF"/>
                  <w:w w:val="71"/>
                </w:rPr>
                <w:t>14</w:t>
              </w:r>
            </w:hyperlink>
          </w:p>
        </w:tc>
        <w:tc>
          <w:tcPr>
            <w:tcW w:w="160" w:type="dxa"/>
            <w:vAlign w:val="bottom"/>
          </w:tcPr>
          <w:p>
            <w:pPr>
              <w:spacing w:after="0"/>
              <w:rPr>
                <w:sz w:val="17"/>
                <w:szCs w:val="17"/>
                <w:color w:val="auto"/>
              </w:rPr>
            </w:pPr>
          </w:p>
        </w:tc>
      </w:tr>
      <w:tr>
        <w:trPr>
          <w:trHeight w:val="196"/>
        </w:trPr>
        <w:tc>
          <w:tcPr>
            <w:tcW w:w="1640" w:type="dxa"/>
            <w:vAlign w:val="bottom"/>
            <w:tcBorders>
              <w:bottom w:val="single" w:sz="8" w:color="0000FF"/>
            </w:tcBorders>
            <w:gridSpan w:val="8"/>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Director Independence</w:t>
              </w:r>
            </w:hyperlink>
          </w:p>
        </w:tc>
        <w:tc>
          <w:tcPr>
            <w:tcW w:w="4820" w:type="dxa"/>
            <w:vAlign w:val="bottom"/>
            <w:gridSpan w:val="27"/>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9">
              <w:r>
                <w:rPr>
                  <w:rFonts w:ascii="Arial" w:cs="Arial" w:eastAsia="Arial" w:hAnsi="Arial"/>
                  <w:sz w:val="15"/>
                  <w:szCs w:val="15"/>
                  <w:color w:val="0000FF"/>
                  <w:w w:val="71"/>
                </w:rPr>
                <w:t>15</w:t>
              </w:r>
            </w:hyperlink>
          </w:p>
        </w:tc>
        <w:tc>
          <w:tcPr>
            <w:tcW w:w="160" w:type="dxa"/>
            <w:vAlign w:val="bottom"/>
          </w:tcPr>
          <w:p>
            <w:pPr>
              <w:spacing w:after="0"/>
              <w:rPr>
                <w:sz w:val="17"/>
                <w:szCs w:val="17"/>
                <w:color w:val="auto"/>
              </w:rPr>
            </w:pPr>
          </w:p>
        </w:tc>
      </w:tr>
      <w:tr>
        <w:trPr>
          <w:trHeight w:val="196"/>
        </w:trPr>
        <w:tc>
          <w:tcPr>
            <w:tcW w:w="3520" w:type="dxa"/>
            <w:vAlign w:val="bottom"/>
            <w:tcBorders>
              <w:bottom w:val="single" w:sz="8" w:color="0000FF"/>
            </w:tcBorders>
            <w:gridSpan w:val="24"/>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Board Diversity and Director Nomination Process</w:t>
              </w:r>
            </w:hyperlink>
          </w:p>
        </w:tc>
        <w:tc>
          <w:tcPr>
            <w:tcW w:w="2940" w:type="dxa"/>
            <w:vAlign w:val="bottom"/>
            <w:gridSpan w:val="11"/>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9">
              <w:r>
                <w:rPr>
                  <w:rFonts w:ascii="Arial" w:cs="Arial" w:eastAsia="Arial" w:hAnsi="Arial"/>
                  <w:sz w:val="15"/>
                  <w:szCs w:val="15"/>
                  <w:color w:val="0000FF"/>
                  <w:w w:val="71"/>
                </w:rPr>
                <w:t>15</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Identification and Evaluation of Nominees for Directors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0">
              <w:r>
                <w:rPr>
                  <w:rFonts w:ascii="Arial" w:cs="Arial" w:eastAsia="Arial" w:hAnsi="Arial"/>
                  <w:sz w:val="16"/>
                  <w:szCs w:val="16"/>
                  <w:color w:val="0000FF"/>
                </w:rPr>
                <w:t>16</w:t>
              </w:r>
            </w:hyperlink>
          </w:p>
        </w:tc>
        <w:tc>
          <w:tcPr>
            <w:tcW w:w="160" w:type="dxa"/>
            <w:vAlign w:val="bottom"/>
          </w:tcPr>
          <w:p>
            <w:pPr>
              <w:spacing w:after="0"/>
              <w:rPr>
                <w:sz w:val="17"/>
                <w:szCs w:val="17"/>
                <w:color w:val="auto"/>
              </w:rPr>
            </w:pPr>
          </w:p>
        </w:tc>
      </w:tr>
      <w:tr>
        <w:trPr>
          <w:trHeight w:val="196"/>
        </w:trPr>
        <w:tc>
          <w:tcPr>
            <w:tcW w:w="2560" w:type="dxa"/>
            <w:vAlign w:val="bottom"/>
            <w:tcBorders>
              <w:top w:val="single" w:sz="8" w:color="0000FF"/>
              <w:bottom w:val="single" w:sz="8" w:color="0000FF"/>
            </w:tcBorders>
            <w:gridSpan w:val="17"/>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Communications from Stockholders</w:t>
              </w:r>
            </w:hyperlink>
          </w:p>
        </w:tc>
        <w:tc>
          <w:tcPr>
            <w:tcW w:w="1340" w:type="dxa"/>
            <w:vAlign w:val="bottom"/>
            <w:tcBorders>
              <w:top w:val="single" w:sz="8" w:color="0000FF"/>
            </w:tcBorders>
            <w:gridSpan w:val="10"/>
          </w:tcPr>
          <w:p>
            <w:pPr>
              <w:spacing w:after="0"/>
              <w:rPr>
                <w:sz w:val="17"/>
                <w:szCs w:val="17"/>
                <w:color w:val="auto"/>
              </w:rPr>
            </w:pPr>
          </w:p>
        </w:tc>
        <w:tc>
          <w:tcPr>
            <w:tcW w:w="2560" w:type="dxa"/>
            <w:vAlign w:val="bottom"/>
            <w:gridSpan w:val="8"/>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0">
              <w:r>
                <w:rPr>
                  <w:rFonts w:ascii="Arial" w:cs="Arial" w:eastAsia="Arial" w:hAnsi="Arial"/>
                  <w:sz w:val="15"/>
                  <w:szCs w:val="15"/>
                  <w:color w:val="0000FF"/>
                  <w:w w:val="71"/>
                </w:rPr>
                <w:t>16</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Director Attendance at Annual Meetings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0">
              <w:r>
                <w:rPr>
                  <w:rFonts w:ascii="Arial" w:cs="Arial" w:eastAsia="Arial" w:hAnsi="Arial"/>
                  <w:sz w:val="16"/>
                  <w:szCs w:val="16"/>
                  <w:color w:val="0000FF"/>
                </w:rPr>
                <w:t>17</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5"/>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Board Leadership Structure and Role in Risk Oversight</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1">
              <w:r>
                <w:rPr>
                  <w:rFonts w:ascii="Arial" w:cs="Arial" w:eastAsia="Arial" w:hAnsi="Arial"/>
                  <w:sz w:val="16"/>
                  <w:szCs w:val="16"/>
                  <w:color w:val="0000FF"/>
                </w:rPr>
                <w:t>17</w:t>
              </w:r>
            </w:hyperlink>
          </w:p>
        </w:tc>
        <w:tc>
          <w:tcPr>
            <w:tcW w:w="160" w:type="dxa"/>
            <w:vAlign w:val="bottom"/>
          </w:tcPr>
          <w:p>
            <w:pPr>
              <w:spacing w:after="0"/>
              <w:rPr>
                <w:sz w:val="17"/>
                <w:szCs w:val="17"/>
                <w:color w:val="auto"/>
              </w:rPr>
            </w:pPr>
          </w:p>
        </w:tc>
      </w:tr>
      <w:tr>
        <w:trPr>
          <w:trHeight w:val="196"/>
        </w:trPr>
        <w:tc>
          <w:tcPr>
            <w:tcW w:w="3940" w:type="dxa"/>
            <w:vAlign w:val="bottom"/>
            <w:tcBorders>
              <w:top w:val="single" w:sz="8" w:color="0000FF"/>
            </w:tcBorders>
            <w:gridSpan w:val="28"/>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Annual Board Evaluation</w:t>
              </w:r>
            </w:hyperlink>
          </w:p>
        </w:tc>
        <w:tc>
          <w:tcPr>
            <w:tcW w:w="2520" w:type="dxa"/>
            <w:vAlign w:val="bottom"/>
            <w:gridSpan w:val="7"/>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1">
              <w:r>
                <w:rPr>
                  <w:rFonts w:ascii="Arial" w:cs="Arial" w:eastAsia="Arial" w:hAnsi="Arial"/>
                  <w:sz w:val="15"/>
                  <w:szCs w:val="15"/>
                  <w:color w:val="0000FF"/>
                  <w:w w:val="71"/>
                </w:rPr>
                <w:t>17</w:t>
              </w:r>
            </w:hyperlink>
          </w:p>
        </w:tc>
        <w:tc>
          <w:tcPr>
            <w:tcW w:w="160" w:type="dxa"/>
            <w:vAlign w:val="bottom"/>
          </w:tcPr>
          <w:p>
            <w:pPr>
              <w:spacing w:after="0"/>
              <w:rPr>
                <w:sz w:val="17"/>
                <w:szCs w:val="17"/>
                <w:color w:val="auto"/>
              </w:rPr>
            </w:pPr>
          </w:p>
        </w:tc>
      </w:tr>
      <w:tr>
        <w:trPr>
          <w:trHeight w:val="196"/>
        </w:trPr>
        <w:tc>
          <w:tcPr>
            <w:tcW w:w="1080" w:type="dxa"/>
            <w:vAlign w:val="bottom"/>
            <w:tcBorders>
              <w:top w:val="single" w:sz="8" w:color="0000FF"/>
              <w:bottom w:val="single" w:sz="8" w:color="0000FF"/>
            </w:tcBorders>
            <w:gridSpan w:val="5"/>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Code of Ethics</w:t>
              </w:r>
            </w:hyperlink>
          </w:p>
        </w:tc>
        <w:tc>
          <w:tcPr>
            <w:tcW w:w="700" w:type="dxa"/>
            <w:vAlign w:val="bottom"/>
            <w:tcBorders>
              <w:top w:val="single" w:sz="8" w:color="0000FF"/>
            </w:tcBorders>
            <w:gridSpan w:val="6"/>
          </w:tcPr>
          <w:p>
            <w:pPr>
              <w:spacing w:after="0"/>
              <w:rPr>
                <w:sz w:val="17"/>
                <w:szCs w:val="17"/>
                <w:color w:val="auto"/>
              </w:rPr>
            </w:pPr>
          </w:p>
        </w:tc>
        <w:tc>
          <w:tcPr>
            <w:tcW w:w="4680" w:type="dxa"/>
            <w:vAlign w:val="bottom"/>
            <w:gridSpan w:val="2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1">
              <w:r>
                <w:rPr>
                  <w:rFonts w:ascii="Arial" w:cs="Arial" w:eastAsia="Arial" w:hAnsi="Arial"/>
                  <w:sz w:val="15"/>
                  <w:szCs w:val="15"/>
                  <w:color w:val="0000FF"/>
                  <w:w w:val="71"/>
                </w:rPr>
                <w:t>17</w:t>
              </w:r>
            </w:hyperlink>
          </w:p>
        </w:tc>
        <w:tc>
          <w:tcPr>
            <w:tcW w:w="160" w:type="dxa"/>
            <w:vAlign w:val="bottom"/>
          </w:tcPr>
          <w:p>
            <w:pPr>
              <w:spacing w:after="0"/>
              <w:rPr>
                <w:sz w:val="17"/>
                <w:szCs w:val="17"/>
                <w:color w:val="auto"/>
              </w:rPr>
            </w:pPr>
          </w:p>
        </w:tc>
      </w:tr>
      <w:tr>
        <w:trPr>
          <w:trHeight w:val="196"/>
        </w:trPr>
        <w:tc>
          <w:tcPr>
            <w:tcW w:w="4440" w:type="dxa"/>
            <w:vAlign w:val="bottom"/>
            <w:tcBorders>
              <w:bottom w:val="single" w:sz="8" w:color="0000FF"/>
            </w:tcBorders>
            <w:gridSpan w:val="30"/>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Attendance by Members of the Board of Directors at Meetings</w:t>
              </w:r>
            </w:hyperlink>
          </w:p>
        </w:tc>
        <w:tc>
          <w:tcPr>
            <w:tcW w:w="2020" w:type="dxa"/>
            <w:vAlign w:val="bottom"/>
            <w:gridSpan w:val="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3400" w:type="dxa"/>
            <w:vAlign w:val="bottom"/>
            <w:tcBorders>
              <w:bottom w:val="single" w:sz="8" w:color="0000FF"/>
            </w:tcBorders>
            <w:gridSpan w:val="23"/>
          </w:tcPr>
          <w:p>
            <w:pPr>
              <w:spacing w:after="0"/>
              <w:rPr>
                <w:rFonts w:ascii="Arial" w:cs="Arial" w:eastAsia="Arial" w:hAnsi="Arial"/>
                <w:sz w:val="16"/>
                <w:szCs w:val="16"/>
                <w:b w:val="1"/>
                <w:bCs w:val="1"/>
                <w:color w:val="0000FF"/>
              </w:rPr>
            </w:pPr>
            <w:hyperlink w:anchor="page22">
              <w:r>
                <w:rPr>
                  <w:rFonts w:ascii="Arial" w:cs="Arial" w:eastAsia="Arial" w:hAnsi="Arial"/>
                  <w:sz w:val="16"/>
                  <w:szCs w:val="16"/>
                  <w:b w:val="1"/>
                  <w:bCs w:val="1"/>
                  <w:color w:val="0000FF"/>
                </w:rPr>
                <w:t>Committees of the Board and Independence</w:t>
              </w:r>
            </w:hyperlink>
          </w:p>
        </w:tc>
        <w:tc>
          <w:tcPr>
            <w:tcW w:w="3060" w:type="dxa"/>
            <w:vAlign w:val="bottom"/>
            <w:gridSpan w:val="1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1200" w:type="dxa"/>
            <w:vAlign w:val="bottom"/>
            <w:tcBorders>
              <w:bottom w:val="single" w:sz="8" w:color="0000FF"/>
            </w:tcBorders>
            <w:gridSpan w:val="6"/>
          </w:tcPr>
          <w:p>
            <w:pPr>
              <w:spacing w:after="0"/>
              <w:rPr>
                <w:rFonts w:ascii="Arial" w:cs="Arial" w:eastAsia="Arial" w:hAnsi="Arial"/>
                <w:sz w:val="16"/>
                <w:szCs w:val="16"/>
                <w:color w:val="0000FF"/>
                <w:w w:val="99"/>
              </w:rPr>
            </w:pPr>
            <w:hyperlink w:anchor="page22">
              <w:r>
                <w:rPr>
                  <w:rFonts w:ascii="Arial" w:cs="Arial" w:eastAsia="Arial" w:hAnsi="Arial"/>
                  <w:sz w:val="16"/>
                  <w:szCs w:val="16"/>
                  <w:color w:val="0000FF"/>
                  <w:w w:val="99"/>
                </w:rPr>
                <w:t>Audit Committee</w:t>
              </w:r>
            </w:hyperlink>
          </w:p>
        </w:tc>
        <w:tc>
          <w:tcPr>
            <w:tcW w:w="5260" w:type="dxa"/>
            <w:vAlign w:val="bottom"/>
            <w:gridSpan w:val="2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1880" w:type="dxa"/>
            <w:vAlign w:val="bottom"/>
            <w:tcBorders>
              <w:bottom w:val="single" w:sz="8" w:color="0000FF"/>
            </w:tcBorders>
            <w:gridSpan w:val="12"/>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Compensation Committee</w:t>
              </w:r>
            </w:hyperlink>
          </w:p>
        </w:tc>
        <w:tc>
          <w:tcPr>
            <w:tcW w:w="4580" w:type="dxa"/>
            <w:vAlign w:val="bottom"/>
            <w:gridSpan w:val="23"/>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19</w:t>
              </w:r>
            </w:hyperlink>
          </w:p>
        </w:tc>
        <w:tc>
          <w:tcPr>
            <w:tcW w:w="160" w:type="dxa"/>
            <w:vAlign w:val="bottom"/>
          </w:tcPr>
          <w:p>
            <w:pPr>
              <w:spacing w:after="0"/>
              <w:rPr>
                <w:sz w:val="17"/>
                <w:szCs w:val="17"/>
                <w:color w:val="auto"/>
              </w:rPr>
            </w:pPr>
          </w:p>
        </w:tc>
      </w:tr>
      <w:tr>
        <w:trPr>
          <w:trHeight w:val="196"/>
        </w:trPr>
        <w:tc>
          <w:tcPr>
            <w:tcW w:w="3660" w:type="dxa"/>
            <w:vAlign w:val="bottom"/>
            <w:tcBorders>
              <w:bottom w:val="single" w:sz="8" w:color="0000FF"/>
            </w:tcBorders>
            <w:gridSpan w:val="2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Nominating and Corporate Governance Committee</w:t>
              </w:r>
            </w:hyperlink>
          </w:p>
        </w:tc>
        <w:tc>
          <w:tcPr>
            <w:tcW w:w="2800" w:type="dxa"/>
            <w:vAlign w:val="bottom"/>
            <w:gridSpan w:val="1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20</w:t>
              </w:r>
            </w:hyperlink>
          </w:p>
        </w:tc>
        <w:tc>
          <w:tcPr>
            <w:tcW w:w="160" w:type="dxa"/>
            <w:vAlign w:val="bottom"/>
          </w:tcPr>
          <w:p>
            <w:pPr>
              <w:spacing w:after="0"/>
              <w:rPr>
                <w:sz w:val="17"/>
                <w:szCs w:val="17"/>
                <w:color w:val="auto"/>
              </w:rPr>
            </w:pPr>
          </w:p>
        </w:tc>
      </w:tr>
      <w:tr>
        <w:trPr>
          <w:trHeight w:val="196"/>
        </w:trPr>
        <w:tc>
          <w:tcPr>
            <w:tcW w:w="3360" w:type="dxa"/>
            <w:vAlign w:val="bottom"/>
            <w:tcBorders>
              <w:bottom w:val="single" w:sz="8" w:color="0000FF"/>
            </w:tcBorders>
            <w:gridSpan w:val="22"/>
          </w:tcPr>
          <w:p>
            <w:pPr>
              <w:spacing w:after="0"/>
              <w:rPr>
                <w:rFonts w:ascii="Arial" w:cs="Arial" w:eastAsia="Arial" w:hAnsi="Arial"/>
                <w:sz w:val="16"/>
                <w:szCs w:val="16"/>
                <w:b w:val="1"/>
                <w:bCs w:val="1"/>
                <w:color w:val="0000FF"/>
              </w:rPr>
            </w:pPr>
            <w:hyperlink w:anchor="page24">
              <w:r>
                <w:rPr>
                  <w:rFonts w:ascii="Arial" w:cs="Arial" w:eastAsia="Arial" w:hAnsi="Arial"/>
                  <w:sz w:val="16"/>
                  <w:szCs w:val="16"/>
                  <w:b w:val="1"/>
                  <w:bCs w:val="1"/>
                  <w:color w:val="0000FF"/>
                </w:rPr>
                <w:t>Sustainability and Corporate Responsibility</w:t>
              </w:r>
            </w:hyperlink>
          </w:p>
        </w:tc>
        <w:tc>
          <w:tcPr>
            <w:tcW w:w="3100" w:type="dxa"/>
            <w:vAlign w:val="bottom"/>
            <w:gridSpan w:val="13"/>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20</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b w:val="1"/>
                <w:bCs w:val="1"/>
                <w:color w:val="0000FF"/>
              </w:rPr>
            </w:pPr>
            <w:hyperlink w:anchor="page25">
              <w:r>
                <w:rPr>
                  <w:rFonts w:ascii="Arial" w:cs="Arial" w:eastAsia="Arial" w:hAnsi="Arial"/>
                  <w:sz w:val="16"/>
                  <w:szCs w:val="16"/>
                  <w:b w:val="1"/>
                  <w:bCs w:val="1"/>
                  <w:color w:val="0000FF"/>
                </w:rPr>
                <w:t>Executive and Director Compensation</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5">
              <w:r>
                <w:rPr>
                  <w:rFonts w:ascii="Arial" w:cs="Arial" w:eastAsia="Arial" w:hAnsi="Arial"/>
                  <w:sz w:val="16"/>
                  <w:szCs w:val="16"/>
                  <w:color w:val="0000FF"/>
                </w:rPr>
                <w:t>21</w:t>
              </w:r>
            </w:hyperlink>
          </w:p>
        </w:tc>
        <w:tc>
          <w:tcPr>
            <w:tcW w:w="160" w:type="dxa"/>
            <w:vAlign w:val="bottom"/>
          </w:tcPr>
          <w:p>
            <w:pPr>
              <w:spacing w:after="0"/>
              <w:rPr>
                <w:sz w:val="17"/>
                <w:szCs w:val="17"/>
                <w:color w:val="auto"/>
              </w:rPr>
            </w:pPr>
          </w:p>
        </w:tc>
      </w:tr>
      <w:tr>
        <w:trPr>
          <w:trHeight w:val="196"/>
        </w:trPr>
        <w:tc>
          <w:tcPr>
            <w:tcW w:w="2280" w:type="dxa"/>
            <w:vAlign w:val="bottom"/>
            <w:tcBorders>
              <w:top w:val="single" w:sz="8" w:color="0000FF"/>
              <w:bottom w:val="single" w:sz="8" w:color="0000FF"/>
            </w:tcBorders>
            <w:gridSpan w:val="14"/>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Summary Compensation Table</w:t>
              </w:r>
            </w:hyperlink>
          </w:p>
        </w:tc>
        <w:tc>
          <w:tcPr>
            <w:tcW w:w="640" w:type="dxa"/>
            <w:vAlign w:val="bottom"/>
            <w:tcBorders>
              <w:top w:val="single" w:sz="8" w:color="0000FF"/>
            </w:tcBorders>
            <w:gridSpan w:val="5"/>
          </w:tcPr>
          <w:p>
            <w:pPr>
              <w:spacing w:after="0"/>
              <w:rPr>
                <w:sz w:val="17"/>
                <w:szCs w:val="17"/>
                <w:color w:val="auto"/>
              </w:rPr>
            </w:pPr>
          </w:p>
        </w:tc>
        <w:tc>
          <w:tcPr>
            <w:tcW w:w="3540" w:type="dxa"/>
            <w:vAlign w:val="bottom"/>
            <w:gridSpan w:val="16"/>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5">
              <w:r>
                <w:rPr>
                  <w:rFonts w:ascii="Arial" w:cs="Arial" w:eastAsia="Arial" w:hAnsi="Arial"/>
                  <w:sz w:val="15"/>
                  <w:szCs w:val="15"/>
                  <w:color w:val="0000FF"/>
                  <w:w w:val="71"/>
                </w:rPr>
                <w:t>21</w:t>
              </w:r>
            </w:hyperlink>
          </w:p>
        </w:tc>
        <w:tc>
          <w:tcPr>
            <w:tcW w:w="160" w:type="dxa"/>
            <w:vAlign w:val="bottom"/>
          </w:tcPr>
          <w:p>
            <w:pPr>
              <w:spacing w:after="0"/>
              <w:rPr>
                <w:sz w:val="17"/>
                <w:szCs w:val="17"/>
                <w:color w:val="auto"/>
              </w:rPr>
            </w:pPr>
          </w:p>
        </w:tc>
      </w:tr>
      <w:tr>
        <w:trPr>
          <w:trHeight w:val="196"/>
        </w:trPr>
        <w:tc>
          <w:tcPr>
            <w:tcW w:w="3900" w:type="dxa"/>
            <w:vAlign w:val="bottom"/>
            <w:tcBorders>
              <w:bottom w:val="single" w:sz="8" w:color="0000FF"/>
            </w:tcBorders>
            <w:gridSpan w:val="27"/>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Narrative Disclosure to Summary Compensation Table</w:t>
              </w:r>
            </w:hyperlink>
          </w:p>
        </w:tc>
        <w:tc>
          <w:tcPr>
            <w:tcW w:w="2560" w:type="dxa"/>
            <w:vAlign w:val="bottom"/>
            <w:gridSpan w:val="8"/>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22</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Outstanding Equity Awards at Fiscal Year-End Table</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9">
              <w:r>
                <w:rPr>
                  <w:rFonts w:ascii="Arial" w:cs="Arial" w:eastAsia="Arial" w:hAnsi="Arial"/>
                  <w:sz w:val="16"/>
                  <w:szCs w:val="16"/>
                  <w:color w:val="0000FF"/>
                </w:rPr>
                <w:t>25</w:t>
              </w:r>
            </w:hyperlink>
          </w:p>
        </w:tc>
        <w:tc>
          <w:tcPr>
            <w:tcW w:w="160" w:type="dxa"/>
            <w:vAlign w:val="bottom"/>
          </w:tcPr>
          <w:p>
            <w:pPr>
              <w:spacing w:after="0"/>
              <w:rPr>
                <w:sz w:val="17"/>
                <w:szCs w:val="17"/>
                <w:color w:val="auto"/>
              </w:rPr>
            </w:pPr>
          </w:p>
        </w:tc>
      </w:tr>
      <w:tr>
        <w:trPr>
          <w:trHeight w:val="196"/>
        </w:trPr>
        <w:tc>
          <w:tcPr>
            <w:tcW w:w="166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Director Compensation</w:t>
              </w:r>
            </w:hyperlink>
          </w:p>
        </w:tc>
        <w:tc>
          <w:tcPr>
            <w:tcW w:w="2080" w:type="dxa"/>
            <w:vAlign w:val="bottom"/>
            <w:tcBorders>
              <w:top w:val="single" w:sz="8" w:color="0000FF"/>
            </w:tcBorders>
            <w:gridSpan w:val="17"/>
          </w:tcPr>
          <w:p>
            <w:pPr>
              <w:spacing w:after="0"/>
              <w:rPr>
                <w:sz w:val="17"/>
                <w:szCs w:val="17"/>
                <w:color w:val="auto"/>
              </w:rPr>
            </w:pPr>
          </w:p>
        </w:tc>
        <w:tc>
          <w:tcPr>
            <w:tcW w:w="2720" w:type="dxa"/>
            <w:vAlign w:val="bottom"/>
            <w:gridSpan w:val="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0">
              <w:r>
                <w:rPr>
                  <w:rFonts w:ascii="Arial" w:cs="Arial" w:eastAsia="Arial" w:hAnsi="Arial"/>
                  <w:sz w:val="15"/>
                  <w:szCs w:val="15"/>
                  <w:color w:val="0000FF"/>
                  <w:w w:val="71"/>
                </w:rPr>
                <w:t>26</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Equity Compensation Plan Information</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1">
              <w:r>
                <w:rPr>
                  <w:rFonts w:ascii="Arial" w:cs="Arial" w:eastAsia="Arial" w:hAnsi="Arial"/>
                  <w:sz w:val="16"/>
                  <w:szCs w:val="16"/>
                  <w:color w:val="0000FF"/>
                </w:rPr>
                <w:t>27</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5"/>
          </w:tcPr>
          <w:p>
            <w:pPr>
              <w:spacing w:after="0"/>
              <w:rPr>
                <w:rFonts w:ascii="Arial" w:cs="Arial" w:eastAsia="Arial" w:hAnsi="Arial"/>
                <w:sz w:val="16"/>
                <w:szCs w:val="16"/>
                <w:b w:val="1"/>
                <w:bCs w:val="1"/>
                <w:color w:val="0000FF"/>
              </w:rPr>
            </w:pPr>
            <w:hyperlink w:anchor="page32">
              <w:r>
                <w:rPr>
                  <w:rFonts w:ascii="Arial" w:cs="Arial" w:eastAsia="Arial" w:hAnsi="Arial"/>
                  <w:sz w:val="16"/>
                  <w:szCs w:val="16"/>
                  <w:b w:val="1"/>
                  <w:bCs w:val="1"/>
                  <w:color w:val="0000FF"/>
                </w:rPr>
                <w:t>Security Ownership of Certain Beneficial Owners and Management</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2">
              <w:r>
                <w:rPr>
                  <w:rFonts w:ascii="Arial" w:cs="Arial" w:eastAsia="Arial" w:hAnsi="Arial"/>
                  <w:sz w:val="16"/>
                  <w:szCs w:val="16"/>
                  <w:color w:val="0000FF"/>
                </w:rPr>
                <w:t>28</w:t>
              </w:r>
            </w:hyperlink>
          </w:p>
        </w:tc>
        <w:tc>
          <w:tcPr>
            <w:tcW w:w="160" w:type="dxa"/>
            <w:vAlign w:val="bottom"/>
          </w:tcPr>
          <w:p>
            <w:pPr>
              <w:spacing w:after="0"/>
              <w:rPr>
                <w:sz w:val="17"/>
                <w:szCs w:val="17"/>
                <w:color w:val="auto"/>
              </w:rPr>
            </w:pPr>
          </w:p>
        </w:tc>
      </w:tr>
      <w:tr>
        <w:trPr>
          <w:trHeight w:val="196"/>
        </w:trPr>
        <w:tc>
          <w:tcPr>
            <w:tcW w:w="5140" w:type="dxa"/>
            <w:vAlign w:val="bottom"/>
            <w:tcBorders>
              <w:top w:val="single" w:sz="8" w:color="0000FF"/>
            </w:tcBorders>
            <w:gridSpan w:val="33"/>
          </w:tcPr>
          <w:p>
            <w:pPr>
              <w:spacing w:after="0"/>
              <w:rPr>
                <w:rFonts w:ascii="Arial" w:cs="Arial" w:eastAsia="Arial" w:hAnsi="Arial"/>
                <w:sz w:val="16"/>
                <w:szCs w:val="16"/>
                <w:b w:val="1"/>
                <w:bCs w:val="1"/>
                <w:color w:val="0000FF"/>
              </w:rPr>
            </w:pPr>
            <w:hyperlink w:anchor="page34">
              <w:r>
                <w:rPr>
                  <w:rFonts w:ascii="Arial" w:cs="Arial" w:eastAsia="Arial" w:hAnsi="Arial"/>
                  <w:sz w:val="16"/>
                  <w:szCs w:val="16"/>
                  <w:b w:val="1"/>
                  <w:bCs w:val="1"/>
                  <w:color w:val="0000FF"/>
                </w:rPr>
                <w:t>Certain Relationships and Related Party Transactions</w:t>
              </w:r>
            </w:hyperlink>
          </w:p>
        </w:tc>
        <w:tc>
          <w:tcPr>
            <w:tcW w:w="1320" w:type="dxa"/>
            <w:vAlign w:val="bottom"/>
            <w:gridSpan w:val="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31</w:t>
              </w:r>
            </w:hyperlink>
          </w:p>
        </w:tc>
        <w:tc>
          <w:tcPr>
            <w:tcW w:w="160" w:type="dxa"/>
            <w:vAlign w:val="bottom"/>
          </w:tcPr>
          <w:p>
            <w:pPr>
              <w:spacing w:after="0"/>
              <w:rPr>
                <w:sz w:val="17"/>
                <w:szCs w:val="17"/>
                <w:color w:val="auto"/>
              </w:rPr>
            </w:pPr>
          </w:p>
        </w:tc>
      </w:tr>
      <w:tr>
        <w:trPr>
          <w:trHeight w:val="196"/>
        </w:trPr>
        <w:tc>
          <w:tcPr>
            <w:tcW w:w="4120" w:type="dxa"/>
            <w:vAlign w:val="bottom"/>
            <w:tcBorders>
              <w:top w:val="single" w:sz="8" w:color="0000FF"/>
            </w:tcBorders>
            <w:gridSpan w:val="29"/>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Delinquent Section 16(a) Reports</w:t>
              </w:r>
            </w:hyperlink>
          </w:p>
        </w:tc>
        <w:tc>
          <w:tcPr>
            <w:tcW w:w="2340" w:type="dxa"/>
            <w:vAlign w:val="bottom"/>
            <w:gridSpan w:val="6"/>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33</w:t>
              </w:r>
            </w:hyperlink>
          </w:p>
        </w:tc>
        <w:tc>
          <w:tcPr>
            <w:tcW w:w="160" w:type="dxa"/>
            <w:vAlign w:val="bottom"/>
          </w:tcPr>
          <w:p>
            <w:pPr>
              <w:spacing w:after="0"/>
              <w:rPr>
                <w:sz w:val="17"/>
                <w:szCs w:val="17"/>
                <w:color w:val="auto"/>
              </w:rPr>
            </w:pPr>
          </w:p>
        </w:tc>
      </w:tr>
      <w:tr>
        <w:trPr>
          <w:trHeight w:val="196"/>
        </w:trPr>
        <w:tc>
          <w:tcPr>
            <w:tcW w:w="2540" w:type="dxa"/>
            <w:vAlign w:val="bottom"/>
            <w:tcBorders>
              <w:top w:val="single" w:sz="8" w:color="0000FF"/>
            </w:tcBorders>
            <w:gridSpan w:val="16"/>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Stockholder Proposals</w:t>
              </w:r>
            </w:hyperlink>
          </w:p>
        </w:tc>
        <w:tc>
          <w:tcPr>
            <w:tcW w:w="3920" w:type="dxa"/>
            <w:vAlign w:val="bottom"/>
            <w:gridSpan w:val="1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34</w:t>
              </w:r>
            </w:hyperlink>
          </w:p>
        </w:tc>
        <w:tc>
          <w:tcPr>
            <w:tcW w:w="160" w:type="dxa"/>
            <w:vAlign w:val="bottom"/>
          </w:tcPr>
          <w:p>
            <w:pPr>
              <w:spacing w:after="0"/>
              <w:rPr>
                <w:sz w:val="17"/>
                <w:szCs w:val="17"/>
                <w:color w:val="auto"/>
              </w:rPr>
            </w:pPr>
          </w:p>
        </w:tc>
      </w:tr>
      <w:tr>
        <w:trPr>
          <w:trHeight w:val="20"/>
        </w:trPr>
        <w:tc>
          <w:tcPr>
            <w:tcW w:w="1060" w:type="dxa"/>
            <w:vAlign w:val="bottom"/>
            <w:gridSpan w:val="4"/>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660" w:type="dxa"/>
            <w:vAlign w:val="bottom"/>
            <w:tcBorders>
              <w:left w:val="single" w:sz="8" w:color="0000FF"/>
            </w:tcBorders>
            <w:gridSpan w:val="5"/>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480" w:type="dxa"/>
            <w:vAlign w:val="bottom"/>
            <w:gridSpan w:val="15"/>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5"/>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No Incorporation by Reference</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8">
              <w:r>
                <w:rPr>
                  <w:rFonts w:ascii="Arial" w:cs="Arial" w:eastAsia="Arial" w:hAnsi="Arial"/>
                  <w:sz w:val="16"/>
                  <w:szCs w:val="16"/>
                  <w:color w:val="0000FF"/>
                </w:rPr>
                <w:t>34</w:t>
              </w:r>
            </w:hyperlink>
          </w:p>
        </w:tc>
        <w:tc>
          <w:tcPr>
            <w:tcW w:w="160" w:type="dxa"/>
            <w:vAlign w:val="bottom"/>
          </w:tcPr>
          <w:p>
            <w:pPr>
              <w:spacing w:after="0"/>
              <w:rPr>
                <w:sz w:val="17"/>
                <w:szCs w:val="17"/>
                <w:color w:val="auto"/>
              </w:rPr>
            </w:pPr>
          </w:p>
        </w:tc>
      </w:tr>
      <w:tr>
        <w:trPr>
          <w:trHeight w:val="196"/>
        </w:trPr>
        <w:tc>
          <w:tcPr>
            <w:tcW w:w="1060" w:type="dxa"/>
            <w:vAlign w:val="bottom"/>
            <w:tcBorders>
              <w:top w:val="single" w:sz="8" w:color="0000FF"/>
              <w:bottom w:val="single" w:sz="8" w:color="0000FF"/>
            </w:tcBorders>
            <w:gridSpan w:val="4"/>
          </w:tcPr>
          <w:p>
            <w:pPr>
              <w:spacing w:after="0"/>
              <w:rPr>
                <w:rFonts w:ascii="Arial" w:cs="Arial" w:eastAsia="Arial" w:hAnsi="Arial"/>
                <w:sz w:val="16"/>
                <w:szCs w:val="16"/>
                <w:b w:val="1"/>
                <w:bCs w:val="1"/>
                <w:color w:val="0000FF"/>
                <w:w w:val="99"/>
              </w:rPr>
            </w:pPr>
            <w:hyperlink w:anchor="page38">
              <w:r>
                <w:rPr>
                  <w:rFonts w:ascii="Arial" w:cs="Arial" w:eastAsia="Arial" w:hAnsi="Arial"/>
                  <w:sz w:val="16"/>
                  <w:szCs w:val="16"/>
                  <w:b w:val="1"/>
                  <w:bCs w:val="1"/>
                  <w:color w:val="0000FF"/>
                  <w:w w:val="99"/>
                </w:rPr>
                <w:t>Other Matters</w:t>
              </w:r>
            </w:hyperlink>
          </w:p>
        </w:tc>
        <w:tc>
          <w:tcPr>
            <w:tcW w:w="1300" w:type="dxa"/>
            <w:vAlign w:val="bottom"/>
            <w:tcBorders>
              <w:top w:val="single" w:sz="8" w:color="0000FF"/>
            </w:tcBorders>
            <w:gridSpan w:val="11"/>
          </w:tcPr>
          <w:p>
            <w:pPr>
              <w:spacing w:after="0"/>
              <w:rPr>
                <w:sz w:val="17"/>
                <w:szCs w:val="17"/>
                <w:color w:val="auto"/>
              </w:rPr>
            </w:pPr>
          </w:p>
        </w:tc>
        <w:tc>
          <w:tcPr>
            <w:tcW w:w="4100" w:type="dxa"/>
            <w:vAlign w:val="bottom"/>
            <w:gridSpan w:val="2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34</w:t>
              </w:r>
            </w:hyperlink>
          </w:p>
        </w:tc>
        <w:tc>
          <w:tcPr>
            <w:tcW w:w="160" w:type="dxa"/>
            <w:vAlign w:val="bottom"/>
          </w:tcPr>
          <w:p>
            <w:pPr>
              <w:spacing w:after="0"/>
              <w:rPr>
                <w:sz w:val="17"/>
                <w:szCs w:val="17"/>
                <w:color w:val="auto"/>
              </w:rPr>
            </w:pPr>
          </w:p>
        </w:tc>
      </w:tr>
      <w:tr>
        <w:trPr>
          <w:trHeight w:val="196"/>
        </w:trPr>
        <w:tc>
          <w:tcPr>
            <w:tcW w:w="6460" w:type="dxa"/>
            <w:vAlign w:val="bottom"/>
            <w:gridSpan w:val="35"/>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Solicitation of Proxies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8">
              <w:r>
                <w:rPr>
                  <w:rFonts w:ascii="Arial" w:cs="Arial" w:eastAsia="Arial" w:hAnsi="Arial"/>
                  <w:sz w:val="16"/>
                  <w:szCs w:val="16"/>
                  <w:color w:val="0000FF"/>
                </w:rPr>
                <w:t>35</w:t>
              </w:r>
            </w:hyperlink>
          </w:p>
        </w:tc>
        <w:tc>
          <w:tcPr>
            <w:tcW w:w="160" w:type="dxa"/>
            <w:vAlign w:val="bottom"/>
          </w:tcPr>
          <w:p>
            <w:pPr>
              <w:spacing w:after="0"/>
              <w:rPr>
                <w:sz w:val="17"/>
                <w:szCs w:val="17"/>
                <w:color w:val="auto"/>
              </w:rPr>
            </w:pPr>
          </w:p>
        </w:tc>
      </w:tr>
      <w:tr>
        <w:trPr>
          <w:trHeight w:val="20"/>
        </w:trPr>
        <w:tc>
          <w:tcPr>
            <w:tcW w:w="1700" w:type="dxa"/>
            <w:vAlign w:val="bottom"/>
            <w:gridSpan w:val="10"/>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3480" w:type="dxa"/>
            <w:vAlign w:val="bottom"/>
            <w:gridSpan w:val="15"/>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2980" w:type="dxa"/>
            <w:vAlign w:val="bottom"/>
            <w:tcBorders>
              <w:bottom w:val="single" w:sz="8" w:color="0000FF"/>
            </w:tcBorders>
            <w:gridSpan w:val="20"/>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Exagen's Annual Report on Form 10-K</w:t>
              </w:r>
            </w:hyperlink>
          </w:p>
        </w:tc>
        <w:tc>
          <w:tcPr>
            <w:tcW w:w="3480" w:type="dxa"/>
            <w:vAlign w:val="bottom"/>
            <w:gridSpan w:val="1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35</w:t>
              </w:r>
            </w:hyperlink>
          </w:p>
        </w:tc>
        <w:tc>
          <w:tcPr>
            <w:tcW w:w="160" w:type="dxa"/>
            <w:vAlign w:val="bottom"/>
          </w:tcPr>
          <w:p>
            <w:pPr>
              <w:spacing w:after="0"/>
              <w:rPr>
                <w:sz w:val="17"/>
                <w:szCs w:val="17"/>
                <w:color w:val="auto"/>
              </w:rPr>
            </w:pPr>
          </w:p>
        </w:tc>
      </w:tr>
    </w:tbl>
    <w:p>
      <w:pPr>
        <w:sectPr>
          <w:pgSz w:w="11900" w:h="16838" w:orient="portrait"/>
          <w:cols w:equalWidth="0" w:num="1">
            <w:col w:w="9519"/>
          </w:cols>
          <w:pgMar w:left="940" w:top="886"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79375</wp:posOffset>
            </wp:positionV>
            <wp:extent cx="7089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is furnished in connection with the solicitation by the Board of Directors (the "Board") of Exagen Inc. of proxies to be voted at our Annual Meeting of Stockholders to be held on Thursday, June 17, 2021 (the "Annual Meeting"), in the Encore Meeting Room of the Hard Rock Hotel San Diego, 207 5th Avenue, San Diego, California 92101 at 8:00 a.m., Pacific Time, and at any continuation, postponement or adjournment thereof. However, 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19, 2021 (the "Record Date"), will be entitled to notice of and to vote at the Annual Meeting and any continuation, postponement or adjournment thereof. As of the Record Date, there were 16,925,680 shares of our Common Stock outstanding and entitled to vote at the Annual Meeting. Each share of Common Stock is entitled to one vote on any matter presented to stockholders at the Annual Meeting.</w:t>
      </w:r>
    </w:p>
    <w:p>
      <w:pPr>
        <w:spacing w:after="0" w:line="2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2020 (the "2020 Annual Report"), or Notice of Internet Availability of Proxy Materials, as applicable, will be sent on or about May 4, 2021 to our stockholders on the Record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"Exagen," the "Company," "we," "us" and "our" refer to Exagen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FOR THE STOCKHOLDER MEETING TO BE HELD ON THURSDAY, JUNE 17,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2020 Annual Report to Stockholders are available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http://www.proxydocs.com/XGN/.</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this website, you will find a complete set of the following proxy materials: notice of 2021 Annual Meeting of Stockholders; proxy statement (with sample proxy card); and 2020 Annual Report. You are encouraged to access and review all of the important information contained in the proxy materials before submitting a proxy or voting at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review directions to attend the meeting in person on our proxy website (www.proxydocs.com/XGN).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there are two proposals scheduled for a vote:</w:t>
      </w:r>
    </w:p>
    <w:p>
      <w:pPr>
        <w:spacing w:after="0" w:line="117" w:lineRule="exact"/>
        <w:rPr>
          <w:sz w:val="20"/>
          <w:szCs w:val="20"/>
          <w:color w:val="auto"/>
        </w:rPr>
      </w:pPr>
    </w:p>
    <w:p>
      <w:pPr>
        <w:ind w:left="660" w:right="100" w:hanging="328"/>
        <w:spacing w:after="0" w:line="261"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Frank Stokes and James L.L. Tullis, as Class II directors for a three-year term that expires at the 2024 Annual Meeting of Stockholders and until their respective successors shall have been duly elected and qualified; and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12" w:right="339" w:bottom="1440" w:gutter="0" w:footer="0" w:header="0"/>
        </w:sectPr>
      </w:pPr>
    </w:p>
    <w:bookmarkStart w:id="5" w:name="page6"/>
    <w:bookmarkEnd w:id="5"/>
    <w:p>
      <w:pPr>
        <w:ind w:left="34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To ratify the appointment of BDO USA, LLP as our independent public accounting firm for the fiscal year ending December 31, 2021.</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proxy card will vote your shares in accordance with their best judgment.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as follows:</w:t>
      </w:r>
    </w:p>
    <w:p>
      <w:pPr>
        <w:spacing w:after="0" w:line="9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election as a Class II director as set forth in this proxy statement; and</w:t>
      </w:r>
    </w:p>
    <w:p>
      <w:pPr>
        <w:spacing w:after="0" w:line="117" w:lineRule="exact"/>
        <w:rPr>
          <w:rFonts w:ascii="Arial" w:cs="Arial" w:eastAsia="Arial" w:hAnsi="Arial"/>
          <w:sz w:val="18"/>
          <w:szCs w:val="18"/>
          <w:color w:val="auto"/>
        </w:rPr>
      </w:pPr>
    </w:p>
    <w:p>
      <w:pPr>
        <w:ind w:left="660" w:right="380" w:hanging="328"/>
        <w:spacing w:after="0" w:line="26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BDO USA, LLP as our independent registered public accounting firm for the fiscal year ending December 31, 2021.</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proxy card will vote your shares in accordance with their best judgment.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the Board is soliciting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2020 Annual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our stockholders electronically via the Internet. On or about May 4, 2021, we will mail to our stockholders a Notice of Internet Availability of Proxy Materials (the "Internet Notice") containing instructions on how to access this proxy statement and our 2020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2020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its annual meetings and reduce the cost to us associated with the printing and mailing of materials.</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Exagen Inc., 1261 Liberty Way, Vista, California 92081. Such requests by street name holders should be made through their bank, broker or other holder of record.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16" w:right="339" w:bottom="1440" w:gutter="0" w:footer="0" w:header="0"/>
        </w:sectPr>
      </w:pPr>
    </w:p>
    <w:bookmarkStart w:id="6" w:name="page7"/>
    <w:bookmarkEnd w:id="6"/>
    <w:p>
      <w:pPr>
        <w:jc w:val="both"/>
        <w:ind w:right="240"/>
        <w:spacing w:after="0" w:line="256" w:lineRule="auto"/>
        <w:rPr>
          <w:sz w:val="20"/>
          <w:szCs w:val="20"/>
          <w:color w:val="auto"/>
        </w:rPr>
      </w:pPr>
      <w:r>
        <w:rPr>
          <w:rFonts w:ascii="Arial" w:cs="Arial" w:eastAsia="Arial" w:hAnsi="Arial"/>
          <w:sz w:val="18"/>
          <w:szCs w:val="18"/>
          <w:color w:val="auto"/>
        </w:rPr>
        <w:t>Stockholders sharing an address that are receiving multiple copies of the Internet Notice can request delivery of a single copy of the proxy statement or annual report or Internet Notice by contacting their broker, bank or other intermediary or sending a written request to Exagen Inc. at the above address or by calling (760) 560-1501.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on matters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Record Date for the Annual Meeting is April 19, 2021. You are entitled to vote on the matters presented at the Annual Meeting if you were a record holder at the close of business on the Record Date. Each outstanding share of Common Stock is entitled to one vote for all matters before the Annual Meeting. At the close of business on the Record Date, there were 16,925,680 shares of Common Stock outstanding and entitled to vote at the Annual Meeting. Common Stock is our only class of stock entitled to vote.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If, on the Record Date, your shares were registered directly in your name then you are a stockholder of record.</w:t>
      </w:r>
    </w:p>
    <w:p>
      <w:pPr>
        <w:spacing w:after="0" w:line="25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Yes. If your shares are held by a brokerage firm, bank, dealer or other similar organization, you are considered the “beneficial owner” of those shares held in “street name.”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such organizations are required to vote your shares in accordance with your instructions present in person, or by remote communication, if applicable, or represented by proxy, shall constitute a quorum for the transaction of business at all meetings of the stockholders. If your shares are held in street name, you may not vote your shares in person at the Annual Meeting, unless you obtain, and present at the Annual Meeting, a legal proxy from your brokerage firm, bank, dealer or other similar organization.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 quorum must be present at the Annual Meeting for any business to be conducted. Under Delaware law and our Amended and Restated Bylaws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The inspector of election will determine whether a quorum is present and will tabulate the votes cast at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We currently intend to hold the Annual Meeting in person. However, 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as a virtual-only meeting. If we hold a virtual-only meeting, we will announce the decision to do so in</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908" w:right="379" w:bottom="1440" w:gutter="0" w:footer="0" w:header="0"/>
        </w:sectPr>
      </w:pPr>
    </w:p>
    <w:bookmarkStart w:id="7" w:name="page8"/>
    <w:bookmarkEnd w:id="7"/>
    <w:p>
      <w:pPr>
        <w:ind w:right="160"/>
        <w:spacing w:after="0" w:line="291" w:lineRule="auto"/>
        <w:rPr>
          <w:sz w:val="20"/>
          <w:szCs w:val="20"/>
          <w:color w:val="auto"/>
        </w:rPr>
      </w:pPr>
      <w:r>
        <w:rPr>
          <w:rFonts w:ascii="Arial" w:cs="Arial" w:eastAsia="Arial" w:hAnsi="Arial"/>
          <w:sz w:val="17"/>
          <w:szCs w:val="17"/>
          <w:color w:val="auto"/>
        </w:rPr>
        <w:t>advance, and details on how to participate will be set forth in a press release issued by us and available on our website (www.exagen.com) and on our proxy website (www.proxydocs.com/XGN). We encourage you to check this website prior to the meeting if you plan to attend.</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be admitted into the Annual Meeting, your name must appear on the attendance list and you must present government-issued photo identification (such as a driver’s license). If your bank or broker holds your shares in street name, to attend the Annual Meeting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the holders of a majority of the shares entitled to vote, present in person, or by remote communication, if applicable, or represented by proxy, at the Annual Meeting may adjourn the Annual Meeting until a quorum is present or represented.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With respect to the election of directors, you may either vote "For" all the nominees to the Board or you may "Withhold" your vote for any nominee you specify. With respect to the ratification of the appointment of BDO USA, LLP as our independent registered public accounting firm, you may vote "For," "Against" or "Abstain" from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stockholders vote by proxy even if they plan to attend the Annual Meeting and vote in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record holder, there are several ways for you to vote your shares:</w:t>
      </w:r>
    </w:p>
    <w:p>
      <w:pPr>
        <w:spacing w:after="0" w:line="63" w:lineRule="exact"/>
        <w:rPr>
          <w:sz w:val="20"/>
          <w:szCs w:val="20"/>
          <w:color w:val="auto"/>
        </w:rPr>
      </w:pPr>
    </w:p>
    <w:p>
      <w:pPr>
        <w:ind w:left="660" w:right="10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You can vote by telephone by calling 1-866-475-8889 and following the instructions provided in the Internet Notice or on the proxy card. Telephone voting facilities for stockholders of record will be available 24 hours a day, seven days a week. Votes can be made up until the start of the Annual Meeting at 7:59 a.m., Pacific Time, on June 17, 2021.</w:t>
      </w:r>
    </w:p>
    <w:p>
      <w:pPr>
        <w:spacing w:after="0" w:line="39"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You can vote over the Internet at www.proxypush.com/XGN by following the instructions provided in the Internet Notice or on the proxy card. Internet voting facilities for stockholders of record will be available 24 hours a day, seven days a week. Votes can be made up until the start of the Annual Meeting at 7:59 a.m., Pacific Time, on June 17, 2021.</w:t>
      </w:r>
    </w:p>
    <w:p>
      <w:pPr>
        <w:spacing w:after="0" w:line="39" w:lineRule="exact"/>
        <w:rPr>
          <w:rFonts w:ascii="Arial" w:cs="Arial" w:eastAsia="Arial" w:hAnsi="Arial"/>
          <w:sz w:val="18"/>
          <w:szCs w:val="18"/>
          <w:color w:val="auto"/>
        </w:rPr>
      </w:pPr>
    </w:p>
    <w:p>
      <w:pPr>
        <w:jc w:val="both"/>
        <w:ind w:left="660" w:right="4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If you received a printed copy of the proxy materials, you can vote by mail by signing, dating and mailing the proxy card that accompanied the printed proxy materials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4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Person: You may still attend the meeting and vote in person even if you have already voted by proxy. We will provide you with a ballot at the Annual Meeting.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you are a beneficial owner of shares are held in street name through a brokerage firm, bank, dealer or other similar organization, you will receive instructions on how to vote from that organization rather than from us. You must follow their instructions in order for your shares to be voted. Generally, you will have three options for returning your proxy and voting your shares.</w:t>
      </w:r>
    </w:p>
    <w:p>
      <w:pPr>
        <w:spacing w:after="0" w:line="40" w:lineRule="exact"/>
        <w:rPr>
          <w:sz w:val="20"/>
          <w:szCs w:val="20"/>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Method Listing on Voting Instruction Card: Please refer to your voting instruction card or other information provided by your bank, broker or other agent to determine whether you may vote by telephone or electronically on the Internet, and follow the instructions on the voting instruction card or other</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908" w:right="379" w:bottom="1440" w:gutter="0" w:footer="0" w:header="0"/>
        </w:sectPr>
      </w:pPr>
    </w:p>
    <w:bookmarkStart w:id="8" w:name="page9"/>
    <w:bookmarkEnd w:id="8"/>
    <w:p>
      <w:pPr>
        <w:ind w:left="660" w:right="120"/>
        <w:spacing w:after="0" w:line="256" w:lineRule="auto"/>
        <w:rPr>
          <w:sz w:val="20"/>
          <w:szCs w:val="20"/>
          <w:color w:val="auto"/>
        </w:rPr>
      </w:pPr>
      <w:r>
        <w:rPr>
          <w:rFonts w:ascii="Arial" w:cs="Arial" w:eastAsia="Arial" w:hAnsi="Arial"/>
          <w:sz w:val="18"/>
          <w:szCs w:val="18"/>
          <w:color w:val="auto"/>
        </w:rPr>
        <w:t>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w:t>
      </w:r>
    </w:p>
    <w:p>
      <w:pPr>
        <w:spacing w:after="0" w:line="40" w:lineRule="exact"/>
        <w:rPr>
          <w:sz w:val="20"/>
          <w:szCs w:val="20"/>
          <w:color w:val="auto"/>
        </w:rPr>
      </w:pPr>
    </w:p>
    <w:p>
      <w:pPr>
        <w:ind w:left="660" w:right="1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 You may vote by signing, dating and returning your voting instruction card in the pre-addressed envelope provided by your broker, bank or other agent.</w:t>
      </w:r>
    </w:p>
    <w:p>
      <w:pPr>
        <w:spacing w:after="0" w:line="35"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If you would like to vote your shares in person at the Annual Meeting, you will need to contact your brokerage firm, bank, dealer or other similar organization to obtain a legal proxy and bring it to the Annual Meeting in order to vote.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record holder, you may revoke your proxy and change your vote any time before the proxy is voted at the Annual Meeting:</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than your prior proxy;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Exagen prior to or at the Annual Meeting;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2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Mediant Communications, Inc. is expected to tabulate the votes and an employee of the Company is expected to be our inspector of election and will certify the votes.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2 of this proxy statement, along with the description of each proposal in this proxy statement.</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962" w:right="359" w:bottom="1440" w:gutter="0" w:footer="0" w:header="0"/>
        </w:sectPr>
      </w:pPr>
    </w:p>
    <w:bookmarkStart w:id="9" w:name="page10"/>
    <w:bookmarkEnd w:id="9"/>
    <w:p>
      <w:pPr>
        <w:ind w:right="60"/>
        <w:spacing w:after="0" w:line="251" w:lineRule="auto"/>
        <w:rPr>
          <w:sz w:val="20"/>
          <w:szCs w:val="20"/>
          <w:color w:val="auto"/>
        </w:rPr>
      </w:pPr>
      <w:r>
        <w:rPr>
          <w:rFonts w:ascii="Arial" w:cs="Arial" w:eastAsia="Arial" w:hAnsi="Arial"/>
          <w:sz w:val="18"/>
          <w:szCs w:val="18"/>
          <w:color w:val="auto"/>
        </w:rPr>
        <w:t>Shares represented by proxies that reflect a broker non-vote will be counted as present for purposes of determining the presence of a quorum exists.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LLP as our independent registered public accounting firm. Thus, broker non-votes are not expected on that proposal. On the other hand, absent instructions from the beneficial owner of such shares, a broker is not entitled to vote shares held for a beneficial owner on non-routine matters. Broker non-votes on the election of directors, a non-routine matter, will have no effect because they are not considered a vote cast, and the two directors that receive the highest number of votes will be elected.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LLP, represents a stockholder's affirmative choice to decline to vote on a proposal. Votes withheld have no effect on the election of directors, as the two directors that receive the highest number of votes will be elected, and abstentions are not considered to be a vote cast and will have no effect on the ratification of the appointment of BDO USA, LLP.</w:t>
      </w:r>
    </w:p>
    <w:p>
      <w:pPr>
        <w:spacing w:after="0" w:line="2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89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Proposal</w:t>
            </w:r>
          </w:p>
        </w:tc>
        <w:tc>
          <w:tcPr>
            <w:tcW w:w="406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Votes Required</w:t>
            </w:r>
          </w:p>
        </w:tc>
        <w:tc>
          <w:tcPr>
            <w:tcW w:w="4500" w:type="dxa"/>
            <w:vAlign w:val="bottom"/>
          </w:tcPr>
          <w:p>
            <w:pPr>
              <w:ind w:left="1260"/>
              <w:spacing w:after="0"/>
              <w:rPr>
                <w:sz w:val="20"/>
                <w:szCs w:val="20"/>
                <w:color w:val="auto"/>
              </w:rPr>
            </w:pPr>
            <w:r>
              <w:rPr>
                <w:rFonts w:ascii="Arial" w:cs="Arial" w:eastAsia="Arial" w:hAnsi="Arial"/>
                <w:sz w:val="18"/>
                <w:szCs w:val="18"/>
                <w:b w:val="1"/>
                <w:bCs w:val="1"/>
                <w:color w:val="auto"/>
                <w:w w:val="98"/>
              </w:rPr>
              <w:t>Effect of Votes Withheld / Abstentions</w:t>
            </w:r>
          </w:p>
        </w:tc>
        <w:tc>
          <w:tcPr>
            <w:tcW w:w="0" w:type="dxa"/>
            <w:vAlign w:val="bottom"/>
          </w:tcPr>
          <w:p>
            <w:pPr>
              <w:spacing w:after="0"/>
              <w:rPr>
                <w:sz w:val="1"/>
                <w:szCs w:val="1"/>
                <w:color w:val="auto"/>
              </w:rPr>
            </w:pPr>
          </w:p>
        </w:tc>
      </w:tr>
      <w:tr>
        <w:trPr>
          <w:trHeight w:val="239"/>
        </w:trPr>
        <w:tc>
          <w:tcPr>
            <w:tcW w:w="2280" w:type="dxa"/>
            <w:vAlign w:val="bottom"/>
            <w:vMerge w:val="continue"/>
          </w:tcPr>
          <w:p>
            <w:pPr>
              <w:spacing w:after="0"/>
              <w:rPr>
                <w:sz w:val="20"/>
                <w:szCs w:val="20"/>
                <w:color w:val="auto"/>
              </w:rPr>
            </w:pPr>
          </w:p>
        </w:tc>
        <w:tc>
          <w:tcPr>
            <w:tcW w:w="4060" w:type="dxa"/>
            <w:vAlign w:val="bottom"/>
            <w:vMerge w:val="continue"/>
          </w:tcPr>
          <w:p>
            <w:pPr>
              <w:spacing w:after="0"/>
              <w:rPr>
                <w:sz w:val="20"/>
                <w:szCs w:val="20"/>
                <w:color w:val="auto"/>
              </w:rPr>
            </w:pPr>
          </w:p>
        </w:tc>
        <w:tc>
          <w:tcPr>
            <w:tcW w:w="4500" w:type="dxa"/>
            <w:vAlign w:val="bottom"/>
          </w:tcPr>
          <w:p>
            <w:pPr>
              <w:ind w:left="1260"/>
              <w:spacing w:after="0"/>
              <w:rPr>
                <w:sz w:val="20"/>
                <w:szCs w:val="20"/>
                <w:color w:val="auto"/>
              </w:rPr>
            </w:pPr>
            <w:r>
              <w:rPr>
                <w:rFonts w:ascii="Arial" w:cs="Arial" w:eastAsia="Arial" w:hAnsi="Arial"/>
                <w:sz w:val="18"/>
                <w:szCs w:val="18"/>
                <w:b w:val="1"/>
                <w:bCs w:val="1"/>
                <w:color w:val="auto"/>
              </w:rPr>
              <w:t>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488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p>
      <w:pPr>
        <w:ind w:left="20"/>
        <w:spacing w:after="0" w:line="236" w:lineRule="auto"/>
        <w:tabs>
          <w:tab w:leader="none" w:pos="380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7"/>
          <w:szCs w:val="17"/>
          <w:color w:val="auto"/>
        </w:rPr>
        <w:t>The plurality of the votes cast. This means that</w:t>
      </w:r>
    </w:p>
    <w:p>
      <w:pPr>
        <w:ind w:left="3820"/>
        <w:spacing w:after="0" w:line="203" w:lineRule="auto"/>
        <w:rPr>
          <w:sz w:val="20"/>
          <w:szCs w:val="20"/>
          <w:color w:val="auto"/>
        </w:rPr>
      </w:pPr>
      <w:r>
        <w:rPr>
          <w:rFonts w:ascii="Arial" w:cs="Arial" w:eastAsia="Arial" w:hAnsi="Arial"/>
          <w:sz w:val="18"/>
          <w:szCs w:val="18"/>
          <w:color w:val="auto"/>
        </w:rPr>
        <w:t>the two nominees receiving the highest</w:t>
      </w:r>
    </w:p>
    <w:p>
      <w:pPr>
        <w:ind w:left="3820"/>
        <w:spacing w:after="0" w:line="204" w:lineRule="auto"/>
        <w:rPr>
          <w:sz w:val="20"/>
          <w:szCs w:val="20"/>
          <w:color w:val="auto"/>
        </w:rPr>
      </w:pPr>
      <w:r>
        <w:rPr>
          <w:rFonts w:ascii="Arial" w:cs="Arial" w:eastAsia="Arial" w:hAnsi="Arial"/>
          <w:sz w:val="18"/>
          <w:szCs w:val="18"/>
          <w:color w:val="auto"/>
        </w:rPr>
        <w:t>number of affirmative "FOR" votes will be</w:t>
      </w:r>
    </w:p>
    <w:p>
      <w:pPr>
        <w:ind w:left="3820"/>
        <w:spacing w:after="0"/>
        <w:rPr>
          <w:sz w:val="20"/>
          <w:szCs w:val="20"/>
          <w:color w:val="auto"/>
        </w:rPr>
      </w:pPr>
      <w:r>
        <w:rPr>
          <w:rFonts w:ascii="Arial" w:cs="Arial" w:eastAsia="Arial" w:hAnsi="Arial"/>
          <w:sz w:val="18"/>
          <w:szCs w:val="18"/>
          <w:color w:val="auto"/>
        </w:rPr>
        <w:t>elected as Class II directors.</w:t>
      </w:r>
    </w:p>
    <w:p>
      <w:pPr>
        <w:ind w:left="20"/>
        <w:spacing w:after="0"/>
        <w:tabs>
          <w:tab w:leader="none" w:pos="3800" w:val="left"/>
        </w:tabs>
        <w:rPr>
          <w:sz w:val="20"/>
          <w:szCs w:val="20"/>
          <w:color w:val="auto"/>
        </w:rPr>
      </w:pPr>
      <w:r>
        <w:rPr>
          <w:rFonts w:ascii="Arial" w:cs="Arial" w:eastAsia="Arial" w:hAnsi="Arial"/>
          <w:sz w:val="18"/>
          <w:szCs w:val="18"/>
          <w:color w:val="auto"/>
        </w:rPr>
        <w:t>Proposal 2: Ratification of Appointment of</w:t>
      </w:r>
      <w:r>
        <w:rPr>
          <w:sz w:val="20"/>
          <w:szCs w:val="20"/>
          <w:color w:val="auto"/>
        </w:rPr>
        <w:tab/>
      </w:r>
      <w:r>
        <w:rPr>
          <w:rFonts w:ascii="Arial" w:cs="Arial" w:eastAsia="Arial" w:hAnsi="Arial"/>
          <w:sz w:val="17"/>
          <w:szCs w:val="17"/>
          <w:color w:val="auto"/>
        </w:rPr>
        <w:t>The affirmative vote of a majority of the votes</w:t>
      </w:r>
    </w:p>
    <w:p>
      <w:pPr>
        <w:ind w:left="20"/>
        <w:spacing w:after="0" w:line="215" w:lineRule="auto"/>
        <w:tabs>
          <w:tab w:leader="none" w:pos="3800" w:val="left"/>
        </w:tabs>
        <w:rPr>
          <w:sz w:val="20"/>
          <w:szCs w:val="20"/>
          <w:color w:val="auto"/>
        </w:rPr>
      </w:pPr>
      <w:r>
        <w:rPr>
          <w:rFonts w:ascii="Arial" w:cs="Arial" w:eastAsia="Arial" w:hAnsi="Arial"/>
          <w:sz w:val="18"/>
          <w:szCs w:val="18"/>
          <w:color w:val="auto"/>
        </w:rPr>
        <w:t>Independent Registered Public Accounting</w:t>
      </w:r>
      <w:r>
        <w:rPr>
          <w:sz w:val="20"/>
          <w:szCs w:val="20"/>
          <w:color w:val="auto"/>
        </w:rPr>
        <w:tab/>
      </w:r>
      <w:r>
        <w:rPr>
          <w:rFonts w:ascii="Arial" w:cs="Arial" w:eastAsia="Arial" w:hAnsi="Arial"/>
          <w:sz w:val="17"/>
          <w:szCs w:val="17"/>
          <w:color w:val="auto"/>
        </w:rPr>
        <w:t>cast for or against the matter.</w:t>
      </w:r>
    </w:p>
    <w:p>
      <w:pPr>
        <w:ind w:left="20"/>
        <w:spacing w:after="0"/>
        <w:rPr>
          <w:sz w:val="20"/>
          <w:szCs w:val="20"/>
          <w:color w:val="auto"/>
        </w:rPr>
      </w:pPr>
      <w:r>
        <w:rPr>
          <w:rFonts w:ascii="Arial" w:cs="Arial" w:eastAsia="Arial" w:hAnsi="Arial"/>
          <w:sz w:val="18"/>
          <w:szCs w:val="18"/>
          <w:color w:val="auto"/>
        </w:rPr>
        <w:t>Firm</w:t>
      </w:r>
    </w:p>
    <w:p>
      <w:pPr>
        <w:spacing w:after="0" w:line="20" w:lineRule="exact"/>
        <w:rPr>
          <w:sz w:val="20"/>
          <w:szCs w:val="20"/>
          <w:color w:val="auto"/>
        </w:rPr>
      </w:pPr>
      <w:r>
        <w:rPr>
          <w:sz w:val="20"/>
          <w:szCs w:val="20"/>
          <w:color w:val="auto"/>
        </w:rPr>
        <w:br w:type="column"/>
      </w:r>
    </w:p>
    <w:p>
      <w:pPr>
        <w:ind w:right="380"/>
        <w:spacing w:after="0" w:line="227" w:lineRule="auto"/>
        <w:rPr>
          <w:sz w:val="20"/>
          <w:szCs w:val="20"/>
          <w:color w:val="auto"/>
        </w:rPr>
      </w:pPr>
      <w:r>
        <w:rPr>
          <w:rFonts w:ascii="Arial" w:cs="Arial" w:eastAsia="Arial" w:hAnsi="Arial"/>
          <w:sz w:val="18"/>
          <w:szCs w:val="18"/>
          <w:color w:val="auto"/>
        </w:rPr>
        <w:t>Votes withheld and broker non-votes will have no effect.</w:t>
      </w:r>
    </w:p>
    <w:p>
      <w:pPr>
        <w:spacing w:after="0" w:line="36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2">
            <w:col w:w="7540" w:space="80"/>
            <w:col w:w="3580"/>
          </w:cols>
          <w:pgMar w:left="320" w:top="908" w:right="37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the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908"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the Annual Meeting, two (2) Class II directors are to be elected to hold office for a three-year term expiring at the Annual Meeting of Stockholders to be held in 2024 and until such director’s successor is elected and qualified or until such director’s earlier death, resignation or removal. Based on the recommendation of the Nominating and Corporate Governance Committee, the Board has nominated Frank Stokes for election and James L.L. Tullis for re-election as Class II directors at the Annual Meeting. Due to Mr. Elliott's continuing business obligations, he was not nominated to stand for re-election when his current term expires at the Annual Meeting. We are grateful to have benefitted from Mr. Elliott's expertise and business insights. Wendy Johnson was appointed as a Class III director effective as of October 1, 2020. Chet Burrell retired from our Board, effective December 31, 2020.</w:t>
      </w:r>
    </w:p>
    <w:p>
      <w:pPr>
        <w:spacing w:after="0" w:line="2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Amended and Restated Certificate of Incorporation (the “Charter”) and Bylaws provide that the authorized number of directors shall be fixed from time to time exclusively by resolution adopted by a majority of the Board. We currently have eight (8) authorized directors on our Board.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until such director's successor is elected and qualified, or until such director's earlier death, resignation or removal. The following table summarizes the class, independence and committee membership of our current directors and director nominees as of the date of these proxy materials: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Name</w:t>
            </w:r>
          </w:p>
        </w:tc>
        <w:tc>
          <w:tcPr>
            <w:tcW w:w="10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9"/>
              </w:rPr>
              <w:t>Age</w:t>
            </w:r>
          </w:p>
        </w:tc>
        <w:tc>
          <w:tcPr>
            <w:tcW w:w="28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Position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Independent</w:t>
            </w:r>
          </w:p>
        </w:tc>
        <w:tc>
          <w:tcPr>
            <w:tcW w:w="386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Committee Membership</w:t>
            </w:r>
          </w:p>
        </w:tc>
      </w:tr>
      <w:tr>
        <w:trPr>
          <w:trHeight w:val="213"/>
        </w:trPr>
        <w:tc>
          <w:tcPr>
            <w:tcW w:w="112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CLASS II DIRECTOR NOMINEES - Nominated for Election or Re-election with a Term to Expire at the 2024 Annual Meeting</w:t>
            </w:r>
          </w:p>
        </w:tc>
      </w:tr>
      <w:tr>
        <w:trPr>
          <w:trHeight w:val="216"/>
        </w:trPr>
        <w:tc>
          <w:tcPr>
            <w:tcW w:w="2320" w:type="dxa"/>
            <w:vAlign w:val="bottom"/>
          </w:tcPr>
          <w:p>
            <w:pPr>
              <w:ind w:left="20"/>
              <w:spacing w:after="0" w:line="216" w:lineRule="exact"/>
              <w:rPr>
                <w:sz w:val="20"/>
                <w:szCs w:val="20"/>
                <w:color w:val="auto"/>
              </w:rPr>
            </w:pPr>
            <w:r>
              <w:rPr>
                <w:rFonts w:ascii="Arial" w:cs="Arial" w:eastAsia="Arial" w:hAnsi="Arial"/>
                <w:sz w:val="16"/>
                <w:szCs w:val="16"/>
                <w:color w:val="auto"/>
              </w:rPr>
              <w:t>Frank Stokes</w:t>
            </w:r>
            <w:r>
              <w:rPr>
                <w:rFonts w:ascii="Arial" w:cs="Arial" w:eastAsia="Arial" w:hAnsi="Arial"/>
                <w:sz w:val="21"/>
                <w:szCs w:val="21"/>
                <w:color w:val="auto"/>
                <w:vertAlign w:val="superscript"/>
              </w:rPr>
              <w:t>(1)</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51</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 Nominee</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L.L. Tullis</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74</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r>
      <w:tr>
        <w:trPr>
          <w:trHeight w:val="215"/>
        </w:trPr>
        <w:tc>
          <w:tcPr>
            <w:tcW w:w="620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CLASS II DIRECTOR - Term to Expire at the Annual Meeting</w:t>
            </w:r>
          </w:p>
        </w:tc>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7"/>
        </w:trPr>
        <w:tc>
          <w:tcPr>
            <w:tcW w:w="23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Jeff Elliott</w:t>
            </w:r>
            <w:r>
              <w:rPr>
                <w:rFonts w:ascii="Arial" w:cs="Arial" w:eastAsia="Arial" w:hAnsi="Arial"/>
                <w:sz w:val="21"/>
                <w:szCs w:val="21"/>
                <w:color w:val="auto"/>
                <w:vertAlign w:val="superscript"/>
              </w:rPr>
              <w:t>(2)</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43</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Audit (Chair)</w:t>
            </w:r>
          </w:p>
        </w:tc>
      </w:tr>
      <w:tr>
        <w:trPr>
          <w:trHeight w:val="215"/>
        </w:trPr>
        <w:tc>
          <w:tcPr>
            <w:tcW w:w="620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III DIRECTORS - Terms to Expire at the 2022 Annual Meeting</w:t>
            </w:r>
          </w:p>
        </w:tc>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178"/>
        </w:trPr>
        <w:tc>
          <w:tcPr>
            <w:tcW w:w="2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60" w:type="dxa"/>
            <w:vAlign w:val="bottom"/>
            <w:shd w:val="clear" w:color="auto" w:fill="CCEEFF"/>
          </w:tcPr>
          <w:p>
            <w:pPr>
              <w:ind w:left="120"/>
              <w:spacing w:after="0" w:line="178" w:lineRule="exact"/>
              <w:rPr>
                <w:sz w:val="20"/>
                <w:szCs w:val="20"/>
                <w:color w:val="auto"/>
              </w:rPr>
            </w:pPr>
            <w:r>
              <w:rPr>
                <w:rFonts w:ascii="Arial" w:cs="Arial" w:eastAsia="Arial" w:hAnsi="Arial"/>
                <w:sz w:val="16"/>
                <w:szCs w:val="16"/>
                <w:color w:val="auto"/>
              </w:rPr>
              <w:t>Compensation (Chair), Nominating and</w:t>
            </w:r>
          </w:p>
        </w:tc>
      </w:tr>
      <w:tr>
        <w:trPr>
          <w:trHeight w:val="20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Bruce Robertson, Ph.D.</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58</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Governance</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Wendy Johnson</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69</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Audit</w:t>
            </w:r>
          </w:p>
        </w:tc>
      </w:tr>
      <w:tr>
        <w:trPr>
          <w:trHeight w:val="180"/>
        </w:trPr>
        <w:tc>
          <w:tcPr>
            <w:tcW w:w="2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President, Chief Executive Officer,</w:t>
            </w:r>
          </w:p>
        </w:tc>
        <w:tc>
          <w:tcPr>
            <w:tcW w:w="11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r>
      <w:tr>
        <w:trPr>
          <w:trHeight w:val="20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Fortunato Ron Rocca</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59</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Director</w:t>
            </w:r>
          </w:p>
        </w:tc>
        <w:tc>
          <w:tcPr>
            <w:tcW w:w="118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r>
      <w:tr>
        <w:trPr>
          <w:trHeight w:val="215"/>
        </w:trPr>
        <w:tc>
          <w:tcPr>
            <w:tcW w:w="620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 DIRECTORS - Terms to Expire at the 2023 Annual Meeting</w:t>
            </w:r>
          </w:p>
        </w:tc>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Brian Birk</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61</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Chairman of the Board</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Nominating and Governance (Chair)</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Tina S. Nova, Ph.D.</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67</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Audit, Compensation</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Ebetuel Pallares, Ph.D.</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47</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Nominating and Governance</w:t>
            </w:r>
          </w:p>
        </w:tc>
      </w:tr>
    </w:tbl>
    <w:p>
      <w:pPr>
        <w:spacing w:after="0" w:line="167" w:lineRule="exact"/>
        <w:rPr>
          <w:sz w:val="20"/>
          <w:szCs w:val="20"/>
          <w:color w:val="auto"/>
        </w:rPr>
      </w:pPr>
    </w:p>
    <w:p>
      <w:pPr>
        <w:ind w:right="620" w:firstLine="8"/>
        <w:spacing w:after="0" w:line="258" w:lineRule="auto"/>
        <w:tabs>
          <w:tab w:leader="none" w:pos="2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Stokes has been nominated for election as a Class II director. If and upon Mr. Stokes' election to the board of directors at the Annual Meeting, Mr. Stokes will be appointed to serve as the Chair of the Audit Committee.</w:t>
      </w:r>
    </w:p>
    <w:p>
      <w:pPr>
        <w:spacing w:after="0" w:line="72"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Following the expiration of his term as a Class II director, Mr. Elliott will no longer serve on the board of directors or the Audit Committee.</w:t>
      </w:r>
    </w:p>
    <w:p>
      <w:pPr>
        <w:spacing w:after="0" w:line="23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the event any of the nominees should become unable to serve, or for good cause will not serve, as a director, it is intended that votes will be cast for a substitute nominee designated by the Board or the Board may elect to reduce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29" w:right="339" w:bottom="1440" w:gutter="0" w:footer="0" w:header="0"/>
        </w:sectPr>
      </w:pPr>
    </w:p>
    <w:bookmarkStart w:id="11" w:name="page12"/>
    <w:bookmarkEnd w:id="11"/>
    <w:p>
      <w:pPr>
        <w:ind w:right="340"/>
        <w:spacing w:after="0" w:line="261" w:lineRule="auto"/>
        <w:rPr>
          <w:sz w:val="20"/>
          <w:szCs w:val="20"/>
          <w:color w:val="auto"/>
        </w:rPr>
      </w:pPr>
      <w:r>
        <w:rPr>
          <w:rFonts w:ascii="Arial" w:cs="Arial" w:eastAsia="Arial" w:hAnsi="Arial"/>
          <w:sz w:val="18"/>
          <w:szCs w:val="18"/>
          <w:color w:val="auto"/>
        </w:rPr>
        <w:t>its size. The Board has no reason to believe that the nominees named below will be unable to serve if elected. Each of the nominees has consented to being named in this proxy statement and to serve if elected.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All of the persons whose names and biographies appear below, other than Mr. Stokes who is nominated for election as a Class II director at the Annual Meeting, are currently serving as our directors. Following the expiration of his term as a Class II director, Mr. Elliott will no longer serve as a member of our board of directors. Each of our directors and director nominees brings to the board of directors' significant leadership experience derived from their professional experience and service as executives or board members of other corporations and/or private equity and venture capital firms. The process undertaken by the Nominating and Corporate Governance Committee in recommending qualified director candidates is described below under "Board Diversity and Director Nomination Process." Certain individual qualifications and skills of our directors that contribute to the board of directors' effectiveness as a whole are described in the following paragraphs.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information set forth below as to the directors and nominees for director has been furnished to us by the directors and nominees for director: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to Expire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Frank Stokes </w:t>
      </w:r>
      <w:r>
        <w:rPr>
          <w:rFonts w:ascii="Arial" w:cs="Arial" w:eastAsia="Arial" w:hAnsi="Arial"/>
          <w:sz w:val="18"/>
          <w:szCs w:val="18"/>
          <w:color w:val="auto"/>
        </w:rPr>
        <w:t>is nominee for director at the Annual Meeting. Mr. Stokes has served as the Chief Financial Officer of Castle Biosciences, Inc.,</w:t>
      </w:r>
      <w:r>
        <w:rPr>
          <w:rFonts w:ascii="Arial" w:cs="Arial" w:eastAsia="Arial" w:hAnsi="Arial"/>
          <w:sz w:val="18"/>
          <w:szCs w:val="18"/>
          <w:i w:val="1"/>
          <w:iCs w:val="1"/>
          <w:color w:val="auto"/>
        </w:rPr>
        <w:t xml:space="preserve"> </w:t>
      </w:r>
      <w:r>
        <w:rPr>
          <w:rFonts w:ascii="Arial" w:cs="Arial" w:eastAsia="Arial" w:hAnsi="Arial"/>
          <w:sz w:val="18"/>
          <w:szCs w:val="18"/>
          <w:color w:val="auto"/>
        </w:rPr>
        <w:t>a skin cancer diagnostics company, since December 2017. From January 2017 to December 2017, Mr. Stokes served as Chief Financial Officer of Hammock Pharmaceuticals, a specialty pharmaceutical company focused on the development and commercialization of women's health and urology products. From May 2011 to December 2016, Mr. Stokes served as a Managing Director of Leerink Swann (now SVB Leerink). Mr Stokes also held positions as a Managing Director at Robert W. Baird &amp; Co. Incorporated and Wachovia Securities, LLC. While at SVB Leerink and Robert W. Baird &amp; Co., Mr. Stokes led life sciences, tools and diagnostics sector investment banking efforts, and managed financings and mergers and acquisitions transactions. Mr. Stokes holds a B.S. degree in Business Administration and J.D. and M.B.A. degrees from the University of North Carolina at Chapel Hill. Mr. Stokes' executive experience and experience in the diagnostics and life sciences industries contributed to our Board's conclusion that he should serve as a director of our company.</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James L.L. Tullis </w:t>
      </w:r>
      <w:r>
        <w:rPr>
          <w:rFonts w:ascii="Arial" w:cs="Arial" w:eastAsia="Arial" w:hAnsi="Arial"/>
          <w:sz w:val="18"/>
          <w:szCs w:val="18"/>
          <w:color w:val="auto"/>
        </w:rPr>
        <w:t>has served as a member of the Board since May 2015. In 1986, Mr. Tullis founded Tullis Health Investors, a venture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firm specializing in investments in the healthcare industry and served as its Chief Executive Officer from its inception until December 2018. Since January 2019, Mr. Tullis has served as its chairman.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an investment management firm. Since 1998, he has served as a member of the board of directors and, since April 2020 as chair of the board of directors of Crane Co., a manufacturer of highly engineered industrial products. Mr. Tullis also currently serves as a member of the board of directors of Alphatec Spine, Inc., a medical technology company. Mr. Tullis holds a B.A. from Stanford University and an M.B.A. from Harvard Business School. Mr. Tullis’s extensive experience serving as a venture capitalist and board member for numerous companies in the health care industry contributed to our Board's conclusion that Mr. Tullis should serve as a director of our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to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Bruce C. Robertson, Ph.D.</w:t>
      </w:r>
      <w:r>
        <w:rPr>
          <w:rFonts w:ascii="Arial" w:cs="Arial" w:eastAsia="Arial" w:hAnsi="Arial"/>
          <w:sz w:val="18"/>
          <w:szCs w:val="18"/>
          <w:color w:val="auto"/>
        </w:rPr>
        <w:t>, has served as a member of the Board since July 2019. Since 2005, Dr. Robertson has served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H.I.G. Capital, LLC, a global private equity and investment firm. Dr. Robertson previously served as a Managing Director at Toucan Capital, an early-stage venture capital firm. Dr. Robertson serves as a member of the board of directors of Apollo Endosurgery, Inc., a medical device company. Dr. Robertson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08" w:right="339" w:bottom="1440" w:gutter="0" w:footer="0" w:header="0"/>
        </w:sectPr>
      </w:pPr>
    </w:p>
    <w:bookmarkStart w:id="12" w:name="page13"/>
    <w:bookmarkEnd w:id="12"/>
    <w:p>
      <w:pPr>
        <w:ind w:right="320"/>
        <w:spacing w:after="0" w:line="254" w:lineRule="auto"/>
        <w:rPr>
          <w:sz w:val="20"/>
          <w:szCs w:val="20"/>
          <w:color w:val="auto"/>
        </w:rPr>
      </w:pPr>
      <w:r>
        <w:rPr>
          <w:rFonts w:ascii="Arial" w:cs="Arial" w:eastAsia="Arial" w:hAnsi="Arial"/>
          <w:sz w:val="18"/>
          <w:szCs w:val="18"/>
          <w:color w:val="auto"/>
        </w:rPr>
        <w:t>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Board's conclusion that he should serve as a director of our company.</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Wendy Johnson </w:t>
      </w:r>
      <w:r>
        <w:rPr>
          <w:rFonts w:ascii="Arial" w:cs="Arial" w:eastAsia="Arial" w:hAnsi="Arial"/>
          <w:sz w:val="18"/>
          <w:szCs w:val="18"/>
          <w:color w:val="auto"/>
        </w:rPr>
        <w:t>has served as a member of our board of directors since October 2020. Ms. Johnson has served as Chief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Reneo Pharmaceuticals, a pharmaceutical company, since April 2021. From January 2018 to April 2021, Ms. Johnson served as Chief Operating Officer of Reneo Pharmaceuticals. Ms. Johnson was previously the Interim Chief Operating Officer of AmpliPhi Biosciences Corporation from September 2014 to January 2017, and a member of its board of directors from May 2014 until its merger with C3J Therapeutics (Armata Pharmaceuticals) in May 2019. From 2005 to January 2014, Ms. Johnson served as a venture partner at ProQuest Investments, a venture capital firm. From November 2006 to January 2014, Ms. Johnson served as the President and Chief Executive Officer of Aires Pharmaceuticals, a ProQuest portfolio company, until its sale to MAST Therapeutics in 2014. Prior to joining ProQuest, she held senior business and corporate development positions at Salmedix Inc., WomenFirst Healthcare, Prizm Pharmaceuticals (Selective Genetics Inc.), Cytel Corp., Synbiotics Corp., and Murex Corp. (Cambridge U.K.). Additionally, Ms. Johnson served as Assistant Director with the Center for Devices and Radiological Health at the U.S. Food and Drug Administration. Ms. Johnson is also presently on the Board of Directors of MorphoSys AG, a late-stage biopharmaceutical company. Ms. Johnson received an M.B.A. from Loyola University Maryland, her M.S. in Clinical Microbiology from the Hahnemann Medical School (Drexel University), and her B.S. in Microbiology from the University of Maryland. Ms. Johnson’s significant experience in pharmaceutical drug development and business development, as well as her strong background in microbiology contributed to our Board's conclusion that she should serve as a director of our company.</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Fortunato Ron Rocca </w:t>
      </w:r>
      <w:r>
        <w:rPr>
          <w:rFonts w:ascii="Arial" w:cs="Arial" w:eastAsia="Arial" w:hAnsi="Arial"/>
          <w:sz w:val="18"/>
          <w:szCs w:val="18"/>
          <w:color w:val="auto"/>
        </w:rPr>
        <w:t>has served as our President and Chief Executive Officer and as a member of the Board since December 2011.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2005 to October 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 Mr. Rocca served in senior sales and marketing management positions for Elan Pharmaceuticals, Inc., a neuroscience-focused biotechnology company and Janssen Pharmaceuticals, Inc., a pharmaceutical subsidiary of Johnson &amp; Johnson. Mr. Rocca is currently a member of the board of directors for Interpace Biosciences, Inc. Mr. Rocca received a B.S. in Marketing and Personnel Management from Towson State University. Mr. Rocca’s extensive knowledge of our business, as well as his over 25 years of experience in the diagnostic and pharmaceutical industries, contributed to our Board's conclusion that he should serve as a director of our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to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Brian Birk </w:t>
      </w:r>
      <w:r>
        <w:rPr>
          <w:rFonts w:ascii="Arial" w:cs="Arial" w:eastAsia="Arial" w:hAnsi="Arial"/>
          <w:sz w:val="18"/>
          <w:szCs w:val="18"/>
          <w:color w:val="auto"/>
        </w:rPr>
        <w:t>has served as a member of the Board since June 2008. In 2006, Mr. Birk co-founded Sun Mountain Capital, a boutique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complexity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Board's conclusion that he should serve as a director of our company.</w:t>
      </w:r>
    </w:p>
    <w:p>
      <w:pPr>
        <w:spacing w:after="0" w:line="2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Tina S. Nova, Ph.D.</w:t>
      </w:r>
      <w:r>
        <w:rPr>
          <w:rFonts w:ascii="Arial" w:cs="Arial" w:eastAsia="Arial" w:hAnsi="Arial"/>
          <w:sz w:val="18"/>
          <w:szCs w:val="18"/>
          <w:color w:val="auto"/>
        </w:rPr>
        <w:t>, has served as a member of the Board since July 2019. Dr. Nova currently serves as General Manager of Veracyte, Inc.,</w:t>
      </w:r>
      <w:r>
        <w:rPr>
          <w:rFonts w:ascii="Arial" w:cs="Arial" w:eastAsia="Arial" w:hAnsi="Arial"/>
          <w:sz w:val="18"/>
          <w:szCs w:val="18"/>
          <w:i w:val="1"/>
          <w:iCs w:val="1"/>
          <w:color w:val="auto"/>
        </w:rPr>
        <w:t xml:space="preserve"> </w:t>
      </w:r>
      <w:r>
        <w:rPr>
          <w:rFonts w:ascii="Arial" w:cs="Arial" w:eastAsia="Arial" w:hAnsi="Arial"/>
          <w:sz w:val="18"/>
          <w:szCs w:val="18"/>
          <w:color w:val="auto"/>
        </w:rPr>
        <w:t>a diagnostics company, since March 2021. Dr. Nova previously served as President and Chief Executive Officer of Decipher Biosciences, Inc. (formerly GenomeDx, Inc.), a molecular diagnostics company,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908" w:right="359" w:bottom="1440" w:gutter="0" w:footer="0" w:header="0"/>
        </w:sectPr>
      </w:pPr>
    </w:p>
    <w:bookmarkStart w:id="13" w:name="page14"/>
    <w:bookmarkEnd w:id="13"/>
    <w:p>
      <w:pPr>
        <w:ind w:right="20"/>
        <w:spacing w:after="0" w:line="251" w:lineRule="auto"/>
        <w:rPr>
          <w:sz w:val="20"/>
          <w:szCs w:val="20"/>
          <w:color w:val="auto"/>
        </w:rPr>
      </w:pPr>
      <w:r>
        <w:rPr>
          <w:rFonts w:ascii="Arial" w:cs="Arial" w:eastAsia="Arial" w:hAnsi="Arial"/>
          <w:sz w:val="18"/>
          <w:szCs w:val="18"/>
          <w:color w:val="auto"/>
        </w:rPr>
        <w:t>from August 2018 until its acquisition by Veracyte, Inc. in March 2021. Dr. Nova served as President and Chief Executive of Molecular Stethoscope, Inc., a diagnostics company from September 2015 to August 2018. Dr. Nova served as Senior Vice President and General Manager of Illumina Inc.’s oncology business unit from July 2014 to August 2015. Dr. Nova was a co-founder of Genoptix, Inc., a medical laboratory diagnostics company, and served as its President from 2000 to April 2014. Dr. Nova also served as the Chief Executive Officer of Genoptix and as a member of its board of directors from 2000 until Novartis AG acquired Genoptix in March 2011. Dr. Nova was a co-founder of Nanogen, Inc., a provider of molecular diagnostic tests, and she served as its Chief Operating Officer and President from 1994 to 2000. Dr. Nova served as Chief Operating Officer of Selective Genetics, a biotechnology company, from 1992 to 1994, and in various director-level positions with Ligand Pharmaceuticals Incorporated, a drug discovery and development company, from 1988 to 1992, most recently as Executive Director of New Leads Discovery. Dr. Nova has also held various research and management positions with Hybritech, Inc., a former subsidiary of Eli Lilly &amp; Company, a pharmaceutical company. Dr. Nova currently serves as chair of the board of directors of Arena Pharmaceuticals, Inc., a biopharmaceutical company. She formerly was on the board of OpGen, Inc., an infection prevention and treatment company, and Veracyte, a diagnostics company. Dr. Nova holds a B.S. in Biological Sciences from the University of California, Irvine and a Ph.D. in Biochemistry from the University of California, Riverside. Dr. Nova’s extensive leadership, business and scientific expertise in the biopharmaceutical and diagnostics industries, and her experience in successfully developing, launching and commercializing medical products contributed to our Board's conclusion that she should serve as a director of our company.</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Ebetuel Pallares, Ph.D.</w:t>
      </w:r>
      <w:r>
        <w:rPr>
          <w:rFonts w:ascii="Arial" w:cs="Arial" w:eastAsia="Arial" w:hAnsi="Arial"/>
          <w:sz w:val="18"/>
          <w:szCs w:val="18"/>
          <w:color w:val="auto"/>
        </w:rPr>
        <w:t>, has served as a member of the Board since October 2012. In December 2014, Dr. Pallares founded Proficio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(PCM), LLC, a seed and early-stage venture fund headquartered in El Paso, TX,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 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Board's conclusion that he should serve as a director of our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Director Not Standing for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Jeff Elliott </w:t>
      </w:r>
      <w:r>
        <w:rPr>
          <w:rFonts w:ascii="Arial" w:cs="Arial" w:eastAsia="Arial" w:hAnsi="Arial"/>
          <w:sz w:val="18"/>
          <w:szCs w:val="18"/>
          <w:color w:val="auto"/>
        </w:rPr>
        <w:t>has served as a member of the Board since March 2019. Mr. Elliott has served as Chief Financial Officer of Exact Sciences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 molecular diagnostics company, since November 2016. Prior to his appointment as Chief Financial Officer, Mr. Elliott served as the Vice President, Business Development and Strategy of Exact Sciences from June 2016 to November 2016. From 2007 to 2016, Mr. Elliott was with Robert W. Baird &amp; Co., where from June 2012 to June 2016 he was a senior research analyst who covered diagnostics and life science tools companies. Earlier in his career, Mr. Elliott worked in a supply chain role for Walgreens and as a consultant at Cap Gemini Ernst &amp; Young. Mr. Elliott earned a B.S. in business administration from the University of Illinois at Urbana-Champaign and an M.B.A. from the University of Chicago Booth School of Business. Mr. Elliott is a CFA charterholder. Mr. Elliott's term as a Class II director expires at the Annual Meeting and he is not being nominated for a new term.</w:t>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BOARD UNANIMOUSLY RECOMMENDS A VOTE FOR THE ELECTION OF THE TWO NOMINEES FOR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90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Proposal 2 - Ratification of Appointment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Audit Committee has appointed BDO USA, LLP as our independent registered public accounting firm for the fiscal year ending December 31, 2021. The Board has directed that this appointment be submitted to our stockholders for ratification. Although ratification of our appointment of BDO USA, LLP is not required, we value the opinions of our stockholders and believe that stockholder ratification of our appointment is a good corporate governance practice.</w:t>
      </w:r>
    </w:p>
    <w:p>
      <w:pPr>
        <w:spacing w:after="0" w:line="23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BDO USA, LLP also served as our independent registered public accounting firm for the fiscal years ended December 31, 2020 and 2019. Neither the accounting firm nor any of its members has any direct or indirect financial interest in or any connection with us in any capacity other than as our auditors, providing audit and non-audit services. A representative of BDO USA, LLP is expected to attend the Annual Meeting, and to have an opportunity to make a statement if they intend to do so and will be available to respond to appropriate questions from stockholders.</w:t>
      </w:r>
    </w:p>
    <w:p>
      <w:pPr>
        <w:spacing w:after="0" w:line="23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the event that the appointment of BDO USA, LLP is not ratified by the stockholders, the Audit Committee will consider this fact when it appoints the independent registered public accounting firm for the fiscal year ending December 31, 2021. Even if the appointment of BDO USA, LLP is ratified, the Audit Committee retains the discretion to appoint a different independent registered public accounting firm at any time if it determines that such a change is in the interests of the Company.</w:t>
      </w:r>
    </w:p>
    <w:p>
      <w:pPr>
        <w:spacing w:after="0" w:line="200" w:lineRule="exact"/>
        <w:rPr>
          <w:sz w:val="20"/>
          <w:szCs w:val="20"/>
          <w:color w:val="auto"/>
        </w:rPr>
      </w:pPr>
    </w:p>
    <w:p>
      <w:pPr>
        <w:spacing w:after="0" w:line="252" w:lineRule="exact"/>
        <w:rPr>
          <w:sz w:val="20"/>
          <w:szCs w:val="20"/>
          <w:color w:val="auto"/>
        </w:rPr>
      </w:pPr>
    </w:p>
    <w:p>
      <w:pPr>
        <w:jc w:val="center"/>
        <w:ind w:left="340" w:right="60"/>
        <w:spacing w:after="0" w:line="287"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BDO USA, LLP AS OUR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summarizes the fees of BDO USA, LLP, our independent registered public accounting firm, billed to us for each of the last two fiscal years for audit services and billed to us in each of the last two fiscal years for other services: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Fiscal Years Ended December 31,</w:t>
            </w:r>
          </w:p>
        </w:tc>
      </w:tr>
      <w:tr>
        <w:trPr>
          <w:trHeight w:val="18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2019</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Fees(1)</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331,819</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928,165</w:t>
            </w: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Audit-Related Fee</w:t>
            </w:r>
          </w:p>
        </w:tc>
        <w:tc>
          <w:tcPr>
            <w:tcW w:w="5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Fees(2)</w:t>
            </w:r>
          </w:p>
        </w:tc>
        <w:tc>
          <w:tcPr>
            <w:tcW w:w="5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69,987</w:t>
            </w:r>
          </w:p>
        </w:tc>
        <w:tc>
          <w:tcPr>
            <w:tcW w:w="5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10,743</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Fees</w:t>
            </w: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Fees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401,806</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938,908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firstLine="8"/>
        <w:spacing w:after="0" w:line="254"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consist of fees for the audit of our financial statements, the review of the unaudited interim financial statements included in our quarterly reports on Form 10-Q and the issuance of consents and comfort letters in connection with registration statements, including the filing of our registration statement on Form S-1 for our initial public offering. For 2019, $622,538 of the total fees were related to the filing of our registration statement on Form S-1 for our initial public offering.</w:t>
      </w:r>
    </w:p>
    <w:p>
      <w:pPr>
        <w:spacing w:after="0" w:line="95"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fees consist of fees for an Internal Revenue Code Section 382 study.</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Audit Committee has considered whether the provision of non-audit services is compatible with maintaining the independence of BDO USA, LLP, and has concluded that the provision of such services is compatible with maintaining the independence of our auditors.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Audit Committee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60"/>
          </w:cols>
          <w:pgMar w:left="320" w:top="1129" w:right="419" w:bottom="1440" w:gutter="0" w:footer="0" w:header="0"/>
        </w:sectPr>
      </w:pPr>
    </w:p>
    <w:p>
      <w:pPr>
        <w:spacing w:after="0" w:line="3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Audit Committee has established a policy that all audit and non -audit services provided by the independent registered public accounting firm will be pre-approved by the Audit Committee, including all audit services, audit related services, tax services, and all other services. The Audit Committee pre-approves the engagement of the independent registered public accounting firm and the provision of audit services and audit-related services on an annual basis and pre-approves the particular tax and all other services on a case-by-case basis and does not delegate approval to management. All of the services of BDO USA, LLP, for fiscal years ended December 31, 2020 and 2019 described above were pre-approved by the Audit Committee in accordance with this policy.</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Audit Committee considers whether the provision of each non-audit service is compatible with maintaining the independence of our auditors. Pre -approval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20" w:top="1129" w:right="4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2020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Exagen Inc. The Audit Committee also considered whether the independent registered public accounting firm’s provision of certain other non-audit related services to the Company is compatible with maintaining such firm’s independence.</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Company’s Annual Report on Form 10-K for the fiscal year ended December 31, 2020. The Audit Committee and the Board also have recommended, subject to stockholder approval, the ratification of the appointment of BDO USA, LLP as the company’s independent registered public accounting firm for 2021.</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report has been furnished by the Audit Committee.</w:t>
      </w:r>
    </w:p>
    <w:p>
      <w:pPr>
        <w:spacing w:after="0" w:line="200" w:lineRule="exact"/>
        <w:rPr>
          <w:sz w:val="20"/>
          <w:szCs w:val="20"/>
          <w:color w:val="auto"/>
        </w:rPr>
      </w:pPr>
    </w:p>
    <w:p>
      <w:pPr>
        <w:spacing w:after="0" w:line="3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Respectfully submitted,</w:t>
      </w:r>
    </w:p>
    <w:p>
      <w:pPr>
        <w:spacing w:after="0" w:line="200" w:lineRule="exact"/>
        <w:rPr>
          <w:sz w:val="20"/>
          <w:szCs w:val="20"/>
          <w:color w:val="auto"/>
        </w:rPr>
      </w:pPr>
    </w:p>
    <w:p>
      <w:pPr>
        <w:spacing w:after="0" w:line="341"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Audit Committee</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 xml:space="preserve">Jeff Elliott, </w:t>
      </w:r>
      <w:r>
        <w:rPr>
          <w:rFonts w:ascii="Arial" w:cs="Arial" w:eastAsia="Arial" w:hAnsi="Arial"/>
          <w:sz w:val="18"/>
          <w:szCs w:val="18"/>
          <w:i w:val="1"/>
          <w:iCs w:val="1"/>
          <w:color w:val="auto"/>
        </w:rPr>
        <w:t>Chair</w:t>
      </w:r>
    </w:p>
    <w:p>
      <w:pPr>
        <w:spacing w:after="0" w:line="3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Tina S. Nova, Ph.D.</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Wendy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1129"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as of April 19, 2021: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99"/>
              </w:rPr>
              <w:t>Age</w:t>
            </w:r>
          </w:p>
        </w:tc>
        <w:tc>
          <w:tcPr>
            <w:tcW w:w="340" w:type="dxa"/>
            <w:vAlign w:val="bottom"/>
            <w:tcBorders>
              <w:bottom w:val="single" w:sz="8" w:color="CCEEFF"/>
            </w:tcBorders>
          </w:tcPr>
          <w:p>
            <w:pPr>
              <w:spacing w:after="0"/>
              <w:rPr>
                <w:sz w:val="18"/>
                <w:szCs w:val="18"/>
                <w:color w:val="auto"/>
              </w:rPr>
            </w:pP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1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Fortunato Ron Rocca</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40" w:type="dxa"/>
            <w:vAlign w:val="bottom"/>
            <w:shd w:val="clear" w:color="auto" w:fill="CCEEFF"/>
          </w:tcPr>
          <w:p>
            <w:pPr>
              <w:spacing w:after="0"/>
              <w:rPr>
                <w:sz w:val="18"/>
                <w:szCs w:val="18"/>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Kamal Adawi</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Chief Financial Officer and Corporate Secretary</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Hazeltine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4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w:t>
            </w:r>
          </w:p>
        </w:tc>
      </w:tr>
      <w:tr>
        <w:trPr>
          <w:trHeight w:val="210"/>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Debra Zack, M.D., Ph.D.</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Chief Medical Officer</w:t>
            </w:r>
          </w:p>
        </w:tc>
      </w:tr>
    </w:tbl>
    <w:p>
      <w:pPr>
        <w:spacing w:after="0" w:line="3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is biographical information for our executive officers other than Mr. Rocca, whose biographical information is included under "Continuing Members of the Board of Directors".</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Kamal Adawi </w:t>
      </w:r>
      <w:r>
        <w:rPr>
          <w:rFonts w:ascii="Arial" w:cs="Arial" w:eastAsia="Arial" w:hAnsi="Arial"/>
          <w:sz w:val="18"/>
          <w:szCs w:val="18"/>
          <w:color w:val="auto"/>
        </w:rPr>
        <w:t>has served as our Chief Financial Officer since June 2017 and as our Corporate Secretary since September 2017. From 2014</w:t>
      </w:r>
      <w:r>
        <w:rPr>
          <w:rFonts w:ascii="Arial" w:cs="Arial" w:eastAsia="Arial" w:hAnsi="Arial"/>
          <w:sz w:val="18"/>
          <w:szCs w:val="18"/>
          <w:i w:val="1"/>
          <w:iCs w:val="1"/>
          <w:color w:val="auto"/>
        </w:rPr>
        <w:t xml:space="preserve"> </w:t>
      </w:r>
      <w:r>
        <w:rPr>
          <w:rFonts w:ascii="Arial" w:cs="Arial" w:eastAsia="Arial" w:hAnsi="Arial"/>
          <w:sz w:val="18"/>
          <w:szCs w:val="18"/>
          <w:color w:val="auto"/>
        </w:rPr>
        <w:t>to 2017, Mr. Adawi served as the Chief Financial Officer, Corporate Secretary and Treasurer at Pathway Genomics Corporation,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an M.S. in Finance from San Diego State University.</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Mark Hazeltine </w:t>
      </w:r>
      <w:r>
        <w:rPr>
          <w:rFonts w:ascii="Arial" w:cs="Arial" w:eastAsia="Arial" w:hAnsi="Arial"/>
          <w:sz w:val="18"/>
          <w:szCs w:val="18"/>
          <w:color w:val="auto"/>
        </w:rPr>
        <w:t>has served as our Chief Operating Officer since March 2021 and served in multiple key leadership roles including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Senior Vice President of Finance and Corporate Development, Vice President of Finance, and Senior Director of Financial Planning and Analysis since joining Exagen in March 2015. Prior to joining Exagen, from September 2010 to March 2015, Mr. Hazeltine served as Director of Financial Planning and Analysis and Director of Financial Business Processes at CareFusion, a medical technology corporation. Mr. Hazeltine also worked in multiple management roles at multinational organizations including Kyocera and Qualcomm. Mr. Hazeltine received a B.A. in Business Administration from the University of San Diego and an M.B.A. from the Marshall School of Business at the University of Southern California.</w:t>
      </w:r>
    </w:p>
    <w:p>
      <w:pPr>
        <w:spacing w:after="0" w:line="2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Debra Zack, M.D., Ph.D.</w:t>
      </w:r>
      <w:r>
        <w:rPr>
          <w:rFonts w:ascii="Arial" w:cs="Arial" w:eastAsia="Arial" w:hAnsi="Arial"/>
          <w:sz w:val="18"/>
          <w:szCs w:val="18"/>
          <w:color w:val="auto"/>
        </w:rPr>
        <w:t>, has served as Chief Medical Officer since March 2020. Dr. Zack is a board-certified rheumatologist with broad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as a strategic biopharmaceutical executive in the development of therapeutics for autoimmune disease and will oversee the overall strategy and execution of the company’s clinical development plans. She has extensive experience leading research, clinical development and medical affairs teams focusing on autoimmune disorders. Prior to joining Exagen, from July 2014 to March 2020, Dr. Zack served as Vice President, Clinical Development at Xencor, Inc.; and from January 2012 to July 2014, Executive Director, Medical Scientific Leader, Biotherapeutics Development Unit at Novartis; and various positions in basic research, clinical development and medical affairs at Amgen. She was an associate professor treating rheumatology patients for 10 years at UCLA prior to joining industry. She received her undergraduate degree from Texas Christian University and her M.D. and Ph.D. from the University of Texas Southwestern in Dallas before completing her residency and rheumatology fellowship at the UCLA School of Medicine.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Board has adopted Corporate Governance Guidelines, a Code of Conduct and Ethics and charters for our Nominating and Corporate Governance Committee, Audit Committee and Compensation Committee to assist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29" w:right="339" w:bottom="1440" w:gutter="0" w:footer="0" w:header="0"/>
        </w:sectPr>
      </w:pPr>
    </w:p>
    <w:bookmarkStart w:id="18" w:name="page19"/>
    <w:bookmarkEnd w:id="18"/>
    <w:p>
      <w:pPr>
        <w:ind w:right="260"/>
        <w:spacing w:after="0" w:line="253" w:lineRule="auto"/>
        <w:rPr>
          <w:sz w:val="20"/>
          <w:szCs w:val="20"/>
          <w:color w:val="auto"/>
        </w:rPr>
      </w:pPr>
      <w:r>
        <w:rPr>
          <w:rFonts w:ascii="Arial" w:cs="Arial" w:eastAsia="Arial" w:hAnsi="Arial"/>
          <w:sz w:val="18"/>
          <w:szCs w:val="18"/>
          <w:color w:val="auto"/>
        </w:rPr>
        <w:t>Board in the exercise of its responsibilities and to serve as a framework for the effective governance of the Company. You can access our current committee charters, our Corporate Governance Guidelines and our Code of Conduct and Ethics in the “Corporate Governance” section of the “Investors” page of our website located at www.exagen.com, or by writing to our Corporate Secretary at our offices at 1261 Liberty Way, Vista, CA 92081. Please note, however, that the information contained on the website is not incorporated by reference in, or considered part of, this proxy statement.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Board currently consists of eight members. The Board has determined that all of our current directors, other than Mr. Rocca, are independent directors in accordance with the listing requirements of the Nasdaq Global Market ("Nasdaq"). The Board has also determined that Mr. Stokes, who is nominated for election as a Class II director at the Annual Meeting, is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and director nominee that no relationships exist, which, in the opinion of the Board, would interfere with the exercise of independent judgment in carrying out the responsibilities of a director. In making these determinations, the Board reviewed and discussed information provided by the directors (and director nominee) and us with regard to each director’s or director nominee's business and personal activities and relationships as they may relate to us and our management. There are no family relationships among any of our directors, director nominees or executive officers.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and 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Nominating and Corporate Governance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will take into account many factors, including the following:</w:t>
      </w:r>
    </w:p>
    <w:p>
      <w:pPr>
        <w:spacing w:after="0" w:line="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such other factors as it may deem to be in the best interests of our company and our stockholders. The Nominating and Corporate Governance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and corporate governance committee</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908" w:right="399" w:bottom="1440" w:gutter="0" w:footer="0" w:header="0"/>
        </w:sectPr>
      </w:pPr>
    </w:p>
    <w:bookmarkStart w:id="19" w:name="page20"/>
    <w:bookmarkEnd w:id="19"/>
    <w:p>
      <w:pPr>
        <w:ind w:right="60"/>
        <w:spacing w:after="0" w:line="261" w:lineRule="auto"/>
        <w:rPr>
          <w:sz w:val="20"/>
          <w:szCs w:val="20"/>
          <w:color w:val="auto"/>
        </w:rPr>
      </w:pPr>
      <w:r>
        <w:rPr>
          <w:rFonts w:ascii="Arial" w:cs="Arial" w:eastAsia="Arial" w:hAnsi="Arial"/>
          <w:sz w:val="18"/>
          <w:szCs w:val="18"/>
          <w:color w:val="auto"/>
        </w:rPr>
        <w:t>also believes it is appropriate for our President and Chief Executive Officer to serve as a member of our Board. The Board currently includes two female members and one member who self-identifies as a member of an underrepresented community.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Evaluation of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Nominating and Corporate Governance Committee identifies nominees for director by first evaluating the current members of our Board willing to continue in service. Current members with qualifications and skills that are consistent with the Nominating and Corporate Governance Committee's criteria for board of director service and who are willing to continue in service are considered for re-nomination, balancing the value of continuity of service by existing members of our Board with that of obtaining a new perspective or expertise.</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If any member of our Board does not wish to continue in service or if our Board decides not to re-nominate a member for re-election or if the Board decides to expand the size of the board, the Nominating and Corporate Governance Committee identifies the desired skills and experience of a new nominee in light of the criteria above. The Nominating and Corporate Governance Committee generally polls our Board and members of management for their recommendations. The Nominating and Corporate Governance Committee may also review the composition and qualification of the boards of directors of our competitors and may seek input from industry experts or analysts. The Nominating and Corporate Governance Committee reviews the qualifications, experience and background of the candidates. Final candidates are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and Corporate Governance Committee makes its recommendation to our Board.</w:t>
      </w:r>
    </w:p>
    <w:p>
      <w:pPr>
        <w:spacing w:after="0" w:line="2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Nominating and Corporate Governance Committee evaluates nominees recommended by stockholders in the same manner as it evaluates other nominees. 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our Bylaws, a stockholder wishing to suggest a candidate for director should write to our Corporate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and Corporate Governance Committee sufficient time to evaluate a recommended candidate and include the candidate in our proxy statement for the 2022 annual meeting, the recommendation should be received by our Corporate Secretary at our principal executive offices in accordance with our procedures detailed in the section below entitled "Stockholder Proposals."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22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Corporate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Exagen Inc., 1261 Liberty Way, Vista, California 92081.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90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Although we do not have a formal policy regarding attendance by members of our Board at our Annual Meeting, we encourage all of our directors to attend.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 Separate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Board is currently led by its chairman, Brian Birk. The Board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provides guidance to the chief executive officer and presides over meetings of the full Board. We believe that this separation of responsibilities provides a balanced approach to managing the Board and overseeing our company.</w:t>
      </w:r>
    </w:p>
    <w:p>
      <w:pPr>
        <w:spacing w:after="0" w:line="2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by the Board of the Board’s performance. As provided in our Corporate Governance Guidelines, the Nominating and Corporate Governance Committee is responsible for establishing the evaluation criteria and implementing the process for such evaluation.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on our website located at www.exagen.com.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29" w:right="339" w:bottom="1440" w:gutter="0" w:footer="0" w:header="0"/>
        </w:sectPr>
      </w:pPr>
    </w:p>
    <w:bookmarkStart w:id="21" w:name="page22"/>
    <w:bookmarkEnd w:id="21"/>
    <w:p>
      <w:pPr>
        <w:ind w:right="600"/>
        <w:spacing w:after="0" w:line="261" w:lineRule="auto"/>
        <w:rPr>
          <w:sz w:val="20"/>
          <w:szCs w:val="20"/>
          <w:color w:val="auto"/>
        </w:rPr>
      </w:pPr>
      <w:r>
        <w:rPr>
          <w:rFonts w:ascii="Arial" w:cs="Arial" w:eastAsia="Arial" w:hAnsi="Arial"/>
          <w:sz w:val="18"/>
          <w:szCs w:val="18"/>
          <w:color w:val="auto"/>
        </w:rPr>
        <w:t>In addition, we intend to post on our website all disclosures that are required by law or the listing standards of Nasdaq concerning any amendments to, or waivers from, any provision of the code.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There were eight meetings of the Board (including telephonic meetings) during the fiscal year ended December 31, 2020. During the fiscal year ended December 31, 2020, each director attended at least 75% of the aggregate of all meetings of the Board, and each director attended as least 75% of meetings of the committees on which such director served during the period in which he or she served as a 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Board has established three standing committees—audit, compensation and nominating and corporate governance.</w:t>
      </w:r>
    </w:p>
    <w:p>
      <w:pPr>
        <w:spacing w:after="0" w:line="2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current members of each of the Board committees and committee chairs are set forth in the following chart. Following the expiration of his term as a Class II director, Mr. Elliott will no longer serve on the board of directors or as a member, and Chairperson, of the Audit Committee. If elected at the Annual Meeting, Mr. Stokes will be appointed to the Audit Committee and will serve as the Chairperson of the Audit Committee.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Director</w:t>
            </w:r>
          </w:p>
        </w:tc>
        <w:tc>
          <w:tcPr>
            <w:tcW w:w="300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Audit</w:t>
            </w:r>
          </w:p>
        </w:tc>
        <w:tc>
          <w:tcPr>
            <w:tcW w:w="22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Compensation</w:t>
            </w:r>
          </w:p>
        </w:tc>
        <w:tc>
          <w:tcPr>
            <w:tcW w:w="244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24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Birk</w:t>
            </w:r>
          </w:p>
        </w:tc>
        <w:tc>
          <w:tcPr>
            <w:tcW w:w="30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Jeff Elliott </w:t>
            </w:r>
            <w:r>
              <w:rPr>
                <w:rFonts w:ascii="Arial" w:cs="Arial" w:eastAsia="Arial" w:hAnsi="Arial"/>
                <w:sz w:val="18"/>
                <w:szCs w:val="18"/>
                <w:color w:val="auto"/>
                <w:vertAlign w:val="superscript"/>
              </w:rPr>
              <w:t>†</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w w:val="98"/>
              </w:rPr>
              <w:t>C</w:t>
            </w:r>
          </w:p>
        </w:tc>
        <w:tc>
          <w:tcPr>
            <w:tcW w:w="2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Wendy Johnson</w:t>
            </w:r>
          </w:p>
        </w:tc>
        <w:tc>
          <w:tcPr>
            <w:tcW w:w="300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Tina S. Nova, Ph.D.</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Ebetuel Pallares, Ph.D.</w:t>
            </w:r>
          </w:p>
        </w:tc>
        <w:tc>
          <w:tcPr>
            <w:tcW w:w="30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Bruce C. Robertson, Ph.D.</w:t>
            </w:r>
          </w:p>
        </w:tc>
        <w:tc>
          <w:tcPr>
            <w:tcW w:w="3000" w:type="dxa"/>
            <w:vAlign w:val="bottom"/>
          </w:tcPr>
          <w:p>
            <w:pPr>
              <w:spacing w:after="0"/>
              <w:rPr>
                <w:sz w:val="16"/>
                <w:szCs w:val="16"/>
                <w:color w:val="auto"/>
              </w:rPr>
            </w:pPr>
          </w:p>
        </w:tc>
        <w:tc>
          <w:tcPr>
            <w:tcW w:w="2200" w:type="dxa"/>
            <w:vAlign w:val="bottom"/>
          </w:tcPr>
          <w:p>
            <w:pPr>
              <w:jc w:val="center"/>
              <w:ind w:left="288"/>
              <w:spacing w:after="0"/>
              <w:rPr>
                <w:sz w:val="20"/>
                <w:szCs w:val="20"/>
                <w:color w:val="auto"/>
              </w:rPr>
            </w:pPr>
            <w:r>
              <w:rPr>
                <w:rFonts w:ascii="Arial" w:cs="Arial" w:eastAsia="Arial" w:hAnsi="Arial"/>
                <w:sz w:val="14"/>
                <w:szCs w:val="14"/>
                <w:color w:val="auto"/>
              </w:rPr>
              <w:t>C</w:t>
            </w:r>
          </w:p>
        </w:tc>
        <w:tc>
          <w:tcPr>
            <w:tcW w:w="2440" w:type="dxa"/>
            <w:vAlign w:val="bottom"/>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James L.L. Tullis</w:t>
            </w:r>
          </w:p>
        </w:tc>
        <w:tc>
          <w:tcPr>
            <w:tcW w:w="3000" w:type="dxa"/>
            <w:vAlign w:val="bottom"/>
            <w:shd w:val="clear" w:color="auto" w:fill="CCEEFF"/>
          </w:tcPr>
          <w:p>
            <w:pPr>
              <w:spacing w:after="0"/>
              <w:rPr>
                <w:sz w:val="16"/>
                <w:szCs w:val="16"/>
                <w:color w:val="auto"/>
              </w:rPr>
            </w:pPr>
          </w:p>
        </w:tc>
        <w:tc>
          <w:tcPr>
            <w:tcW w:w="22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Committee Chairperson</w:t>
      </w:r>
    </w:p>
    <w:p>
      <w:pPr>
        <w:spacing w:after="0"/>
        <w:rPr>
          <w:rFonts w:ascii="Arial" w:cs="Arial" w:eastAsia="Arial" w:hAnsi="Arial"/>
          <w:sz w:val="12"/>
          <w:szCs w:val="12"/>
          <w:color w:val="auto"/>
        </w:rPr>
      </w:pPr>
      <w:r>
        <w:rPr>
          <w:rFonts w:ascii="Arial" w:cs="Arial" w:eastAsia="Arial" w:hAnsi="Arial"/>
          <w:sz w:val="12"/>
          <w:szCs w:val="12"/>
          <w:color w:val="auto"/>
        </w:rPr>
        <w:t>†  Financial Expert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1"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17"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89"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51" w:right="339" w:bottom="1440" w:gutter="0" w:footer="0" w:header="0"/>
        </w:sectPr>
      </w:pPr>
    </w:p>
    <w:bookmarkStart w:id="22" w:name="page23"/>
    <w:bookmarkEnd w:id="22"/>
    <w:p>
      <w:pPr>
        <w:ind w:left="660" w:righ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the Board any changes to such investment policy;</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 and</w:t>
      </w:r>
    </w:p>
    <w:p>
      <w:pPr>
        <w:spacing w:after="0" w:line="89"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members of our Audit Committee are Mr. Elliott, Ms. Johnson and Dr. Nova. Mr. Elliott currently serves as the Chairperson of the Audit Committee. Mr. Elliott will continue to serve on the Audit Committee and as Chairperson of the Audit Committee through June 17, 2021, the date of the Annual Meeting, at which point, if elected at the Annual Meeting, Mr. Stokes will be appointed to the Audit Committee to replace Mr. Elliott, and Mr. Stokes will serve as the Chairperson of the Audit Committee. All members, of our Audit Committee, including Mr. Stokes, meet the requirements for financial literacy under the applicable rules and regulations of the SEC and Nasdaq. The Board has determined that each of Mr. Elliott and Mr. Stokes is an “audit committee financial expert” as defined by applicable SEC rules and has the requisite financial sophistication as defined under the applicable Nasdaq rules and regulations. The Board has determined each of Mr. Elliott, Ms. Johnson, Dr. Nova and Mr. Stokes are independent under the applicable rules of the SEC and Nasdaq. The Audit Committee operates under a written charter that satisfies the applicable standards of the SEC and Nasdaq, which the Audit Committee will review and evaluate at least annually. The Audit Committee met four times during 2020.</w:t>
      </w:r>
    </w:p>
    <w:p>
      <w:pPr>
        <w:spacing w:after="0" w:line="2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Both our external auditor and internal financial personnel meet privately with the Audit Committee and have unrestricted access to this committee.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the issuance of stock options and other awards under our equity plan.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in carrying out its responsibilities. In 2020, the Compensation Committee engaged FW Cook, an independent compensation consultant, to assist in making decisions regarding the amount and types of compensation to provide our executives and non-employee directors. As part of this process, the Compensation Committee reviewed a compensation assessment provided by FW Cook comparing our compensation to that of a group of peer companies within our industry and met with FW Cook to discuss our executive and non-employee director compensation to receive input and advice. FW Cook reported directly to the Compensation Committee.</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members of our compensation committee are Dr. Robertson, Dr. Nova and Mr. Tullis. Dr. Robertson serves as the Chairperson of the committee. Our Board has determined that each member of this committee is independent under the applicable rules and regulations of Nasdaq and is a “non-employee director” as defined in Rule 16b-3 promulgated under the Exchange Act. The Compensation Committee did not meet during 2020.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01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Nominating and Corporate Governance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our corporate governance policies, reporting and making recommendations to the Board concerning governance matters and oversight of the evaluation of the Board. The members of our Nominating and Corporate Governance Committee are Mr. Birk, Dr. Pallares and Dr. Robertson. Mr. Birk serves as the Chairperson of the committee. The Board has determined that each member of this committee is independent under the applicable rules and regulations of Nasdaq relating to Nominating and Corporate Governance Committee independence. The Nominating and Corporate Governance Committee operates under a written charter, which the Nominating and Corporate Governance Committee will review and evaluate at least annually. The Nominating and Corporate Governance Committee did not meet during 2020.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27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committed to conducting business in a way that considers our environment and the Earth's changing climate, and that is also consistent with providing a high state of wellness and success for our employees and stakeholders. To date, we have incorporated environmentally sustainable practices into certain of our facilities and operations, and we plan to invest in more of these practices as we continue to grow. Per our commitment to reduce resource consumption by practicing efficient use of energy, we are looking into various resource-efficient technologies at our facility, including; high efficiency light fixtures, energy recovery from lab ventilation, and energy efficient chillers. Additionally, as part of our ongoing efforts to reduce all types of waste, we have implemented or are in the process of implementing the following initiatives; switching to reusable utensils to avoid single use, recycling styrofoam from trial samples to reduce landfill waste, recycling lab gloves, and using compostable dishware where single use cannot be avoided. Our approach is to foster growth and longevity and to create long-term value by considering every dimension of how we operate — ethical, economic, and environmental. Through this plan, we strive to contribute to bettering our world by making a positive impact on people and the planet.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2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recognize that our employees are critical to our mandate to provide accurate, timely and differential diagnosis for patients suffering from autoimmune and autoimmune-related diseases. That makes our employees both our most valuable asset and our most important investment. The success of our organization is reliant upon each individual's significant contribution to our corporate culture and goals in line with our core company values of:</w:t>
      </w:r>
    </w:p>
    <w:p>
      <w:pPr>
        <w:spacing w:after="0" w:line="4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the right thing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Apply professional and ethical integrity in all that we do, accepting accountability for our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Focus on results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Pursue unequivocal excellence as we contribute and collaborate in order to meet or exceed our goals.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our passion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Embody a bias for action to improve the lives of the patients we serve.</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understand that our future depends upon the attraction, retention, and engagement of a talented, diverse, and committed team that can thrive and innovate in a supportive and safe environment. Our efforts to ensure this occurs across the company including offering competitive compensation and benefits packages, ongoing training and development, commitment to the safety and health of our employees, and support for our employees during the unprecedented global circumstances that began in 2020. For example, we engaged six members of our management team in a committee to determine how best to address the COVID-19 pandemic, including appropriate measures for employees while on site, modified work schedules, personal protective equipment resources, and contact tracing.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29" w:right="339" w:bottom="1440" w:gutter="0" w:footer="0" w:header="0"/>
        </w:sectPr>
      </w:pPr>
    </w:p>
    <w:bookmarkStart w:id="24" w:name="page25"/>
    <w:bookmarkEnd w:id="24"/>
    <w:p>
      <w:pPr>
        <w:ind w:right="20"/>
        <w:spacing w:after="0" w:line="254" w:lineRule="auto"/>
        <w:rPr>
          <w:sz w:val="20"/>
          <w:szCs w:val="20"/>
          <w:color w:val="auto"/>
        </w:rPr>
      </w:pPr>
      <w:r>
        <w:rPr>
          <w:rFonts w:ascii="Arial" w:cs="Arial" w:eastAsia="Arial" w:hAnsi="Arial"/>
          <w:sz w:val="18"/>
          <w:szCs w:val="18"/>
          <w:color w:val="auto"/>
        </w:rPr>
        <w:t>Diversity is one of our company's core values, and we believe in creating an inclusive and equitable environment that represents a broad spectrum of backgrounds and cultures. As of December 31, 2020, women made up 55% of the total number of employees (full-time and part-time). Additionally, as of December 31, 2020, women make up 43% of our executive leadership team defined as position levels senior vice president and above.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our named executive officers during the year ended December 31, 2020, who were:</w:t>
      </w:r>
    </w:p>
    <w:p>
      <w:pPr>
        <w:spacing w:after="0" w:line="90" w:lineRule="exact"/>
        <w:rPr>
          <w:sz w:val="20"/>
          <w:szCs w:val="20"/>
          <w:color w:val="auto"/>
        </w:rPr>
      </w:pPr>
    </w:p>
    <w:p>
      <w:pPr>
        <w:ind w:left="1300" w:hanging="52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Fortunato Ron Rocca, President and Chief Executive Officer;</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Kamal Adawi, Chief Financial Officer and Corporate Secretary; and</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Debra Zack, M.D., Ph.D., Chief Medical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for services rendered during the years ended December 31, 2020 and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Option</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Non-Equity Incentive</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 Other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vMerge w:val="restart"/>
          </w:tcPr>
          <w:p>
            <w:pPr>
              <w:spacing w:after="0"/>
              <w:rPr>
                <w:sz w:val="11"/>
                <w:szCs w:val="11"/>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Year</w:t>
            </w:r>
          </w:p>
        </w:tc>
        <w:tc>
          <w:tcPr>
            <w:tcW w:w="200" w:type="dxa"/>
            <w:vAlign w:val="bottom"/>
            <w:vMerge w:val="restart"/>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Salary ($)(1)</w:t>
            </w:r>
          </w:p>
        </w:tc>
        <w:tc>
          <w:tcPr>
            <w:tcW w:w="200" w:type="dxa"/>
            <w:vAlign w:val="bottom"/>
            <w:vMerge w:val="restart"/>
          </w:tcPr>
          <w:p>
            <w:pPr>
              <w:spacing w:after="0"/>
              <w:rPr>
                <w:sz w:val="11"/>
                <w:szCs w:val="11"/>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Bonus ($)</w:t>
            </w:r>
          </w:p>
        </w:tc>
        <w:tc>
          <w:tcPr>
            <w:tcW w:w="220" w:type="dxa"/>
            <w:vAlign w:val="bottom"/>
            <w:vMerge w:val="restart"/>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Plan Compensation</w:t>
            </w:r>
          </w:p>
        </w:tc>
        <w:tc>
          <w:tcPr>
            <w:tcW w:w="16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Compensation ($)</w:t>
            </w:r>
          </w:p>
        </w:tc>
        <w:tc>
          <w:tcPr>
            <w:tcW w:w="11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22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w:t>
            </w:r>
          </w:p>
        </w:tc>
        <w:tc>
          <w:tcPr>
            <w:tcW w:w="2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499,733</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1,742,603</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566,799</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8,550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2,817,685</w:t>
            </w:r>
          </w:p>
        </w:tc>
        <w:tc>
          <w:tcPr>
            <w:tcW w:w="0" w:type="dxa"/>
            <w:vAlign w:val="bottom"/>
          </w:tcPr>
          <w:p>
            <w:pPr>
              <w:spacing w:after="0"/>
              <w:rPr>
                <w:sz w:val="1"/>
                <w:szCs w:val="1"/>
                <w:color w:val="auto"/>
              </w:rPr>
            </w:pPr>
          </w:p>
        </w:tc>
      </w:tr>
      <w:tr>
        <w:trPr>
          <w:trHeight w:val="149"/>
        </w:trPr>
        <w:tc>
          <w:tcPr>
            <w:tcW w:w="250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President and Chief Executive</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358,195</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73,875</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1,082,039</w:t>
            </w:r>
          </w:p>
        </w:tc>
        <w:tc>
          <w:tcPr>
            <w:tcW w:w="2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105,216</w:t>
            </w:r>
          </w:p>
        </w:tc>
        <w:tc>
          <w:tcPr>
            <w:tcW w:w="200" w:type="dxa"/>
            <w:vAlign w:val="bottom"/>
          </w:tcPr>
          <w:p>
            <w:pPr>
              <w:spacing w:after="0"/>
              <w:rPr>
                <w:sz w:val="12"/>
                <w:szCs w:val="12"/>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8,400</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1,627,725</w:t>
            </w:r>
          </w:p>
        </w:tc>
        <w:tc>
          <w:tcPr>
            <w:tcW w:w="0" w:type="dxa"/>
            <w:vAlign w:val="bottom"/>
          </w:tcPr>
          <w:p>
            <w:pPr>
              <w:spacing w:after="0"/>
              <w:rPr>
                <w:sz w:val="1"/>
                <w:szCs w:val="1"/>
                <w:color w:val="auto"/>
              </w:rPr>
            </w:pPr>
          </w:p>
        </w:tc>
      </w:tr>
      <w:tr>
        <w:trPr>
          <w:trHeight w:val="175"/>
        </w:trPr>
        <w:tc>
          <w:tcPr>
            <w:tcW w:w="2500" w:type="dxa"/>
            <w:vAlign w:val="bottom"/>
            <w:gridSpan w:val="2"/>
          </w:tcPr>
          <w:p>
            <w:pPr>
              <w:ind w:left="140"/>
              <w:spacing w:after="0"/>
              <w:rPr>
                <w:sz w:val="20"/>
                <w:szCs w:val="20"/>
                <w:color w:val="auto"/>
              </w:rPr>
            </w:pPr>
            <w:r>
              <w:rPr>
                <w:rFonts w:ascii="Arial" w:cs="Arial" w:eastAsia="Arial" w:hAnsi="Arial"/>
                <w:sz w:val="14"/>
                <w:szCs w:val="14"/>
                <w:i w:val="1"/>
                <w:iCs w:val="1"/>
                <w:color w:val="auto"/>
              </w:rPr>
              <w:t>Officer</w:t>
            </w: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Kamal Adawi</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381,170</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590,237</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230,580</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8,550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1,210,537</w:t>
            </w:r>
          </w:p>
        </w:tc>
        <w:tc>
          <w:tcPr>
            <w:tcW w:w="0" w:type="dxa"/>
            <w:vAlign w:val="bottom"/>
          </w:tcPr>
          <w:p>
            <w:pPr>
              <w:spacing w:after="0"/>
              <w:rPr>
                <w:sz w:val="1"/>
                <w:szCs w:val="1"/>
                <w:color w:val="auto"/>
              </w:rPr>
            </w:pPr>
          </w:p>
        </w:tc>
      </w:tr>
      <w:tr>
        <w:trPr>
          <w:trHeight w:val="149"/>
        </w:trPr>
        <w:tc>
          <w:tcPr>
            <w:tcW w:w="250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Chief Financial Officer and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278,110</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28,679</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168,831</w:t>
            </w:r>
          </w:p>
        </w:tc>
        <w:tc>
          <w:tcPr>
            <w:tcW w:w="2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40,846</w:t>
            </w:r>
          </w:p>
        </w:tc>
        <w:tc>
          <w:tcPr>
            <w:tcW w:w="200" w:type="dxa"/>
            <w:vAlign w:val="bottom"/>
          </w:tcPr>
          <w:p>
            <w:pPr>
              <w:spacing w:after="0"/>
              <w:rPr>
                <w:sz w:val="12"/>
                <w:szCs w:val="12"/>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8,400</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524,866</w:t>
            </w:r>
          </w:p>
        </w:tc>
        <w:tc>
          <w:tcPr>
            <w:tcW w:w="0" w:type="dxa"/>
            <w:vAlign w:val="bottom"/>
          </w:tcPr>
          <w:p>
            <w:pPr>
              <w:spacing w:after="0"/>
              <w:rPr>
                <w:sz w:val="1"/>
                <w:szCs w:val="1"/>
                <w:color w:val="auto"/>
              </w:rPr>
            </w:pPr>
          </w:p>
        </w:tc>
      </w:tr>
      <w:tr>
        <w:trPr>
          <w:trHeight w:val="175"/>
        </w:trPr>
        <w:tc>
          <w:tcPr>
            <w:tcW w:w="2500" w:type="dxa"/>
            <w:vAlign w:val="bottom"/>
            <w:gridSpan w:val="2"/>
          </w:tcPr>
          <w:p>
            <w:pPr>
              <w:ind w:left="140"/>
              <w:spacing w:after="0"/>
              <w:rPr>
                <w:sz w:val="20"/>
                <w:szCs w:val="20"/>
                <w:color w:val="auto"/>
              </w:rPr>
            </w:pPr>
            <w:r>
              <w:rPr>
                <w:rFonts w:ascii="Arial" w:cs="Arial" w:eastAsia="Arial" w:hAnsi="Arial"/>
                <w:sz w:val="14"/>
                <w:szCs w:val="14"/>
                <w:i w:val="1"/>
                <w:iCs w:val="1"/>
                <w:color w:val="auto"/>
              </w:rPr>
              <w:t>Corporate Secretary</w:t>
            </w: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Debra Zack, M.D., Ph.D.(5)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296,692</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633,440</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185,617</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6,533</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1,122,282</w:t>
            </w:r>
          </w:p>
        </w:tc>
        <w:tc>
          <w:tcPr>
            <w:tcW w:w="0" w:type="dxa"/>
            <w:vAlign w:val="bottom"/>
          </w:tcPr>
          <w:p>
            <w:pPr>
              <w:spacing w:after="0"/>
              <w:rPr>
                <w:sz w:val="1"/>
                <w:szCs w:val="1"/>
                <w:color w:val="auto"/>
              </w:rPr>
            </w:pPr>
          </w:p>
        </w:tc>
      </w:tr>
      <w:tr>
        <w:trPr>
          <w:trHeight w:val="191"/>
        </w:trPr>
        <w:tc>
          <w:tcPr>
            <w:tcW w:w="250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Medical Officer</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1830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60" w:right="200" w:hanging="534"/>
        <w:spacing w:after="0" w:line="232"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for 2020 for Messrs. Rocca and Adawi include the payout of accrued vacation in connection with a change in the company's paid-time-off policy ($21,079 for Mr. Rocca and $13,363 for Mr. Adawi).</w:t>
      </w:r>
    </w:p>
    <w:p>
      <w:pPr>
        <w:spacing w:after="0" w:line="170" w:lineRule="exact"/>
        <w:rPr>
          <w:rFonts w:ascii="Arial" w:cs="Arial" w:eastAsia="Arial" w:hAnsi="Arial"/>
          <w:sz w:val="16"/>
          <w:szCs w:val="16"/>
          <w:color w:val="auto"/>
        </w:rPr>
      </w:pPr>
    </w:p>
    <w:p>
      <w:pPr>
        <w:ind w:left="560" w:right="160" w:hanging="534"/>
        <w:spacing w:after="0" w:line="219"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Amounts for 2020 reflect the aggregate grant date fair value of stock options granted in 2020. Each option grant has been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2 and Note 9 to our audited financial statements in our Annual Report on Form 10-K for the year ended December 31, 2020.</w:t>
      </w:r>
    </w:p>
    <w:p>
      <w:pPr>
        <w:spacing w:after="0" w:line="173" w:lineRule="exact"/>
        <w:rPr>
          <w:rFonts w:ascii="Arial" w:cs="Arial" w:eastAsia="Arial" w:hAnsi="Arial"/>
          <w:sz w:val="16"/>
          <w:szCs w:val="16"/>
          <w:color w:val="auto"/>
        </w:rPr>
      </w:pPr>
    </w:p>
    <w:p>
      <w:pPr>
        <w:ind w:left="560" w:right="160" w:hanging="534"/>
        <w:spacing w:after="0" w:line="232"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for 2020 represent the non-discretionary portion of cash bonuses paid in January 2021 with respect to 2020 corporate performance under the bonus plan. Amount for Dr. Zack was prorated to reflect her partial year of service for 2020. For additional information, see -"Bonus", below.</w:t>
      </w:r>
    </w:p>
    <w:p>
      <w:pPr>
        <w:spacing w:after="0" w:line="170" w:lineRule="exact"/>
        <w:rPr>
          <w:rFonts w:ascii="Arial" w:cs="Arial" w:eastAsia="Arial" w:hAnsi="Arial"/>
          <w:sz w:val="16"/>
          <w:szCs w:val="16"/>
          <w:color w:val="auto"/>
        </w:rPr>
      </w:pPr>
    </w:p>
    <w:p>
      <w:pPr>
        <w:ind w:left="560" w:hanging="534"/>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employer matching contributions under our 401(k) plan on behalf of each named executive officer.</w:t>
      </w:r>
    </w:p>
    <w:p>
      <w:pPr>
        <w:spacing w:after="0" w:line="180" w:lineRule="exact"/>
        <w:rPr>
          <w:rFonts w:ascii="Arial" w:cs="Arial" w:eastAsia="Arial" w:hAnsi="Arial"/>
          <w:sz w:val="16"/>
          <w:szCs w:val="16"/>
          <w:color w:val="auto"/>
        </w:rPr>
      </w:pPr>
    </w:p>
    <w:p>
      <w:pPr>
        <w:ind w:left="560" w:right="380" w:hanging="534"/>
        <w:spacing w:after="0" w:line="232"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 Zack became our Chief Medical Officer on March 24, 2020; therefore, certain amounts for Dr. Zack, such as base salary and bonus, reflect a partial year of service.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5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7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January 2020, the Board, upon recommendation of the Compensation Committee, approved base salary increases for each of Messrs. Rocca and Adawi. In determining to increase their base salaries, the Board reviewed information provided by FW Cook regarding the Company’s peer group (which was established in consultation with FW Cook as part of the Compensation Committee’s review of the Company’s 2020 compensation program), which indicated that the executives’ total cash compensation opportunity was below the median compared to executives in comparable positions at the Company's peers; therefore, the Board approved these increases in an effort to begin to align the executives' base salaries with the annual base salaries for executives in comparable positions. The 2020 base salaries are $475,000 and $365,000 for Messrs. Rocca and Adawi, respectively. Pursuant to Dr. Zack's offer letter, effective upon Dr. Zack's commencement of employment on March 24, 2020, Dr. Zack's annual base salary was $380,000.</w:t>
      </w:r>
    </w:p>
    <w:p>
      <w:pPr>
        <w:spacing w:after="0" w:line="23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February 2021, the Compensation Committee approved base salary increases for each of Messrs. Rocca and Adawi and Dr. Zack. The 2021 base salaries are $550,000, $375,950 and $391,400 for Messrs. Rocca and Adawi and Dr. Zack, respectively.</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expect that base salaries for the named executive officers will continue to be reviewed periodically by our Compensation Committee, with adjustments expected to be made generally in accordance with the considerations described above and to maintain base salaries at competitive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Bonuses</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named executive officers are eligible to earn cash bonuses based on corporate and individual performance measures for the applicable year which, at the discretion of the Compensation Committee, may be further adjusted based on the individual performances of each named executive officer. For 2020, Mr. Rocca was eligible to receive a target bonus of up to 85% of his base salary and Mr. Adawi and Dr. Zack were eligible to receive a target bonus of up to 45% of their respective base salaries.</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2020, annual bonus payments were based in part on the achievement of pre-established objective performance goals, including revenue, EBITDA, COVID-19 recovery and science metrics, weighted 50%, 30%, 10% and 10%, respectively, of each executive's bonus opportunity. The science metrics goals included publication and abstract goals. The COVID-19 recovery goals included management's continued response to the COVID-19 pandemic, as evaluated by the Board and Compensation Committee in their discretion. Award opportunities for revenue and EBITDA goals were established at threshold, target and maximum levels with intermediate inflections between threshold and target as well as between target and maximum. Achievement at or above maximum for revenue and EBITDA goals was capped at 150% of target, while funding for achievement of the science metric and COVID-19 recovery goals were capped at 100% of target. Straight-line interpolation is used to calculate the 2020 bonus payouts associated with actual results falling between goals. The goals were set at levels that were expected to be challenging but achievable at the outset of the year.</w:t>
      </w:r>
    </w:p>
    <w:p>
      <w:pPr>
        <w:spacing w:after="0" w:line="23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2020, our actual revenue achieved was 150% of the revenue target goal, and our actual EBITDA achieved was 150% of the EBITDA target goal. We also achieved our science metrics and COVID-19 recovery goals at 100% of target.</w:t>
      </w:r>
    </w:p>
    <w:p>
      <w:pPr>
        <w:spacing w:after="0" w:line="22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presents the possible threshold, target and maximum bonus payouts, as well as the actual bonus amounts earned for each named executive officer for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7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Potential Threshold</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Potential Target</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Potential</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Actual Bonus</w:t>
            </w:r>
          </w:p>
        </w:tc>
        <w:tc>
          <w:tcPr>
            <w:tcW w:w="1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 bonus paid % of</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1"/>
                <w:szCs w:val="11"/>
                <w:color w:val="auto"/>
              </w:rPr>
            </w:pPr>
          </w:p>
        </w:tc>
        <w:tc>
          <w:tcPr>
            <w:tcW w:w="11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Salary ($)</w:t>
            </w:r>
          </w:p>
        </w:tc>
        <w:tc>
          <w:tcPr>
            <w:tcW w:w="200" w:type="dxa"/>
            <w:vAlign w:val="bottom"/>
            <w:vMerge w:val="restart"/>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Maximum Bonus</w:t>
            </w:r>
          </w:p>
        </w:tc>
        <w:tc>
          <w:tcPr>
            <w:tcW w:w="134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Bonus ($)</w:t>
            </w: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Bonus ($)</w:t>
            </w: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Paid ($)</w:t>
            </w:r>
          </w:p>
        </w:tc>
        <w:tc>
          <w:tcPr>
            <w:tcW w:w="2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Target Bonus</w:t>
            </w:r>
          </w:p>
        </w:tc>
        <w:tc>
          <w:tcPr>
            <w:tcW w:w="0" w:type="dxa"/>
            <w:vAlign w:val="bottom"/>
          </w:tcPr>
          <w:p>
            <w:pPr>
              <w:spacing w:after="0"/>
              <w:rPr>
                <w:sz w:val="1"/>
                <w:szCs w:val="1"/>
                <w:color w:val="auto"/>
              </w:rPr>
            </w:pPr>
          </w:p>
        </w:tc>
      </w:tr>
      <w:tr>
        <w:trPr>
          <w:trHeight w:val="183"/>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475,000</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242,914</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404,856</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566,799</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566,799</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189"/>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Kamal Adawi</w:t>
            </w:r>
          </w:p>
        </w:tc>
        <w:tc>
          <w:tcPr>
            <w:tcW w:w="1160" w:type="dxa"/>
            <w:vAlign w:val="bottom"/>
          </w:tcPr>
          <w:p>
            <w:pPr>
              <w:jc w:val="right"/>
              <w:spacing w:after="0"/>
              <w:rPr>
                <w:sz w:val="20"/>
                <w:szCs w:val="20"/>
                <w:color w:val="auto"/>
              </w:rPr>
            </w:pPr>
            <w:r>
              <w:rPr>
                <w:rFonts w:ascii="Arial" w:cs="Arial" w:eastAsia="Arial" w:hAnsi="Arial"/>
                <w:sz w:val="14"/>
                <w:szCs w:val="14"/>
                <w:color w:val="auto"/>
              </w:rPr>
              <w:t>365,000</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98,820</w:t>
            </w:r>
          </w:p>
        </w:tc>
        <w:tc>
          <w:tcPr>
            <w:tcW w:w="2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164,700</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230,580</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230,580</w:t>
            </w: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380,000</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102,881</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171,468</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240,056</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185,617</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1830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right="360" w:hanging="534"/>
        <w:spacing w:after="0" w:line="23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Zack's 2020 bonus was awarded to 140% of her target bonus opportunity and prorated to reflect her partial year of service in connection with her commencement of employment on March 24, 2020.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award stock options to our employees, including our named executive officers,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the fair market value of our common stock as of the applicable grant date. Generally, the stock options we grant vest as to 25% of the total number of option shares on the first anniversary of the date of grant and in equal monthly installments over the ensuing 36 months, subject to the employee’s continued service with us on the vesting date.</w:t>
      </w:r>
    </w:p>
    <w:p>
      <w:pPr>
        <w:spacing w:after="0" w:line="2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sets forth the number of options granted to our named executive officers in 2020. Each stock option vests in accordance with our typical vesting schedule described above.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500" w:type="dxa"/>
            <w:vAlign w:val="bottom"/>
          </w:tcPr>
          <w:p>
            <w:pPr>
              <w:jc w:val="center"/>
              <w:ind w:left="2328"/>
              <w:spacing w:after="0"/>
              <w:rPr>
                <w:sz w:val="20"/>
                <w:szCs w:val="20"/>
                <w:color w:val="auto"/>
              </w:rPr>
            </w:pPr>
            <w:r>
              <w:rPr>
                <w:rFonts w:ascii="Arial" w:cs="Arial" w:eastAsia="Arial" w:hAnsi="Arial"/>
                <w:sz w:val="14"/>
                <w:szCs w:val="14"/>
                <w:b w:val="1"/>
                <w:bCs w:val="1"/>
                <w:color w:val="auto"/>
              </w:rPr>
              <w:t>Grant Date</w:t>
            </w:r>
          </w:p>
        </w:tc>
        <w:tc>
          <w:tcPr>
            <w:tcW w:w="1780" w:type="dxa"/>
            <w:vAlign w:val="bottom"/>
          </w:tcPr>
          <w:p>
            <w:pPr>
              <w:ind w:left="200"/>
              <w:spacing w:after="0"/>
              <w:rPr>
                <w:sz w:val="20"/>
                <w:szCs w:val="20"/>
                <w:color w:val="auto"/>
              </w:rPr>
            </w:pPr>
            <w:r>
              <w:rPr>
                <w:rFonts w:ascii="Arial" w:cs="Arial" w:eastAsia="Arial" w:hAnsi="Arial"/>
                <w:sz w:val="14"/>
                <w:szCs w:val="14"/>
                <w:b w:val="1"/>
                <w:bCs w:val="1"/>
                <w:color w:val="auto"/>
              </w:rPr>
              <w:t>Number of Options (#)</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Option Exercise Price ($)</w:t>
            </w: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3500" w:type="dxa"/>
            <w:vAlign w:val="bottom"/>
            <w:shd w:val="clear" w:color="auto" w:fill="CCEEFF"/>
          </w:tcPr>
          <w:p>
            <w:pPr>
              <w:jc w:val="center"/>
              <w:ind w:left="2308"/>
              <w:spacing w:after="0"/>
              <w:rPr>
                <w:sz w:val="20"/>
                <w:szCs w:val="20"/>
                <w:color w:val="auto"/>
              </w:rPr>
            </w:pPr>
            <w:r>
              <w:rPr>
                <w:rFonts w:ascii="Arial" w:cs="Arial" w:eastAsia="Arial" w:hAnsi="Arial"/>
                <w:sz w:val="14"/>
                <w:szCs w:val="14"/>
                <w:color w:val="auto"/>
              </w:rPr>
              <w:t>1/09/2020</w:t>
            </w:r>
          </w:p>
        </w:tc>
        <w:tc>
          <w:tcPr>
            <w:tcW w:w="1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155,000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$24.19</w:t>
            </w:r>
          </w:p>
        </w:tc>
      </w:tr>
      <w:tr>
        <w:trPr>
          <w:trHeight w:val="189"/>
        </w:trPr>
        <w:tc>
          <w:tcPr>
            <w:tcW w:w="4160" w:type="dxa"/>
            <w:vAlign w:val="bottom"/>
          </w:tcPr>
          <w:p>
            <w:pPr>
              <w:ind w:left="20"/>
              <w:spacing w:after="0"/>
              <w:rPr>
                <w:sz w:val="20"/>
                <w:szCs w:val="20"/>
                <w:color w:val="auto"/>
              </w:rPr>
            </w:pPr>
            <w:r>
              <w:rPr>
                <w:rFonts w:ascii="Arial" w:cs="Arial" w:eastAsia="Arial" w:hAnsi="Arial"/>
                <w:sz w:val="14"/>
                <w:szCs w:val="14"/>
                <w:color w:val="auto"/>
              </w:rPr>
              <w:t>Kamal Adawi</w:t>
            </w:r>
          </w:p>
        </w:tc>
        <w:tc>
          <w:tcPr>
            <w:tcW w:w="3500" w:type="dxa"/>
            <w:vAlign w:val="bottom"/>
          </w:tcPr>
          <w:p>
            <w:pPr>
              <w:jc w:val="center"/>
              <w:ind w:left="2308"/>
              <w:spacing w:after="0"/>
              <w:rPr>
                <w:sz w:val="20"/>
                <w:szCs w:val="20"/>
                <w:color w:val="auto"/>
              </w:rPr>
            </w:pPr>
            <w:r>
              <w:rPr>
                <w:rFonts w:ascii="Arial" w:cs="Arial" w:eastAsia="Arial" w:hAnsi="Arial"/>
                <w:sz w:val="14"/>
                <w:szCs w:val="14"/>
                <w:color w:val="auto"/>
              </w:rPr>
              <w:t>1/09/2020</w:t>
            </w:r>
          </w:p>
        </w:tc>
        <w:tc>
          <w:tcPr>
            <w:tcW w:w="1780" w:type="dxa"/>
            <w:vAlign w:val="bottom"/>
          </w:tcPr>
          <w:p>
            <w:pPr>
              <w:jc w:val="center"/>
              <w:ind w:left="68"/>
              <w:spacing w:after="0"/>
              <w:rPr>
                <w:sz w:val="20"/>
                <w:szCs w:val="20"/>
                <w:color w:val="auto"/>
              </w:rPr>
            </w:pPr>
            <w:r>
              <w:rPr>
                <w:rFonts w:ascii="Arial" w:cs="Arial" w:eastAsia="Arial" w:hAnsi="Arial"/>
                <w:sz w:val="14"/>
                <w:szCs w:val="14"/>
                <w:color w:val="auto"/>
              </w:rPr>
              <w:t>52,500</w:t>
            </w:r>
          </w:p>
        </w:tc>
        <w:tc>
          <w:tcPr>
            <w:tcW w:w="1800" w:type="dxa"/>
            <w:vAlign w:val="bottom"/>
          </w:tcPr>
          <w:p>
            <w:pPr>
              <w:jc w:val="center"/>
              <w:spacing w:after="0"/>
              <w:rPr>
                <w:sz w:val="20"/>
                <w:szCs w:val="20"/>
                <w:color w:val="auto"/>
              </w:rPr>
            </w:pPr>
            <w:r>
              <w:rPr>
                <w:rFonts w:ascii="Arial" w:cs="Arial" w:eastAsia="Arial" w:hAnsi="Arial"/>
                <w:sz w:val="14"/>
                <w:szCs w:val="14"/>
                <w:color w:val="auto"/>
              </w:rPr>
              <w:t>$24.19</w:t>
            </w: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3500" w:type="dxa"/>
            <w:vAlign w:val="bottom"/>
            <w:shd w:val="clear" w:color="auto" w:fill="CCEEFF"/>
          </w:tcPr>
          <w:p>
            <w:pPr>
              <w:jc w:val="center"/>
              <w:ind w:left="2308"/>
              <w:spacing w:after="0"/>
              <w:rPr>
                <w:sz w:val="20"/>
                <w:szCs w:val="20"/>
                <w:color w:val="auto"/>
              </w:rPr>
            </w:pPr>
            <w:r>
              <w:rPr>
                <w:rFonts w:ascii="Arial" w:cs="Arial" w:eastAsia="Arial" w:hAnsi="Arial"/>
                <w:sz w:val="14"/>
                <w:szCs w:val="14"/>
                <w:color w:val="auto"/>
              </w:rPr>
              <w:t>3/24/2020</w:t>
            </w:r>
          </w:p>
        </w:tc>
        <w:tc>
          <w:tcPr>
            <w:tcW w:w="1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100,000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$13.44</w:t>
            </w:r>
          </w:p>
        </w:tc>
      </w:tr>
    </w:tbl>
    <w:p>
      <w:pPr>
        <w:spacing w:after="0" w:line="35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Stock options granted to our named executive officers may be subject to accelerated vesting in certain circumstances. For additional discussion, please see “—Offer Letters with Our Named Executive Officers” and “—Other Elements of Compensation—Severance and Change in Control Benefits”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2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2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7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including:</w:t>
      </w:r>
    </w:p>
    <w:p>
      <w:pPr>
        <w:spacing w:after="0" w:line="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our named executive officers with any other perquisites or other personal 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generally have not made gross-up payments to cover our named executive officers’ personal income taxes that may pertain to any of the compensation paid or provided by our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named executive officers may become entitled to certain benefits or enhanced benefits upon a qualifying termination of employment pursuant to their offer letters, as explained in further detail below. In addition, stock options granted to our employees, including our named executive officers, may be subject to acceleration in connection with a change in control under our equity plans, and for Mr. Rocca, subject to acceleration upon a qualifying termination on or within 12 months following our initial public offering.</w:t>
      </w:r>
    </w:p>
    <w:p>
      <w:pPr>
        <w:spacing w:after="0" w:line="23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March 15, 2021, the Compensation Committee adopted the Exagen Inc. Executive Change in Control Severance Plan, or the Severance Plan. The Severance Plan provides for the payment of cash severance and other benefits to our executives, including our named executive officers, in the event of a qualifying termination of employment with us in connection with a change in control.</w:t>
      </w:r>
    </w:p>
    <w:p>
      <w:pPr>
        <w:spacing w:after="0" w:line="2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Severance Plan, in the event of a termination of an executive's employment by us without "cause" or by the executive for "good reason", in either case, on or within twelve months following a "change in control", the executive will be eligible to receive the following payments and benefits:</w:t>
      </w:r>
    </w:p>
    <w:p>
      <w:pPr>
        <w:spacing w:after="0" w:line="94" w:lineRule="exact"/>
        <w:rPr>
          <w:sz w:val="20"/>
          <w:szCs w:val="20"/>
          <w:color w:val="auto"/>
        </w:rPr>
      </w:pPr>
    </w:p>
    <w:p>
      <w:pPr>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cash payment equal to 100% (or for Mr. Rocca, 125%) of the sum of (i) the executive's then-current annual base salary, plus (ii) the executive's target cash performance bonus for the year in which the termination occurs, to be paid in a lump sum on the 30th day following the executive's termination;</w:t>
      </w:r>
    </w:p>
    <w:p>
      <w:pPr>
        <w:spacing w:after="0" w:line="9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w:t>
      </w:r>
    </w:p>
    <w:p>
      <w:pPr>
        <w:spacing w:after="0" w:line="89"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Company-subsidized COBRA premium payments for the executive and his or her covered dependents for up to 12 (or, for Mr. Rocca, 15) months;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 of our company that vest solely based on the passage of time.</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executive's right to receive the severance payments and benefits described above is subject to the executive's delivery and, as applicable, non-revocation of a general release of claims in our favor and the executive's continued compliance with any applicable restrictive covenants.</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in the event that any payment under the Severance Plan, together with any other amounts paid to the executive by us, would subject the executive to an excise tax under Section 4999 of the Internal Revenue Code, such payments will be reduced to the extent that such reduction would produce a better net after-tax result for the executive.</w:t>
      </w:r>
    </w:p>
    <w:p>
      <w:pPr>
        <w:spacing w:after="0" w:line="22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For additional discussion, please see “Equity Compensation,” “Offer Letters with our Named Executive Officers” and "Outstanding Equity Awards at 2020 Fiscal Year-End." Other than the benefits described above, none of our named executive officers are entitled to any severance or change in control benefits.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890"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Offer Letters with our Named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Fortunato Ron Rocca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October 2011, we entered into an offer letter with Mr. Rocca, which was amended in September 2019.</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Rocca’s offer letter provides for at-will employment, and an annual base salary and bonus. Pursuant to Mr. Rocca’s offer letter, if we terminate Mr. Rocca’s employment without cause, Mr. Rocca will be entitled to a lump sum cash payment in an amount equal to nine months of his annual base salary as in effect immediately prior to the date of termination, subject to his delivery and non-revocation of a general release of claims in favor of our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Kamal Adawi</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May 2017, we entered into an offer letter with Mr. Adawi, which was amended in September 2019.</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Adawi’s offer letter provides for at-will employment, and an annual base salary and bonus. Pursuant to Mr. Adawi’s offer letter, if we terminate Mr. Adawi’s employment without cause, Mr. Adawi will be entitled to a lump sum cash payment in an amount equal to six months of his annual base salary as in effect immediately prior to the date of termination, subject to his delivery and non-revocation of a general release of claims in favor of our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Debra Zack, M.D., Ph.D.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March 2020, we entered into an offer letter with Dr. Zack.</w:t>
      </w:r>
    </w:p>
    <w:p>
      <w:pPr>
        <w:spacing w:after="0" w:line="25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Dr. Zack’s offer letter provides for at-will employment, and an annual base salary and bonus. Pursuant to the offer letter, Dr. Zack received options to purchase 100,000 shares of our common stock in connection with the commencement of her employment.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each option listed in the following table was granted under the 2019 Plan.</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Number of Securities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Underlying</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6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 Price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200" w:type="dxa"/>
            <w:vAlign w:val="bottom"/>
            <w:vMerge w:val="restart"/>
          </w:tcPr>
          <w:p>
            <w:pPr>
              <w:spacing w:after="0"/>
              <w:rPr>
                <w:sz w:val="11"/>
                <w:szCs w:val="11"/>
                <w:color w:val="auto"/>
              </w:rPr>
            </w:pPr>
          </w:p>
        </w:tc>
        <w:tc>
          <w:tcPr>
            <w:tcW w:w="1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Unexercised Options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Options</w:t>
            </w:r>
          </w:p>
        </w:tc>
        <w:tc>
          <w:tcPr>
            <w:tcW w:w="6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1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 (#) (1)</w:t>
            </w: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 (#)(1)</w:t>
            </w:r>
          </w:p>
        </w:tc>
        <w:tc>
          <w:tcPr>
            <w:tcW w:w="6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1/09/2020</w:t>
            </w:r>
          </w:p>
        </w:tc>
        <w:tc>
          <w:tcPr>
            <w:tcW w:w="2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24.19</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1/08/2030</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9/18/2019</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43,331</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95,328</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9/17/2029</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10/5/2018</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175,338</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148,364</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0.2571</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10/5/2028</w:t>
            </w:r>
          </w:p>
        </w:tc>
        <w:tc>
          <w:tcPr>
            <w:tcW w:w="0" w:type="dxa"/>
            <w:vAlign w:val="bottom"/>
          </w:tcPr>
          <w:p>
            <w:pPr>
              <w:spacing w:after="0"/>
              <w:rPr>
                <w:sz w:val="1"/>
                <w:szCs w:val="1"/>
                <w:color w:val="auto"/>
              </w:rPr>
            </w:pPr>
          </w:p>
        </w:tc>
      </w:tr>
      <w:tr>
        <w:trPr>
          <w:trHeight w:val="189"/>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Kamal Adawi</w:t>
            </w:r>
          </w:p>
        </w:tc>
        <w:tc>
          <w:tcPr>
            <w:tcW w:w="1320" w:type="dxa"/>
            <w:vAlign w:val="bottom"/>
          </w:tcPr>
          <w:p>
            <w:pPr>
              <w:jc w:val="center"/>
              <w:spacing w:after="0"/>
              <w:rPr>
                <w:sz w:val="20"/>
                <w:szCs w:val="20"/>
                <w:color w:val="auto"/>
              </w:rPr>
            </w:pPr>
            <w:r>
              <w:rPr>
                <w:rFonts w:ascii="Arial" w:cs="Arial" w:eastAsia="Arial" w:hAnsi="Arial"/>
                <w:sz w:val="14"/>
                <w:szCs w:val="14"/>
                <w:color w:val="auto"/>
              </w:rPr>
              <w:t>1/09/2020</w:t>
            </w:r>
          </w:p>
        </w:tc>
        <w:tc>
          <w:tcPr>
            <w:tcW w:w="20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52,500</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rPr>
              <w:t>24.19</w:t>
            </w: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1/08/2030</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9/18/2019</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6,761</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14,874</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9/17/2029</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10/5/2018</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45,588</w:t>
            </w: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38,574</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(2)</w:t>
            </w:r>
          </w:p>
        </w:tc>
        <w:tc>
          <w:tcPr>
            <w:tcW w:w="1040" w:type="dxa"/>
            <w:vAlign w:val="bottom"/>
          </w:tcPr>
          <w:p>
            <w:pPr>
              <w:jc w:val="center"/>
              <w:spacing w:after="0"/>
              <w:rPr>
                <w:sz w:val="20"/>
                <w:szCs w:val="20"/>
                <w:color w:val="auto"/>
              </w:rPr>
            </w:pPr>
            <w:r>
              <w:rPr>
                <w:rFonts w:ascii="Arial" w:cs="Arial" w:eastAsia="Arial" w:hAnsi="Arial"/>
                <w:sz w:val="14"/>
                <w:szCs w:val="14"/>
                <w:color w:val="auto"/>
              </w:rPr>
              <w:t>0.2571</w:t>
            </w: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10/5/2028</w:t>
            </w:r>
          </w:p>
        </w:tc>
        <w:tc>
          <w:tcPr>
            <w:tcW w:w="0" w:type="dxa"/>
            <w:vAlign w:val="bottom"/>
          </w:tcPr>
          <w:p>
            <w:pPr>
              <w:spacing w:after="0"/>
              <w:rPr>
                <w:sz w:val="1"/>
                <w:szCs w:val="1"/>
                <w:color w:val="auto"/>
              </w:rPr>
            </w:pPr>
          </w:p>
        </w:tc>
      </w:tr>
      <w:tr>
        <w:trPr>
          <w:trHeight w:val="18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3/24/2020</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13.44</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3/23/2030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886" w:right="359" w:bottom="1440" w:gutter="0" w:footer="0" w:header="0"/>
        </w:sectPr>
      </w:pPr>
    </w:p>
    <w:bookmarkStart w:id="29" w:name="page30"/>
    <w:bookmarkEnd w:id="29"/>
    <w:p>
      <w:pPr>
        <w:ind w:left="660" w:right="180" w:hanging="634"/>
        <w:spacing w:after="0" w:line="229"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129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94130" cy="8255"/>
                    </a:xfrm>
                    <a:prstGeom prst="rect">
                      <a:avLst/>
                    </a:prstGeom>
                    <a:noFill/>
                  </pic:spPr>
                </pic:pic>
              </a:graphicData>
            </a:graphic>
          </wp:anchor>
        </w:drawing>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65" w:lineRule="exact"/>
        <w:rPr>
          <w:rFonts w:ascii="Arial" w:cs="Arial" w:eastAsia="Arial" w:hAnsi="Arial"/>
          <w:sz w:val="14"/>
          <w:szCs w:val="14"/>
          <w:color w:val="auto"/>
        </w:rPr>
      </w:pPr>
    </w:p>
    <w:p>
      <w:pPr>
        <w:ind w:left="660" w:right="180" w:hanging="634"/>
        <w:spacing w:after="0" w:line="229"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 This option was granted under the 2013 Plan.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w:t>
      </w:r>
    </w:p>
    <w:p>
      <w:pPr>
        <w:spacing w:after="0" w:line="22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 September 2019, the Board adopted the non-employee director compensation program (the "Director Compensation Program") that became effective in connection with our initial public offering.</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Under the Director Compensation Program, non-employee directors receive a cash retainer for service on the Board and for service on each committee of which the director is a member. The Chairperson of the Board and each committee received a higher retainer for such service. Cash retainers are payable quarterly in arrears. Annual cash retainers will be pro-rated for any partial calendar quarter of service. All cash compensation payable to the directors designated by or affiliated with Sun Mountain Capital or H.I.G. Capital, LLC is paid to Sun Mountain Capital or H.I.G. Capital, LLC, as applicable. The fees paid to non-employee directors for service on the Board under the Director Compensation Program are as follows:</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Compensation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Board of Directors annual retainer</w:t>
            </w:r>
          </w:p>
        </w:tc>
        <w:tc>
          <w:tcPr>
            <w:tcW w:w="37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Incremental annual retainer for the Chairman</w:t>
            </w:r>
          </w:p>
        </w:tc>
        <w:tc>
          <w:tcPr>
            <w:tcW w:w="37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Chair annual retainers</w:t>
            </w: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80" w:type="dxa"/>
            <w:vAlign w:val="bottom"/>
          </w:tcPr>
          <w:p>
            <w:pPr>
              <w:ind w:left="460"/>
              <w:spacing w:after="0"/>
              <w:rPr>
                <w:sz w:val="20"/>
                <w:szCs w:val="20"/>
                <w:color w:val="auto"/>
              </w:rPr>
            </w:pPr>
            <w:r>
              <w:rPr>
                <w:rFonts w:ascii="Arial" w:cs="Arial" w:eastAsia="Arial" w:hAnsi="Arial"/>
                <w:sz w:val="16"/>
                <w:szCs w:val="16"/>
                <w:color w:val="auto"/>
              </w:rPr>
              <w:t>Audit</w:t>
            </w:r>
          </w:p>
        </w:tc>
        <w:tc>
          <w:tcPr>
            <w:tcW w:w="37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19"/>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7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628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7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member annual retainers</w:t>
            </w: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80" w:type="dxa"/>
            <w:vAlign w:val="bottom"/>
          </w:tcPr>
          <w:p>
            <w:pPr>
              <w:ind w:left="460"/>
              <w:spacing w:after="0"/>
              <w:rPr>
                <w:sz w:val="20"/>
                <w:szCs w:val="20"/>
                <w:color w:val="auto"/>
              </w:rPr>
            </w:pPr>
            <w:r>
              <w:rPr>
                <w:rFonts w:ascii="Arial" w:cs="Arial" w:eastAsia="Arial" w:hAnsi="Arial"/>
                <w:sz w:val="16"/>
                <w:szCs w:val="16"/>
                <w:color w:val="auto"/>
              </w:rPr>
              <w:t>Audit</w:t>
            </w:r>
          </w:p>
        </w:tc>
        <w:tc>
          <w:tcPr>
            <w:tcW w:w="37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19"/>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7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0"/>
        </w:trPr>
        <w:tc>
          <w:tcPr>
            <w:tcW w:w="628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7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bl>
    <w:p>
      <w:pPr>
        <w:spacing w:after="0" w:line="3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under this program, each of our non-employee directors is eligible to receive an annual stock option grant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are eligible to receive a stock option to purchase 15,000 shares of our common stock on the date on which such eligible director is appointed or elected to serve on the Board, and shall vest as to 1/36th of the shares underlying the option on each monthly anniversary of the grant date, subject to the eligible director's continued service through the applicable vesting date.</w:t>
      </w:r>
    </w:p>
    <w:p>
      <w:pPr>
        <w:spacing w:after="0" w:line="2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table sets forth information regarding the compensation of our non-employee directors earned for services rendered during the year ended December 31, 2020. Mr. Rocca, who served as our President and Chief Executive Officer during the year ended December 31, 2020, and continues to serve in that capacity, does not receive additional compensation for his service as a director, and therefore is not included in the Director Compensation table below. All compensation paid to Mr. Rocca is reported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0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4"/>
                <w:szCs w:val="14"/>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 Paid in</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200" w:type="dxa"/>
            <w:vAlign w:val="bottom"/>
            <w:vMerge w:val="restart"/>
          </w:tcPr>
          <w:p>
            <w:pPr>
              <w:spacing w:after="0"/>
              <w:rPr>
                <w:sz w:val="14"/>
                <w:szCs w:val="14"/>
                <w:color w:val="auto"/>
              </w:rPr>
            </w:pPr>
          </w:p>
        </w:tc>
        <w:tc>
          <w:tcPr>
            <w:tcW w:w="14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60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6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Cash ($)</w:t>
            </w:r>
          </w:p>
        </w:tc>
        <w:tc>
          <w:tcPr>
            <w:tcW w:w="2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Brian Birk</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79,000</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132,530</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Chet Burrell(2)</w:t>
            </w:r>
          </w:p>
        </w:tc>
        <w:tc>
          <w:tcPr>
            <w:tcW w:w="1660" w:type="dxa"/>
            <w:vAlign w:val="bottom"/>
          </w:tcPr>
          <w:p>
            <w:pPr>
              <w:jc w:val="right"/>
              <w:spacing w:after="0"/>
              <w:rPr>
                <w:sz w:val="20"/>
                <w:szCs w:val="20"/>
                <w:color w:val="auto"/>
              </w:rPr>
            </w:pPr>
            <w:r>
              <w:rPr>
                <w:rFonts w:ascii="Arial" w:cs="Arial" w:eastAsia="Arial" w:hAnsi="Arial"/>
                <w:sz w:val="14"/>
                <w:szCs w:val="14"/>
                <w:color w:val="auto"/>
              </w:rPr>
              <w:t>55,625</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109,155</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Jeff Elliott(3)</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62,000</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115,530</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Wendy Johnson(4)</w:t>
            </w:r>
          </w:p>
        </w:tc>
        <w:tc>
          <w:tcPr>
            <w:tcW w:w="1660" w:type="dxa"/>
            <w:vAlign w:val="bottom"/>
          </w:tcPr>
          <w:p>
            <w:pPr>
              <w:jc w:val="right"/>
              <w:spacing w:after="0"/>
              <w:rPr>
                <w:sz w:val="20"/>
                <w:szCs w:val="20"/>
                <w:color w:val="auto"/>
              </w:rPr>
            </w:pPr>
            <w:r>
              <w:rPr>
                <w:rFonts w:ascii="Arial" w:cs="Arial" w:eastAsia="Arial" w:hAnsi="Arial"/>
                <w:sz w:val="14"/>
                <w:szCs w:val="14"/>
                <w:color w:val="auto"/>
              </w:rPr>
              <w:t>14,375</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82,914</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97,289</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Tina S. Nova, Ph.D.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118,530</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Ebetuel Pallares, Ph.D.</w:t>
            </w:r>
          </w:p>
        </w:tc>
        <w:tc>
          <w:tcPr>
            <w:tcW w:w="1660" w:type="dxa"/>
            <w:vAlign w:val="bottom"/>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111,030</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67,500</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121,030</w:t>
            </w:r>
          </w:p>
        </w:tc>
        <w:tc>
          <w:tcPr>
            <w:tcW w:w="0" w:type="dxa"/>
            <w:vAlign w:val="bottom"/>
          </w:tcPr>
          <w:p>
            <w:pPr>
              <w:spacing w:after="0"/>
              <w:rPr>
                <w:sz w:val="1"/>
                <w:szCs w:val="1"/>
                <w:color w:val="auto"/>
              </w:rPr>
            </w:pPr>
          </w:p>
        </w:tc>
      </w:tr>
      <w:tr>
        <w:trPr>
          <w:trHeight w:val="190"/>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James L.L. Tullis</w:t>
            </w:r>
          </w:p>
        </w:tc>
        <w:tc>
          <w:tcPr>
            <w:tcW w:w="1660" w:type="dxa"/>
            <w:vAlign w:val="bottom"/>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53,530</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0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160" w:right="1220" w:hanging="1134"/>
        <w:spacing w:after="0" w:line="209" w:lineRule="auto"/>
        <w:tabs>
          <w:tab w:leader="none" w:pos="1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options granted in 2020, computed in accordance with the provisions of ASC Topic 718, Compensation Stock Compensation.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9 to our audited financial statements in our Annual Report on Form 10-K for the year ended December 31, 2020. As of December 31, 2020, the following outstanding option awards were held by members of the Board: Mr. Birk, 28,422 shares, Mr. C. Burrell, 5,672 shares, Mr. Elliott, 22,613 shares, Ms. Johnson, 15,000 shares, Dr. Nova, 22,613 shares, Dr. Pallares, 21,948 shares, Dr. Robertson, 9,000 shares and Mr. Tullis, 21,948 shares.</w:t>
      </w:r>
    </w:p>
    <w:p>
      <w:pPr>
        <w:spacing w:after="0" w:line="166" w:lineRule="exact"/>
        <w:rPr>
          <w:rFonts w:ascii="Arial" w:cs="Arial" w:eastAsia="Arial" w:hAnsi="Arial"/>
          <w:sz w:val="14"/>
          <w:szCs w:val="14"/>
          <w:color w:val="auto"/>
        </w:rPr>
      </w:pPr>
    </w:p>
    <w:p>
      <w:pPr>
        <w:ind w:left="1160" w:right="1420" w:hanging="1134"/>
        <w:spacing w:after="0" w:line="229" w:lineRule="auto"/>
        <w:tabs>
          <w:tab w:leader="none" w:pos="1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Burrell retired from the Board effective December 31, 2020. In connection with his retirement, all unvested awards held by Mr. Burrell were forfeited.</w:t>
      </w:r>
    </w:p>
    <w:p>
      <w:pPr>
        <w:spacing w:after="0" w:line="165" w:lineRule="exact"/>
        <w:rPr>
          <w:rFonts w:ascii="Arial" w:cs="Arial" w:eastAsia="Arial" w:hAnsi="Arial"/>
          <w:sz w:val="14"/>
          <w:szCs w:val="14"/>
          <w:color w:val="auto"/>
        </w:rPr>
      </w:pPr>
    </w:p>
    <w:p>
      <w:pPr>
        <w:ind w:left="1160" w:hanging="1134"/>
        <w:spacing w:after="0"/>
        <w:tabs>
          <w:tab w:leader="none" w:pos="1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Following the expiration of his term as a Class II director, Mr. Elliott will no longer serve on the Board.</w:t>
      </w:r>
    </w:p>
    <w:p>
      <w:pPr>
        <w:spacing w:after="0" w:line="176" w:lineRule="exact"/>
        <w:rPr>
          <w:rFonts w:ascii="Arial" w:cs="Arial" w:eastAsia="Arial" w:hAnsi="Arial"/>
          <w:sz w:val="14"/>
          <w:szCs w:val="14"/>
          <w:color w:val="auto"/>
        </w:rPr>
      </w:pPr>
    </w:p>
    <w:p>
      <w:pPr>
        <w:ind w:left="1160" w:right="1840" w:hanging="1134"/>
        <w:spacing w:after="0" w:line="229" w:lineRule="auto"/>
        <w:tabs>
          <w:tab w:leader="none" w:pos="1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Ms. Johnson was appointed as a member of the Board effective October 1, 2020, and in connection with such appointment and in accordance with the Director Compensation Program, was granted an option to purchase 15,000 shares of our common stock.</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2020.</w:t>
      </w:r>
    </w:p>
    <w:p>
      <w:pPr>
        <w:spacing w:after="0" w:line="25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December 31, 2020, we had two equity compensation plans in place under which shares of our common stock were authorized for issuance detailed as follows:</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860" w:type="dxa"/>
            <w:vAlign w:val="bottom"/>
            <w:vMerge w:val="restart"/>
          </w:tcPr>
          <w:p>
            <w:pPr>
              <w:jc w:val="center"/>
              <w:ind w:left="1288"/>
              <w:spacing w:after="0"/>
              <w:rPr>
                <w:sz w:val="20"/>
                <w:szCs w:val="20"/>
                <w:color w:val="auto"/>
              </w:rPr>
            </w:pPr>
            <w:r>
              <w:rPr>
                <w:rFonts w:ascii="Arial" w:cs="Arial" w:eastAsia="Arial" w:hAnsi="Arial"/>
                <w:sz w:val="14"/>
                <w:szCs w:val="14"/>
                <w:b w:val="1"/>
                <w:bCs w:val="1"/>
                <w:color w:val="auto"/>
              </w:rPr>
              <w:t>Number of securities to be</w:t>
            </w:r>
          </w:p>
        </w:tc>
        <w:tc>
          <w:tcPr>
            <w:tcW w:w="2400" w:type="dxa"/>
            <w:vAlign w:val="bottom"/>
          </w:tcPr>
          <w:p>
            <w:pPr>
              <w:spacing w:after="0"/>
              <w:rPr>
                <w:sz w:val="14"/>
                <w:szCs w:val="14"/>
                <w:color w:val="auto"/>
              </w:rPr>
            </w:pPr>
          </w:p>
        </w:tc>
        <w:tc>
          <w:tcPr>
            <w:tcW w:w="2360" w:type="dxa"/>
            <w:vAlign w:val="bottom"/>
          </w:tcPr>
          <w:p>
            <w:pPr>
              <w:jc w:val="center"/>
              <w:ind w:left="128"/>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36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available for future issuance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3860" w:type="dxa"/>
            <w:vAlign w:val="bottom"/>
          </w:tcPr>
          <w:p>
            <w:pPr>
              <w:jc w:val="center"/>
              <w:ind w:left="1288"/>
              <w:spacing w:after="0" w:line="135" w:lineRule="exact"/>
              <w:rPr>
                <w:sz w:val="20"/>
                <w:szCs w:val="20"/>
                <w:color w:val="auto"/>
              </w:rPr>
            </w:pPr>
            <w:r>
              <w:rPr>
                <w:rFonts w:ascii="Arial" w:cs="Arial" w:eastAsia="Arial" w:hAnsi="Arial"/>
                <w:sz w:val="14"/>
                <w:szCs w:val="14"/>
                <w:b w:val="1"/>
                <w:bCs w:val="1"/>
                <w:color w:val="auto"/>
              </w:rPr>
              <w:t>issued upon the exercise of</w:t>
            </w:r>
          </w:p>
        </w:tc>
        <w:tc>
          <w:tcPr>
            <w:tcW w:w="2400" w:type="dxa"/>
            <w:vAlign w:val="bottom"/>
            <w:vMerge w:val="continue"/>
          </w:tcPr>
          <w:p>
            <w:pPr>
              <w:spacing w:after="0"/>
              <w:rPr>
                <w:sz w:val="11"/>
                <w:szCs w:val="11"/>
                <w:color w:val="auto"/>
              </w:rPr>
            </w:pPr>
          </w:p>
        </w:tc>
        <w:tc>
          <w:tcPr>
            <w:tcW w:w="236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under equity compensation</w:t>
            </w:r>
          </w:p>
        </w:tc>
        <w:tc>
          <w:tcPr>
            <w:tcW w:w="0" w:type="dxa"/>
            <w:vAlign w:val="bottom"/>
          </w:tcPr>
          <w:p>
            <w:pPr>
              <w:spacing w:after="0"/>
              <w:rPr>
                <w:sz w:val="1"/>
                <w:szCs w:val="1"/>
                <w:color w:val="auto"/>
              </w:rPr>
            </w:pPr>
          </w:p>
        </w:tc>
      </w:tr>
      <w:tr>
        <w:trPr>
          <w:trHeight w:val="135"/>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860" w:type="dxa"/>
            <w:vAlign w:val="bottom"/>
          </w:tcPr>
          <w:p>
            <w:pPr>
              <w:jc w:val="center"/>
              <w:ind w:left="1288"/>
              <w:spacing w:after="0" w:line="135" w:lineRule="exact"/>
              <w:rPr>
                <w:sz w:val="20"/>
                <w:szCs w:val="20"/>
                <w:color w:val="auto"/>
              </w:rPr>
            </w:pPr>
            <w:r>
              <w:rPr>
                <w:rFonts w:ascii="Arial" w:cs="Arial" w:eastAsia="Arial" w:hAnsi="Arial"/>
                <w:sz w:val="14"/>
                <w:szCs w:val="14"/>
                <w:b w:val="1"/>
                <w:bCs w:val="1"/>
                <w:color w:val="auto"/>
              </w:rPr>
              <w:t>outstanding options, warrants</w:t>
            </w:r>
          </w:p>
        </w:tc>
        <w:tc>
          <w:tcPr>
            <w:tcW w:w="2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 of outstanding options,</w:t>
            </w:r>
          </w:p>
        </w:tc>
        <w:tc>
          <w:tcPr>
            <w:tcW w:w="236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plans (excluding securities</w:t>
            </w:r>
          </w:p>
        </w:tc>
        <w:tc>
          <w:tcPr>
            <w:tcW w:w="0" w:type="dxa"/>
            <w:vAlign w:val="bottom"/>
          </w:tcPr>
          <w:p>
            <w:pPr>
              <w:spacing w:after="0"/>
              <w:rPr>
                <w:sz w:val="1"/>
                <w:szCs w:val="1"/>
                <w:color w:val="auto"/>
              </w:rPr>
            </w:pPr>
          </w:p>
        </w:tc>
      </w:tr>
      <w:tr>
        <w:trPr>
          <w:trHeight w:val="175"/>
        </w:trPr>
        <w:tc>
          <w:tcPr>
            <w:tcW w:w="2560" w:type="dxa"/>
            <w:vAlign w:val="bottom"/>
            <w:vMerge w:val="continue"/>
          </w:tcPr>
          <w:p>
            <w:pPr>
              <w:spacing w:after="0"/>
              <w:rPr>
                <w:sz w:val="15"/>
                <w:szCs w:val="15"/>
                <w:color w:val="auto"/>
              </w:rPr>
            </w:pPr>
          </w:p>
        </w:tc>
        <w:tc>
          <w:tcPr>
            <w:tcW w:w="3860" w:type="dxa"/>
            <w:vAlign w:val="bottom"/>
          </w:tcPr>
          <w:p>
            <w:pPr>
              <w:jc w:val="center"/>
              <w:ind w:left="1288"/>
              <w:spacing w:after="0"/>
              <w:rPr>
                <w:sz w:val="20"/>
                <w:szCs w:val="20"/>
                <w:color w:val="auto"/>
              </w:rPr>
            </w:pPr>
            <w:r>
              <w:rPr>
                <w:rFonts w:ascii="Arial" w:cs="Arial" w:eastAsia="Arial" w:hAnsi="Arial"/>
                <w:sz w:val="14"/>
                <w:szCs w:val="14"/>
                <w:b w:val="1"/>
                <w:bCs w:val="1"/>
                <w:color w:val="auto"/>
              </w:rPr>
              <w:t>and rights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360" w:type="dxa"/>
            <w:vAlign w:val="bottom"/>
          </w:tcPr>
          <w:p>
            <w:pPr>
              <w:jc w:val="center"/>
              <w:ind w:left="148"/>
              <w:spacing w:after="0"/>
              <w:rPr>
                <w:sz w:val="20"/>
                <w:szCs w:val="20"/>
                <w:color w:val="auto"/>
              </w:rPr>
            </w:pPr>
            <w:r>
              <w:rPr>
                <w:rFonts w:ascii="Arial" w:cs="Arial" w:eastAsia="Arial" w:hAnsi="Arial"/>
                <w:sz w:val="14"/>
                <w:szCs w:val="14"/>
                <w:b w:val="1"/>
                <w:bCs w:val="1"/>
                <w:color w:val="auto"/>
              </w:rPr>
              <w:t>reflected in column(a))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345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compensation plans approved by security holders</w:t>
      </w:r>
    </w:p>
    <w:p>
      <w:pPr>
        <w:spacing w:after="0" w:line="28" w:lineRule="exact"/>
        <w:rPr>
          <w:sz w:val="20"/>
          <w:szCs w:val="20"/>
          <w:color w:val="auto"/>
        </w:rPr>
      </w:pPr>
    </w:p>
    <w:p>
      <w:pPr>
        <w:ind w:left="20" w:right="260"/>
        <w:spacing w:after="0" w:line="229" w:lineRule="auto"/>
        <w:rPr>
          <w:sz w:val="20"/>
          <w:szCs w:val="20"/>
          <w:color w:val="auto"/>
        </w:rPr>
      </w:pPr>
      <w:r>
        <w:rPr>
          <w:rFonts w:ascii="Arial" w:cs="Arial" w:eastAsia="Arial" w:hAnsi="Arial"/>
          <w:sz w:val="14"/>
          <w:szCs w:val="14"/>
          <w:color w:val="auto"/>
        </w:rPr>
        <w:t>Equity compensation plans not approved by security holders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6"/>
                <w:szCs w:val="16"/>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(b)(1)</w:t>
            </w:r>
          </w:p>
        </w:tc>
        <w:tc>
          <w:tcPr>
            <w:tcW w:w="260" w:type="dxa"/>
            <w:vAlign w:val="bottom"/>
          </w:tcPr>
          <w:p>
            <w:pPr>
              <w:spacing w:after="0"/>
              <w:rPr>
                <w:sz w:val="16"/>
                <w:szCs w:val="16"/>
                <w:color w:val="auto"/>
              </w:rPr>
            </w:pPr>
          </w:p>
        </w:tc>
        <w:tc>
          <w:tcPr>
            <w:tcW w:w="222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rPr>
              <w:t>(c)</w:t>
            </w:r>
          </w:p>
        </w:tc>
      </w:tr>
      <w:tr>
        <w:trPr>
          <w:trHeight w:val="189"/>
        </w:trPr>
        <w:tc>
          <w:tcPr>
            <w:tcW w:w="2220" w:type="dxa"/>
            <w:vAlign w:val="bottom"/>
          </w:tcPr>
          <w:p>
            <w:pPr>
              <w:jc w:val="center"/>
              <w:spacing w:after="0"/>
              <w:rPr>
                <w:sz w:val="20"/>
                <w:szCs w:val="20"/>
                <w:color w:val="auto"/>
              </w:rPr>
            </w:pPr>
            <w:r>
              <w:rPr>
                <w:rFonts w:ascii="Arial" w:cs="Arial" w:eastAsia="Arial" w:hAnsi="Arial"/>
                <w:sz w:val="14"/>
                <w:szCs w:val="14"/>
                <w:color w:val="auto"/>
              </w:rPr>
              <w:t>1,975,761 (2)</w:t>
            </w:r>
          </w:p>
        </w:tc>
        <w:tc>
          <w:tcPr>
            <w:tcW w:w="24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$11.81 (2)</w:t>
            </w:r>
          </w:p>
        </w:tc>
        <w:tc>
          <w:tcPr>
            <w:tcW w:w="2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1,373,284 (3)</w:t>
            </w:r>
          </w:p>
        </w:tc>
      </w:tr>
      <w:tr>
        <w:trPr>
          <w:trHeight w:val="323"/>
        </w:trPr>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24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3"/>
        </w:trPr>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1,975,761</w:t>
            </w:r>
          </w:p>
        </w:tc>
        <w:tc>
          <w:tcPr>
            <w:tcW w:w="240" w:type="dxa"/>
            <w:vAlign w:val="bottom"/>
          </w:tcPr>
          <w:p>
            <w:pPr>
              <w:spacing w:after="0"/>
              <w:rPr>
                <w:sz w:val="15"/>
                <w:szCs w:val="15"/>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$11.81</w:t>
            </w:r>
          </w:p>
        </w:tc>
        <w:tc>
          <w:tcPr>
            <w:tcW w:w="260" w:type="dxa"/>
            <w:vAlign w:val="bottom"/>
          </w:tcPr>
          <w:p>
            <w:pPr>
              <w:spacing w:after="0"/>
              <w:rPr>
                <w:sz w:val="15"/>
                <w:szCs w:val="15"/>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1,373,284</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-487680</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-161925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60"/>
            <w:col w:w="7160"/>
          </w:cols>
          <w:pgMar w:left="320" w:top="9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923" w:right="339" w:bottom="1440" w:gutter="0" w:footer="0" w:header="0"/>
          <w:type w:val="continuous"/>
        </w:sectPr>
      </w:pPr>
    </w:p>
    <w:bookmarkStart w:id="31" w:name="page32"/>
    <w:bookmarkEnd w:id="31"/>
    <w:p>
      <w:pPr>
        <w:ind w:left="780" w:hanging="754"/>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4235" cy="8255"/>
                    </a:xfrm>
                    <a:prstGeom prst="rect">
                      <a:avLst/>
                    </a:prstGeom>
                    <a:noFill/>
                  </pic:spPr>
                </pic:pic>
              </a:graphicData>
            </a:graphic>
          </wp:anchor>
        </w:drawing>
        <w:t>Represents the weighted-average exercise price of outstanding options.</w:t>
      </w:r>
    </w:p>
    <w:p>
      <w:pPr>
        <w:spacing w:after="0" w:line="176" w:lineRule="exact"/>
        <w:rPr>
          <w:rFonts w:ascii="Arial" w:cs="Arial" w:eastAsia="Arial" w:hAnsi="Arial"/>
          <w:sz w:val="14"/>
          <w:szCs w:val="14"/>
          <w:color w:val="auto"/>
        </w:rPr>
      </w:pPr>
    </w:p>
    <w:p>
      <w:pPr>
        <w:jc w:val="both"/>
        <w:ind w:left="780" w:right="340" w:hanging="754"/>
        <w:spacing w:after="0" w:line="219" w:lineRule="auto"/>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1,487,277 shares of common stock that were subject to awards as of December 31, 2020 under the 2019 Plan, 487,779 shares of common stock that were subject to awards as of December 31, 2020 under the 2013 Plan and 705 shares of common stock that were subject to awards as of December 31, 2020 under the 2002 Plan.</w:t>
      </w:r>
    </w:p>
    <w:p>
      <w:pPr>
        <w:spacing w:after="0" w:line="166" w:lineRule="exact"/>
        <w:rPr>
          <w:rFonts w:ascii="Arial" w:cs="Arial" w:eastAsia="Arial" w:hAnsi="Arial"/>
          <w:sz w:val="14"/>
          <w:szCs w:val="14"/>
          <w:color w:val="auto"/>
        </w:rPr>
      </w:pPr>
    </w:p>
    <w:p>
      <w:pPr>
        <w:ind w:left="780" w:right="20" w:hanging="754"/>
        <w:spacing w:after="0" w:line="208" w:lineRule="auto"/>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1,139,323 shares of common stock available for issuance under the 2019 Plan and 233,961 shares of common stock available for issuance under our Employee Stock Purchase Plan. This amount does not include any additional shares that may become available for future issuance under the 2019 Plan pursuant to the automatic increase to the share reserve on January 1 of each of our calendar years beginning 2021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2021 and continuing through 2029 by the number of shares equal to 1% of the total outstanding shares of our common stock and common stock equivalents as of the immediately preceding December 31. There are no shares of common stock remaining available for issuance under our 2002 Plan or our 2013 Plan.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19, 2021 for:</w:t>
      </w:r>
    </w:p>
    <w:p>
      <w:pPr>
        <w:spacing w:after="0" w:line="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period, or group of affiliated persons, who beneficially owned more than 5% of our outstanding common stock.</w:t>
      </w:r>
    </w:p>
    <w:p>
      <w:pPr>
        <w:spacing w:after="0" w:line="25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Applicable percentage ownership is based on 16,925,680 shares of common stock outstanding as of April 19, 2021.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within 60 days of April 19, 2021. We did not deem these shares outstanding, however, for the purpose of computing the percentage ownership of any other person. Unless otherwise indicated, the address of each beneficial owner listed in the table below is c/o Exagen Inc., 1261 Liberty Way, Vista, California 92081.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103"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450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Beneficial Ownership</w:t>
            </w:r>
          </w:p>
        </w:tc>
      </w:tr>
      <w:tr>
        <w:trPr>
          <w:trHeight w:val="18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52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Number</w:t>
            </w:r>
          </w:p>
        </w:tc>
        <w:tc>
          <w:tcPr>
            <w:tcW w:w="1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5% or Greater Stockholders</w:t>
            </w:r>
          </w:p>
        </w:tc>
        <w:tc>
          <w:tcPr>
            <w:tcW w:w="25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NMSIC Co-Investment Fund, L.P. (1)</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2,308,958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Entities affiliated with Tullis-Dickerson Capital Focus III, L.P. (2)</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1,845,653</w:t>
            </w:r>
          </w:p>
        </w:tc>
        <w:tc>
          <w:tcPr>
            <w:tcW w:w="1980" w:type="dxa"/>
            <w:vAlign w:val="bottom"/>
          </w:tcPr>
          <w:p>
            <w:pPr>
              <w:jc w:val="right"/>
              <w:spacing w:after="0"/>
              <w:rPr>
                <w:sz w:val="20"/>
                <w:szCs w:val="20"/>
                <w:color w:val="auto"/>
              </w:rPr>
            </w:pPr>
            <w:r>
              <w:rPr>
                <w:rFonts w:ascii="Arial" w:cs="Arial" w:eastAsia="Arial" w:hAnsi="Arial"/>
                <w:sz w:val="14"/>
                <w:szCs w:val="14"/>
                <w:color w:val="auto"/>
              </w:rPr>
              <w:t>10.7 %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 Bio-Exagen, L.P. (3)</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1,696,252</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Wasatch Advisors, Inc. (4)</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1,691,507</w:t>
            </w:r>
          </w:p>
        </w:tc>
        <w:tc>
          <w:tcPr>
            <w:tcW w:w="19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Hunt Holdings, L.P. (5)</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1,259,674</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RTW Investments, L.P. (6)</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1,250,131</w:t>
            </w:r>
          </w:p>
        </w:tc>
        <w:tc>
          <w:tcPr>
            <w:tcW w:w="1980" w:type="dxa"/>
            <w:vAlign w:val="bottom"/>
          </w:tcPr>
          <w:p>
            <w:pPr>
              <w:jc w:val="right"/>
              <w:spacing w:after="0"/>
              <w:rPr>
                <w:sz w:val="20"/>
                <w:szCs w:val="20"/>
                <w:color w:val="auto"/>
              </w:rPr>
            </w:pPr>
            <w:r>
              <w:rPr>
                <w:rFonts w:ascii="Arial" w:cs="Arial" w:eastAsia="Arial" w:hAnsi="Arial"/>
                <w:sz w:val="14"/>
                <w:szCs w:val="14"/>
                <w:color w:val="auto"/>
              </w:rPr>
              <w:t>7.4 %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25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Fortunato Ron Rocca (7)</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331,359</w:t>
            </w:r>
          </w:p>
        </w:tc>
        <w:tc>
          <w:tcPr>
            <w:tcW w:w="19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Kamal Adawi (8)</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84,166</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Debra Zack, M.D., Ph.D. (9)</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29,166</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Birk (1)(10)</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2,330,906</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Jeff Elliott (11)</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16,940</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Wendy Johnson (12)</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3,333</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Tina S. Nova, Ph.D. (13)</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16,940</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Ebetuel Pallares, Ph.D. (14)</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18,817</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Bruce C. Robertson, Ph.D. (3)(15)</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1,705,252</w:t>
            </w:r>
          </w:p>
        </w:tc>
        <w:tc>
          <w:tcPr>
            <w:tcW w:w="1980" w:type="dxa"/>
            <w:vAlign w:val="bottom"/>
          </w:tcPr>
          <w:p>
            <w:pPr>
              <w:jc w:val="right"/>
              <w:spacing w:after="0"/>
              <w:rPr>
                <w:sz w:val="20"/>
                <w:szCs w:val="20"/>
                <w:color w:val="auto"/>
              </w:rPr>
            </w:pPr>
            <w:r>
              <w:rPr>
                <w:rFonts w:ascii="Arial" w:cs="Arial" w:eastAsia="Arial" w:hAnsi="Arial"/>
                <w:sz w:val="14"/>
                <w:szCs w:val="14"/>
                <w:color w:val="auto"/>
              </w:rPr>
              <w:t>10.1 %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James L.L. Tullis (2)(16)</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1,890,601</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New Director Nominee</w:t>
            </w:r>
          </w:p>
        </w:tc>
        <w:tc>
          <w:tcPr>
            <w:tcW w:w="25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Frank Stokes</w:t>
            </w:r>
          </w:p>
        </w:tc>
        <w:tc>
          <w:tcPr>
            <w:tcW w:w="2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All current directors and executive officers as a group (11 persons)(17)</w:t>
            </w:r>
          </w:p>
        </w:tc>
        <w:tc>
          <w:tcPr>
            <w:tcW w:w="2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6,480,396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36.4 %</w:t>
            </w:r>
          </w:p>
        </w:tc>
      </w:tr>
      <w:tr>
        <w:trPr>
          <w:trHeight w:val="21"/>
        </w:trPr>
        <w:tc>
          <w:tcPr>
            <w:tcW w:w="67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2255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060" w:hanging="1034"/>
        <w:spacing w:after="0"/>
        <w:tabs>
          <w:tab w:leader="none" w:pos="10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77" w:lineRule="exact"/>
        <w:rPr>
          <w:sz w:val="20"/>
          <w:szCs w:val="20"/>
          <w:color w:val="auto"/>
        </w:rPr>
      </w:pPr>
    </w:p>
    <w:p>
      <w:pPr>
        <w:ind w:left="1060" w:right="120" w:hanging="1034"/>
        <w:spacing w:after="0" w:line="209"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2,308,958 shares of common stock held by NMSIC Co-Investment Fund, L.P. ("NMSIC"). The general partner of NMSIC is Sun Mountain Capital Partners LLC ("Sun Mountain"). NMSIC is the sole member of NMSIC Focused. The controlling members of Sun Mountain are Brian Birk, one of our directors, Sally Corning and Lee Rand. As a result, each of Sun Mountain, Mr. Birk, Ms. Corning and Mr. Rand may be deemed to possess voting and investment control over, and may be deemed to have indirect beneficial ownership with respect to, all shares held by NMSIC or NMSIC Focused. Neither Sun Mountain, Mr. Birk, Ms. Coming nor Mr. Rand owns directly any of the shares. Each of Sun Mountain, Mr. Birk, Ms. Coming and Mr. Rand disclaims beneficial ownership of the shares held by NMSIC or NMSIC Focused, except to the extent of their pecuniary interest therein. The address for each of the NMSIC entities is 527 Don Gaspar Avenue, Santa Fe, New Mexico 87505.</w:t>
      </w:r>
    </w:p>
    <w:p>
      <w:pPr>
        <w:spacing w:after="0" w:line="166" w:lineRule="exact"/>
        <w:rPr>
          <w:rFonts w:ascii="Arial" w:cs="Arial" w:eastAsia="Arial" w:hAnsi="Arial"/>
          <w:sz w:val="14"/>
          <w:szCs w:val="14"/>
          <w:color w:val="auto"/>
        </w:rPr>
      </w:pPr>
    </w:p>
    <w:p>
      <w:pPr>
        <w:ind w:left="1060" w:right="80" w:hanging="1034"/>
        <w:spacing w:after="0" w:line="233"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(a) 992,821 shares of common stock and 119,536 shares of common stock issuable upon the exercise of warrants held by Tullis-Dickerson Capital Focus III, L.P., or Tullis, (b) 457,398 shares of common stock and 170,445 shares of common stock issuable upon the exercise of warrants held by Tullis Growth Fund, L.P, and (c) 105,453 shares of common stock held by Tullis Growth Fund II, L.P.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Fund, L.P. and Tullis Growth Fund II, L.P., respectively, and may be deemed to beneficially own the securities held by Tullis Growth and Tullis Growth II. James L.L. Tullis, one of our directors,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w:t>
      </w:r>
    </w:p>
    <w:p>
      <w:pPr>
        <w:spacing w:after="0" w:line="167" w:lineRule="exact"/>
        <w:rPr>
          <w:rFonts w:ascii="Arial" w:cs="Arial" w:eastAsia="Arial" w:hAnsi="Arial"/>
          <w:sz w:val="14"/>
          <w:szCs w:val="14"/>
          <w:color w:val="auto"/>
        </w:rPr>
      </w:pPr>
    </w:p>
    <w:p>
      <w:pPr>
        <w:ind w:left="1060" w:right="20" w:hanging="1034"/>
        <w:spacing w:after="0" w:line="219"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H.I.G. Capital, LLC has sole voting and investment control over the shares owned by H.I.G. Bio-Exagen, LLC. Bruce C. Robertson, Ph.D.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166" w:lineRule="exact"/>
        <w:rPr>
          <w:rFonts w:ascii="Arial" w:cs="Arial" w:eastAsia="Arial" w:hAnsi="Arial"/>
          <w:sz w:val="14"/>
          <w:szCs w:val="14"/>
          <w:color w:val="auto"/>
        </w:rPr>
      </w:pPr>
    </w:p>
    <w:p>
      <w:pPr>
        <w:ind w:left="1060" w:right="100" w:hanging="1034"/>
        <w:spacing w:after="0" w:line="229"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1,691,507 shares of common stock held by Wasatch Advisors, Inc., as indicated in the entity's Schedule 13G/A filed with the SEC on April 9, 2021. The address of Wasatch Advisors, Inc. is 505 Wakara Way, Salt Lake City, UT 84108.</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36" w:right="339" w:bottom="1440" w:gutter="0" w:footer="0" w:header="0"/>
        </w:sectPr>
      </w:pPr>
    </w:p>
    <w:bookmarkStart w:id="33" w:name="page34"/>
    <w:bookmarkEnd w:id="33"/>
    <w:p>
      <w:pPr>
        <w:ind w:left="1034" w:right="60" w:hanging="1034"/>
        <w:spacing w:after="0" w:line="212" w:lineRule="auto"/>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1,259,674 shares of common stock held by Hunt Holdings, L.P., as indicated in the entity’s Schedule 13G/A filed with the SEC on February 16, 2021.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The address of each of the foregoing entities is 4401 N. Mesa St., El Paso, Texas 79902.</w:t>
      </w:r>
    </w:p>
    <w:p>
      <w:pPr>
        <w:spacing w:after="0" w:line="166" w:lineRule="exact"/>
        <w:rPr>
          <w:rFonts w:ascii="Arial" w:cs="Arial" w:eastAsia="Arial" w:hAnsi="Arial"/>
          <w:sz w:val="14"/>
          <w:szCs w:val="14"/>
          <w:color w:val="auto"/>
        </w:rPr>
      </w:pPr>
    </w:p>
    <w:p>
      <w:pPr>
        <w:ind w:left="1034" w:right="20" w:hanging="1034"/>
        <w:spacing w:after="0" w:line="210" w:lineRule="auto"/>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1,250,131 shares of common stock held by RTW Master Fund, Ltd. and one or more private funds (together the “Funds”) managed by RTW Investments, LP (the “Adviser”), as indicated in the entity’s Schedule 13G/A filed with the SEC on February 12, 2021. The Adviser, in its capacity as the investment manager of the Funds, has the power to vote and the power to direct the disposition of all Shares held by the Funds. Accordingly, for the purposes of Reg. Section 240.13d-3, the Adviser may be deemed to beneficially own an aggregate of 1,250,131 shares. Roderick Wong is the Managing Partner of the Adviser. The address of RTW Investments, LP and Roderick Wong is 40 10th Avenue, 7th Floor, New York, NY 10014. The address of RTW Master Fund, Ltd. is 190 Elgin Avenue, George Town, Grand Cayman KY1-9001, Cayman Islands.</w:t>
      </w:r>
    </w:p>
    <w:p>
      <w:pPr>
        <w:spacing w:after="0" w:line="167"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331,359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84,166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29,166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21,948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16,940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3,333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16,940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right="40" w:hanging="1034"/>
        <w:spacing w:after="0" w:line="215" w:lineRule="auto"/>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1,185 shares of common stock held by Proficio Capital Management, LLC (“Proficio”). Dr. Pallares, one of our directors, is the founder and sole member of Proficio. As a result, each of Proficio and Dr. Pallares may be deemed to possess voting and investment control over, and may be deemed to have an indirect beneficial ownership interest with respect to, all shares held by Proficio. Also includes 17,632 shares underlying options to purchase common stock held by Dr. Pallares that are exercisable within 60 days of April 19, 2021.</w:t>
      </w:r>
    </w:p>
    <w:p>
      <w:pPr>
        <w:spacing w:after="0" w:line="165" w:lineRule="exact"/>
        <w:rPr>
          <w:rFonts w:ascii="Arial" w:cs="Arial" w:eastAsia="Arial" w:hAnsi="Arial"/>
          <w:sz w:val="14"/>
          <w:szCs w:val="14"/>
          <w:color w:val="auto"/>
        </w:rPr>
      </w:pPr>
    </w:p>
    <w:p>
      <w:pPr>
        <w:ind w:left="1034" w:hanging="1034"/>
        <w:spacing w:after="0"/>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9,000 shares underlying options to purchase common stock that are exercisable within 60 days of April 19, 2021.</w:t>
      </w:r>
    </w:p>
    <w:p>
      <w:pPr>
        <w:spacing w:after="0" w:line="176" w:lineRule="exact"/>
        <w:rPr>
          <w:rFonts w:ascii="Arial" w:cs="Arial" w:eastAsia="Arial" w:hAnsi="Arial"/>
          <w:sz w:val="14"/>
          <w:szCs w:val="14"/>
          <w:color w:val="auto"/>
        </w:rPr>
      </w:pPr>
    </w:p>
    <w:p>
      <w:pPr>
        <w:ind w:left="1034" w:right="40" w:hanging="1034"/>
        <w:spacing w:after="0" w:line="219" w:lineRule="auto"/>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(a) 21,348 shares of common stock held by James L.L. Tullis, (b) 1,431 shares of common stock held by Linda A. Tullis, (c) 4,537 shares of common stock held by the HPS Irrevocable Trust #3 U/A Dtd 7/6/93, and (d) 17,632 shares underlying options to purchase common stock that are exercisable within 60 days of April 19, 2021.</w:t>
      </w:r>
    </w:p>
    <w:p>
      <w:pPr>
        <w:spacing w:after="0" w:line="166" w:lineRule="exact"/>
        <w:rPr>
          <w:rFonts w:ascii="Arial" w:cs="Arial" w:eastAsia="Arial" w:hAnsi="Arial"/>
          <w:sz w:val="14"/>
          <w:szCs w:val="14"/>
          <w:color w:val="auto"/>
        </w:rPr>
      </w:pPr>
    </w:p>
    <w:p>
      <w:pPr>
        <w:jc w:val="both"/>
        <w:ind w:left="1034" w:hanging="1034"/>
        <w:spacing w:after="0" w:line="219" w:lineRule="auto"/>
        <w:tabs>
          <w:tab w:leader="none" w:pos="10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the shares of common stock and shares of common stock issuable upon exercise of outstanding options which are exercisable within 60 days of April 19, 2021, as set forth in the previous footnotes and (ii) 52,916 shares underlying options to purchase common stock that are exercisable within 60 days of April 19, 2021 held by Mark Hazeltine, our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14"/>
          </w:cols>
          <w:pgMar w:left="346" w:top="954"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following is a summary of transactions entered into or existing since January 1, 2019 to which we have been a party in which the amount involved exceeded or will exceed $120,000 (or, if less, 1% of the average of our total assets amounts for the years ended December 31,</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2020 and 2019),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Redeemable Convertible Preferred Stock Financing</w:t>
      </w:r>
    </w:p>
    <w:p>
      <w:pPr>
        <w:spacing w:after="0" w:line="274"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In January 2019 we entered into an agreement to issue shares of our Series G redeemable convertible preferred stock, which agreement was subsequently amended in May 2019, pursuant to which we sold to investors in an initial closing in January 2019 and subsequent closings in March 2019 and May 2019, in private placements an aggregate of 148,928,337 shares of our Series G redeemable convertible preferred stock at a purchase price of $0.078 per share, for an aggregate purchase price of approximately $11.6 million. In addition, in May 2019, the Series G preferred stock agreement was amended to include a right by us to require certain holders of Series G redeemable convertible preferred stock, including NMSIC Focused LLC, Hunt Holdings, Limited Partnership and Tullis-Dickerson Capital Focus III, L.P., who are holders of more than 5% of our capital stock, to purchase an additional 32,051,280 shares of Series G redeemable convertible preferred stock at $0.078 per share, for total aggregate proceeds of $2.5 million, at any time after July 31, 2019 and prior to May 31, 2020. This right terminated in connection with our Series H redeemable convertible preferred stock financing in July 2019, as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H Redeemable Convertible Preferred Stock Financing and Series G Conversion</w:t>
      </w:r>
    </w:p>
    <w:p>
      <w:pPr>
        <w:spacing w:after="0" w:line="274"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In July 2019 we entered into an agreement to issue shares of our Series H redeemable convertible preferred stock, pursuant to which we sold to H.I.G. Bio-Exagen, L.P. in a single closing in July 2019, in a private placement an aggregate of 233,446,519 shares of our Series H redeemable convertible preferred stock at a purchase price of $0.04712 per share, for an aggregate purchase price of approximately $11.0 million.</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conjunction with the issuance of the Series H redeemable convertible preferred stock, each share of issued and outstanding Series G redeemable convertible preferred stock was converted into 1.6553 shares of Series H redeemable convertible preferred stock, for a total of 246,521,076 shares of Series H redeemable convertible preferred stock.</w:t>
      </w: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Each share of Series H redeemable convertible preferred stock converted into 0.0054 shares of common stock upon the completion of our initial public offering.</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sets forth the aggregate number of these securities acquired by the listed directors, executive officers or holders of more than 5% of our capital stock, or their affiliates since January 1,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4560" w:type="dxa"/>
            <w:vAlign w:val="bottom"/>
          </w:tcPr>
          <w:p>
            <w:pPr>
              <w:jc w:val="center"/>
              <w:ind w:left="2508"/>
              <w:spacing w:after="0"/>
              <w:rPr>
                <w:sz w:val="20"/>
                <w:szCs w:val="20"/>
                <w:color w:val="auto"/>
              </w:rPr>
            </w:pPr>
            <w:r>
              <w:rPr>
                <w:rFonts w:ascii="Arial" w:cs="Arial" w:eastAsia="Arial" w:hAnsi="Arial"/>
                <w:sz w:val="14"/>
                <w:szCs w:val="14"/>
                <w:b w:val="1"/>
                <w:bCs w:val="1"/>
                <w:color w:val="auto"/>
              </w:rPr>
              <w:t>Series H Redeemable</w:t>
            </w:r>
          </w:p>
        </w:tc>
        <w:tc>
          <w:tcPr>
            <w:tcW w:w="0" w:type="dxa"/>
            <w:vAlign w:val="bottom"/>
          </w:tcPr>
          <w:p>
            <w:pPr>
              <w:spacing w:after="0"/>
              <w:rPr>
                <w:sz w:val="1"/>
                <w:szCs w:val="1"/>
                <w:color w:val="auto"/>
              </w:rPr>
            </w:pPr>
          </w:p>
        </w:tc>
      </w:tr>
      <w:tr>
        <w:trPr>
          <w:trHeight w:val="135"/>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Participants</w:t>
            </w:r>
          </w:p>
        </w:tc>
        <w:tc>
          <w:tcPr>
            <w:tcW w:w="4560" w:type="dxa"/>
            <w:vAlign w:val="bottom"/>
          </w:tcPr>
          <w:p>
            <w:pPr>
              <w:jc w:val="center"/>
              <w:ind w:left="2508"/>
              <w:spacing w:after="0" w:line="135" w:lineRule="exact"/>
              <w:rPr>
                <w:sz w:val="20"/>
                <w:szCs w:val="20"/>
                <w:color w:val="auto"/>
              </w:rPr>
            </w:pPr>
            <w:r>
              <w:rPr>
                <w:rFonts w:ascii="Arial" w:cs="Arial" w:eastAsia="Arial" w:hAnsi="Arial"/>
                <w:sz w:val="14"/>
                <w:szCs w:val="14"/>
                <w:b w:val="1"/>
                <w:bCs w:val="1"/>
                <w:color w:val="auto"/>
              </w:rPr>
              <w:t>Convertible Preferred Stock</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auto"/>
            </w:tcBorders>
            <w:vMerge w:val="continue"/>
          </w:tcPr>
          <w:p>
            <w:pPr>
              <w:spacing w:after="0"/>
              <w:rPr>
                <w:sz w:val="15"/>
                <w:szCs w:val="15"/>
                <w:color w:val="auto"/>
              </w:rPr>
            </w:pPr>
          </w:p>
        </w:tc>
        <w:tc>
          <w:tcPr>
            <w:tcW w:w="4560" w:type="dxa"/>
            <w:vAlign w:val="bottom"/>
            <w:tcBorders>
              <w:bottom w:val="single" w:sz="8" w:color="auto"/>
            </w:tcBorders>
          </w:tcPr>
          <w:p>
            <w:pPr>
              <w:jc w:val="center"/>
              <w:ind w:left="2508"/>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5% or Greater Stockholders (1)</w:t>
            </w: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NMSIC Co-Investment Fund, L.P. (2)</w:t>
            </w:r>
          </w:p>
        </w:tc>
        <w:tc>
          <w:tcPr>
            <w:tcW w:w="4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53,054,485</w:t>
            </w: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Entities affiliated with Tullis-Dickerson Capital Focus III, L.P. (3)</w:t>
            </w:r>
          </w:p>
        </w:tc>
        <w:tc>
          <w:tcPr>
            <w:tcW w:w="4560" w:type="dxa"/>
            <w:vAlign w:val="bottom"/>
          </w:tcPr>
          <w:p>
            <w:pPr>
              <w:jc w:val="right"/>
              <w:spacing w:after="0"/>
              <w:rPr>
                <w:sz w:val="20"/>
                <w:szCs w:val="20"/>
                <w:color w:val="auto"/>
              </w:rPr>
            </w:pPr>
            <w:r>
              <w:rPr>
                <w:rFonts w:ascii="Arial" w:cs="Arial" w:eastAsia="Arial" w:hAnsi="Arial"/>
                <w:sz w:val="14"/>
                <w:szCs w:val="14"/>
                <w:color w:val="auto"/>
              </w:rPr>
              <w:t>59,102,693</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 Bio-Exagen, L.P.</w:t>
            </w:r>
          </w:p>
        </w:tc>
        <w:tc>
          <w:tcPr>
            <w:tcW w:w="4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233,446,519</w:t>
            </w: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Hunt Holdings, L.P.</w:t>
            </w:r>
          </w:p>
        </w:tc>
        <w:tc>
          <w:tcPr>
            <w:tcW w:w="4560" w:type="dxa"/>
            <w:vAlign w:val="bottom"/>
          </w:tcPr>
          <w:p>
            <w:pPr>
              <w:jc w:val="right"/>
              <w:spacing w:after="0"/>
              <w:rPr>
                <w:sz w:val="20"/>
                <w:szCs w:val="20"/>
                <w:color w:val="auto"/>
              </w:rPr>
            </w:pPr>
            <w:r>
              <w:rPr>
                <w:rFonts w:ascii="Arial" w:cs="Arial" w:eastAsia="Arial" w:hAnsi="Arial"/>
                <w:sz w:val="14"/>
                <w:szCs w:val="14"/>
                <w:color w:val="auto"/>
              </w:rPr>
              <w:t>54,145,517</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Gerrit Johan Krediet</w:t>
            </w:r>
          </w:p>
        </w:tc>
        <w:tc>
          <w:tcPr>
            <w:tcW w:w="4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74,276,281</w:t>
            </w: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Directors</w:t>
            </w:r>
          </w:p>
        </w:tc>
        <w:tc>
          <w:tcPr>
            <w:tcW w:w="4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James L.L. Tullis (4)</w:t>
            </w:r>
          </w:p>
        </w:tc>
        <w:tc>
          <w:tcPr>
            <w:tcW w:w="4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742,761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29" w:right="339" w:bottom="1440" w:gutter="0" w:footer="0" w:header="0"/>
        </w:sectPr>
      </w:pPr>
    </w:p>
    <w:bookmarkStart w:id="35" w:name="page36"/>
    <w:bookmarkEnd w:id="35"/>
    <w:p>
      <w:pPr>
        <w:ind w:left="800" w:right="700" w:hanging="774"/>
        <w:spacing w:after="0" w:line="229" w:lineRule="auto"/>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9601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60120" cy="8255"/>
                    </a:xfrm>
                    <a:prstGeom prst="rect">
                      <a:avLst/>
                    </a:prstGeom>
                    <a:noFill/>
                  </pic:spPr>
                </pic:pic>
              </a:graphicData>
            </a:graphic>
          </wp:anchor>
        </w:drawing>
        <w:t>Additional details regarding these stockholders and their equity holdings are provided herein under "Security Ownership of Certain Beneficial Owners and Management."</w:t>
      </w:r>
    </w:p>
    <w:p>
      <w:pPr>
        <w:spacing w:after="0" w:line="165" w:lineRule="exact"/>
        <w:rPr>
          <w:rFonts w:ascii="Arial" w:cs="Arial" w:eastAsia="Arial" w:hAnsi="Arial"/>
          <w:sz w:val="14"/>
          <w:szCs w:val="14"/>
          <w:color w:val="auto"/>
        </w:rPr>
      </w:pPr>
    </w:p>
    <w:p>
      <w:pPr>
        <w:ind w:left="800" w:hanging="774"/>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securities held by NMSIC Co-Investment Fund, L.P. and NMSIC Focused LLC.</w:t>
      </w:r>
    </w:p>
    <w:p>
      <w:pPr>
        <w:spacing w:after="0" w:line="176" w:lineRule="exact"/>
        <w:rPr>
          <w:rFonts w:ascii="Arial" w:cs="Arial" w:eastAsia="Arial" w:hAnsi="Arial"/>
          <w:sz w:val="14"/>
          <w:szCs w:val="14"/>
          <w:color w:val="auto"/>
        </w:rPr>
      </w:pPr>
    </w:p>
    <w:p>
      <w:pPr>
        <w:ind w:left="800" w:hanging="774"/>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securities held by Tullis-Dickerson Capital Focus III, L.P., Tullis Growth Fund, L.P. and Tullis Growth Fund II, L.P.</w:t>
      </w:r>
    </w:p>
    <w:p>
      <w:pPr>
        <w:spacing w:after="0" w:line="176" w:lineRule="exact"/>
        <w:rPr>
          <w:rFonts w:ascii="Arial" w:cs="Arial" w:eastAsia="Arial" w:hAnsi="Arial"/>
          <w:sz w:val="14"/>
          <w:szCs w:val="14"/>
          <w:color w:val="auto"/>
        </w:rPr>
      </w:pPr>
    </w:p>
    <w:p>
      <w:pPr>
        <w:ind w:left="800" w:hanging="774"/>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securities held by James L.L. Tullis, Linda A. Tullis and the HPS Irrevocable Trust #3 U/A Dtd 7/6/93.</w:t>
      </w:r>
    </w:p>
    <w:p>
      <w:pPr>
        <w:spacing w:after="0" w:line="190" w:lineRule="exact"/>
        <w:rPr>
          <w:rFonts w:ascii="Arial" w:cs="Arial" w:eastAsia="Arial" w:hAnsi="Arial"/>
          <w:sz w:val="14"/>
          <w:szCs w:val="14"/>
          <w:color w:val="auto"/>
        </w:rPr>
      </w:pPr>
    </w:p>
    <w:p>
      <w:pPr>
        <w:ind w:left="800" w:right="640" w:hanging="774"/>
        <w:spacing w:after="0" w:line="229" w:lineRule="auto"/>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include shares issued upon conversion of Series G redeemable convertible preferred stock, as described above in more detail under “—Series H Redeemable Convertible Preferred Stock Financing and Series G Conversion.”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Some of our directors are associated with our principal stockholders as indicated in the table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Director</w:t>
            </w:r>
          </w:p>
        </w:tc>
        <w:tc>
          <w:tcPr>
            <w:tcW w:w="7160" w:type="dxa"/>
            <w:vAlign w:val="bottom"/>
            <w:tcBorders>
              <w:bottom w:val="single" w:sz="8" w:color="auto"/>
            </w:tcBorders>
          </w:tcPr>
          <w:p>
            <w:pPr>
              <w:ind w:left="3800"/>
              <w:spacing w:after="0"/>
              <w:rPr>
                <w:sz w:val="20"/>
                <w:szCs w:val="20"/>
                <w:color w:val="auto"/>
              </w:rPr>
            </w:pPr>
            <w:r>
              <w:rPr>
                <w:rFonts w:ascii="Arial" w:cs="Arial" w:eastAsia="Arial" w:hAnsi="Arial"/>
                <w:sz w:val="16"/>
                <w:szCs w:val="16"/>
                <w:b w:val="1"/>
                <w:bCs w:val="1"/>
                <w:color w:val="auto"/>
              </w:rPr>
              <w:t>Principal Stockholder</w:t>
            </w:r>
          </w:p>
        </w:tc>
      </w:tr>
      <w:tr>
        <w:trPr>
          <w:trHeight w:val="206"/>
        </w:trPr>
        <w:tc>
          <w:tcPr>
            <w:tcW w:w="4080" w:type="dxa"/>
            <w:vAlign w:val="bottom"/>
          </w:tcPr>
          <w:p>
            <w:pPr>
              <w:ind w:left="20"/>
              <w:spacing w:after="0"/>
              <w:rPr>
                <w:sz w:val="20"/>
                <w:szCs w:val="20"/>
                <w:color w:val="auto"/>
              </w:rPr>
            </w:pPr>
            <w:r>
              <w:rPr>
                <w:rFonts w:ascii="Arial" w:cs="Arial" w:eastAsia="Arial" w:hAnsi="Arial"/>
                <w:sz w:val="16"/>
                <w:szCs w:val="16"/>
                <w:color w:val="auto"/>
              </w:rPr>
              <w:t>Brian Birk</w:t>
            </w:r>
          </w:p>
        </w:tc>
        <w:tc>
          <w:tcPr>
            <w:tcW w:w="7160" w:type="dxa"/>
            <w:vAlign w:val="bottom"/>
          </w:tcPr>
          <w:p>
            <w:pPr>
              <w:ind w:left="2120"/>
              <w:spacing w:after="0"/>
              <w:rPr>
                <w:sz w:val="20"/>
                <w:szCs w:val="20"/>
                <w:color w:val="auto"/>
              </w:rPr>
            </w:pPr>
            <w:r>
              <w:rPr>
                <w:rFonts w:ascii="Arial" w:cs="Arial" w:eastAsia="Arial" w:hAnsi="Arial"/>
                <w:sz w:val="16"/>
                <w:szCs w:val="16"/>
                <w:color w:val="auto"/>
              </w:rPr>
              <w:t>NMSIC Co-Investment Fund, L.P.</w:t>
            </w:r>
          </w:p>
        </w:tc>
      </w:tr>
      <w:tr>
        <w:trPr>
          <w:trHeight w:val="216"/>
        </w:trPr>
        <w:tc>
          <w:tcPr>
            <w:tcW w:w="4080" w:type="dxa"/>
            <w:vAlign w:val="bottom"/>
          </w:tcPr>
          <w:p>
            <w:pPr>
              <w:ind w:left="20"/>
              <w:spacing w:after="0"/>
              <w:rPr>
                <w:sz w:val="20"/>
                <w:szCs w:val="20"/>
                <w:color w:val="auto"/>
              </w:rPr>
            </w:pPr>
            <w:r>
              <w:rPr>
                <w:rFonts w:ascii="Arial" w:cs="Arial" w:eastAsia="Arial" w:hAnsi="Arial"/>
                <w:sz w:val="16"/>
                <w:szCs w:val="16"/>
                <w:color w:val="auto"/>
              </w:rPr>
              <w:t>Bruce C. Robertson, Ph.D.</w:t>
            </w:r>
          </w:p>
        </w:tc>
        <w:tc>
          <w:tcPr>
            <w:tcW w:w="7160" w:type="dxa"/>
            <w:vAlign w:val="bottom"/>
          </w:tcPr>
          <w:p>
            <w:pPr>
              <w:ind w:left="2120"/>
              <w:spacing w:after="0"/>
              <w:rPr>
                <w:sz w:val="20"/>
                <w:szCs w:val="20"/>
                <w:color w:val="auto"/>
              </w:rPr>
            </w:pPr>
            <w:r>
              <w:rPr>
                <w:rFonts w:ascii="Arial" w:cs="Arial" w:eastAsia="Arial" w:hAnsi="Arial"/>
                <w:sz w:val="16"/>
                <w:szCs w:val="16"/>
                <w:color w:val="auto"/>
              </w:rPr>
              <w:t>H.I.G. Bio-Exagen, L.P.</w:t>
            </w:r>
          </w:p>
        </w:tc>
      </w:tr>
      <w:tr>
        <w:trPr>
          <w:trHeight w:val="216"/>
        </w:trPr>
        <w:tc>
          <w:tcPr>
            <w:tcW w:w="4080" w:type="dxa"/>
            <w:vAlign w:val="bottom"/>
          </w:tcPr>
          <w:p>
            <w:pPr>
              <w:ind w:left="20"/>
              <w:spacing w:after="0"/>
              <w:rPr>
                <w:sz w:val="20"/>
                <w:szCs w:val="20"/>
                <w:color w:val="auto"/>
              </w:rPr>
            </w:pPr>
            <w:r>
              <w:rPr>
                <w:rFonts w:ascii="Arial" w:cs="Arial" w:eastAsia="Arial" w:hAnsi="Arial"/>
                <w:sz w:val="16"/>
                <w:szCs w:val="16"/>
                <w:color w:val="auto"/>
              </w:rPr>
              <w:t>James L.L. Tullis</w:t>
            </w:r>
          </w:p>
        </w:tc>
        <w:tc>
          <w:tcPr>
            <w:tcW w:w="7160" w:type="dxa"/>
            <w:vAlign w:val="bottom"/>
          </w:tcPr>
          <w:p>
            <w:pPr>
              <w:ind w:left="2120"/>
              <w:spacing w:after="0"/>
              <w:rPr>
                <w:sz w:val="20"/>
                <w:szCs w:val="20"/>
                <w:color w:val="auto"/>
              </w:rPr>
            </w:pPr>
            <w:r>
              <w:rPr>
                <w:rFonts w:ascii="Arial" w:cs="Arial" w:eastAsia="Arial" w:hAnsi="Arial"/>
                <w:sz w:val="16"/>
                <w:szCs w:val="16"/>
                <w:color w:val="auto"/>
              </w:rPr>
              <w:t>Tullis-Dickerson Capital Focus III, L.P.</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Agreements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entered into an amended and restated investors’ rights agreement in July 2019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terminated upon completion of our initial public offering. The registration rights will terminate three years following the completion of our initial public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entered into an amended and restated stockholders’ agreement in July 2019, by and among us and certain of our stockholders, pursuant to which the following directors were each elected to serve as members on the Board: Brian Birk, Chet Burrell, Jeff Elliott, Tina S. Nova, Ph.D. Ebetuel Pallares, Ph.D., Bruce C. Robertson, Ph.D., Ron Rocca and James L.L. Tullis. Mr. Burrell retired from our Board, effective December 31, 2020, and Mr. Elliott's term will expire at the Annual Meeting. Pursuant to the amended and restated stockholders’ agreement, Mr. Rocca, as our Chief Executive Officer, was initially selected to serve on the Board as a representative of holders of our common stock, as designated by a majority of our common stockholders. Mr. Birk, Mr. Tullis, Dr. Pallares and Dr. Robertson were initially selected to serve on the Board as representatives of holders of our redeemable convertible preferred stock, as designated by NMSIC Co-Investment Fund, L.P., Tullis-Dickerson Capital Focus III, L.P., PCM/Exagen, L.P. (formerly known as CCP/Exagen, L.P.) and H.I.G. BioHealth Partners, LLC or its affiliates, respectively. Mr. Burrell, Mr. Elliott and Dr. Nova were selected to serve on the Board as designated by the holders of a majority of our outstanding Series H, Series F, Series E, Series D, Series C, and Series B-3 redeemable convertible preferred stock, voting together as a single class. The amended and restated stockholders’ agreement also provided for certain other rights, including among others, a right of first refusal to purchase future securities.</w:t>
      </w:r>
    </w:p>
    <w:p>
      <w:pPr>
        <w:spacing w:after="0" w:line="23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amended and restated stockholders’ agreement, and all the rights granted pursuant to it, terminated upon the completion of our initial public offering, and members previously elected to the Board pursuant to this agreement will continue to serve as directors until they resign, are removed or their successors are duly elected by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4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Participation in our Initial Public Offering</w:t>
      </w:r>
    </w:p>
    <w:p>
      <w:pPr>
        <w:spacing w:after="0" w:line="274"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In September 2019, H.I.G. Bio-Exagen, L.P. purchased approximately $6.0 million of shares of our common stock, respectively, in our initial public offering at the initial public offering price of $14.00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7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have entered into an offer letters with each of our named executive officers. For more information regarding these agreements, see the section in this annual report entitled “Executive and Director Compensation—Narrative Disclosure to Summary Compensation Table—Offer Letters with our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Charter and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to Executive Officers and Directors</w:t>
      </w:r>
    </w:p>
    <w:p>
      <w:pPr>
        <w:spacing w:after="0" w:line="2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have granted stock options to our executive officers and certain of our directors as more fully described in the section entitled “Executive and Director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2020, other than a late Form 4 filed on March 27, 2020 by Dr. Pallares, late Form 4s filed on July 2, 2020 for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88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each of Messrs. Birk, Burrell, Elliott, Tullis and Dr. Nova. and Dr. Pallares and a late Form 4 filed on July 16, 2020 for Dr. Robertson.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2022 Annual Meeting of Stockholders pursuant to Rule 14a-8 under the Exchange Act must submit the proposal to our Corporate Secretary at our offices at 1261 Liberty Way, Vista, CA 92081 in writing not later than January 4, 2022, which is 120 days prior to the one-year anniversary of the mailing date of the proxy statement for the Annual Meeting, unless the date of the 2022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Stockholders intending to present a proposal at the 2022 Annual Meeting of Stockholders,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2022 Annual Meeting of Stockholders no earlier than the close of business on February 17, 2022 and no later than the close of business on March 19, 2022. The notice must contain the information required by the Bylaws, a copy of which is available upon request to our Corporate Secretary. In the event that the date of the 2022 Annual Meeting of Stockholders is more than 30 days before or more than 60 days after June 17, 2022, then our Corporate Secretary must receive such written notice not earlier than the close of business on the 120th day prior to the 2022 Annual Meeting and not later than the close of business on the 90th day prior to the 2022 Annual Meeting and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w:t>
      </w:r>
    </w:p>
    <w:p>
      <w:pPr>
        <w:spacing w:after="0" w:line="23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90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proxy is solicited by and on behalf of the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89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copy of Exagen’s Annual Report on Form 10-K for the fiscal year ended December 31, 2020, including financial statements thereto but not including exhibits, as filed with the SEC, will be sent to any beneficial owners of our common stock on the Record Date as determined on April 19, 2021 without charge upon written request addressed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Exagen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 CA 92081</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reasonable fee will be charged for copies of exhibits. You also may access this proxy statement and our Annual Report on Form 10-K at www.proxydocs.com/XGN. We make available free of charge on our website all of our filings that are made electronically with the SEC, including our Annual Report on Form 10-K for the year ended December 31, 2020. These materials can be found at www.exagen.com under the "Investor Relations" section.</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Kamal Adawi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Kamal Adawi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129" w:right="33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732155</wp:posOffset>
            </wp:positionV>
            <wp:extent cx="6043930" cy="7680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043930" cy="768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732155</wp:posOffset>
            </wp:positionV>
            <wp:extent cx="6043295" cy="7680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043295" cy="7680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C"/>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5"/>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2021-04-27T15:30:08Z</dcterms:created>
  <dcterms:modified xsi:type="dcterms:W3CDTF">2021-04-27T15:30:08Z</dcterms:modified>
</cp:coreProperties>
</file>