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0" w:type="dxa"/>
            <w:vAlign w:val="bottom"/>
            <w:gridSpan w:val="2"/>
            <w:vMerge w:val="restart"/>
          </w:tcPr>
          <w:p>
            <w:pPr>
              <w:spacing w:after="0"/>
              <w:rPr>
                <w:rFonts w:ascii="Arial" w:cs="Arial" w:eastAsia="Arial" w:hAnsi="Arial"/>
                <w:sz w:val="22"/>
                <w:szCs w:val="22"/>
                <w:color w:val="0000EE"/>
                <w:w w:val="96"/>
              </w:rPr>
            </w:pPr>
            <w:hyperlink r:id="rId11">
              <w:r>
                <w:rPr>
                  <w:rFonts w:ascii="Arial" w:cs="Arial" w:eastAsia="Arial" w:hAnsi="Arial"/>
                  <w:sz w:val="22"/>
                  <w:szCs w:val="22"/>
                  <w:color w:val="0000EE"/>
                  <w:w w:val="96"/>
                </w:rPr>
                <w:t>TULLIS DICKERSON CAPITAL</w:t>
              </w:r>
            </w:hyperlink>
          </w:p>
        </w:tc>
        <w:tc>
          <w:tcPr>
            <w:tcW w:w="220" w:type="dxa"/>
            <w:vAlign w:val="bottom"/>
            <w:vMerge w:val="restart"/>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0" w:type="dxa"/>
            <w:vAlign w:val="bottom"/>
            <w:tcBorders>
              <w:bottom w:val="single" w:sz="8" w:color="0000EE"/>
            </w:tcBorders>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20" w:type="dxa"/>
            <w:vAlign w:val="bottom"/>
            <w:gridSpan w:val="3"/>
          </w:tcPr>
          <w:p>
            <w:pPr>
              <w:spacing w:after="0" w:line="223" w:lineRule="exact"/>
              <w:rPr>
                <w:rFonts w:ascii="Arial" w:cs="Arial" w:eastAsia="Arial" w:hAnsi="Arial"/>
                <w:sz w:val="22"/>
                <w:szCs w:val="22"/>
                <w:color w:val="0000EE"/>
              </w:rPr>
            </w:pPr>
            <w:hyperlink r:id="rId11">
              <w:r>
                <w:rPr>
                  <w:rFonts w:ascii="Arial" w:cs="Arial" w:eastAsia="Arial" w:hAnsi="Arial"/>
                  <w:sz w:val="22"/>
                  <w:szCs w:val="22"/>
                  <w:color w:val="0000EE"/>
                </w:rPr>
                <w:t>FOCUS III, L.P.</w:t>
              </w:r>
            </w:hyperlink>
          </w:p>
        </w:tc>
        <w:tc>
          <w:tcPr>
            <w:tcW w:w="1380" w:type="dxa"/>
            <w:vAlign w:val="bottom"/>
          </w:tcPr>
          <w:p>
            <w:pPr>
              <w:ind w:left="160"/>
              <w:spacing w:after="0"/>
              <w:rPr>
                <w:sz w:val="20"/>
                <w:szCs w:val="20"/>
                <w:color w:val="auto"/>
              </w:rPr>
            </w:pPr>
            <w:r>
              <w:rPr>
                <w:rFonts w:ascii="Arial" w:cs="Arial" w:eastAsia="Arial" w:hAnsi="Arial"/>
                <w:sz w:val="18"/>
                <w:szCs w:val="18"/>
                <w:color w:val="0000FF"/>
              </w:rPr>
              <w:t>09/18/2019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4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11770 US HIGHWAY ONE, SUITE 503</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5"/>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PALM</w:t>
            </w:r>
          </w:p>
        </w:tc>
        <w:tc>
          <w:tcPr>
            <w:tcW w:w="8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BEACH</w:t>
            </w:r>
          </w:p>
        </w:tc>
        <w:tc>
          <w:tcPr>
            <w:tcW w:w="840" w:type="dxa"/>
            <w:vAlign w:val="bottom"/>
          </w:tcPr>
          <w:p>
            <w:pPr>
              <w:ind w:left="140"/>
              <w:spacing w:after="0"/>
              <w:rPr>
                <w:sz w:val="20"/>
                <w:szCs w:val="20"/>
                <w:color w:val="auto"/>
              </w:rPr>
            </w:pPr>
            <w:r>
              <w:rPr>
                <w:rFonts w:ascii="Arial" w:cs="Arial" w:eastAsia="Arial" w:hAnsi="Arial"/>
                <w:sz w:val="18"/>
                <w:szCs w:val="18"/>
                <w:color w:val="0000FF"/>
              </w:rPr>
              <w:t>FL</w:t>
            </w:r>
          </w:p>
        </w:tc>
        <w:tc>
          <w:tcPr>
            <w:tcW w:w="1420" w:type="dxa"/>
            <w:vAlign w:val="bottom"/>
          </w:tcPr>
          <w:p>
            <w:pPr>
              <w:ind w:left="380"/>
              <w:spacing w:after="0"/>
              <w:rPr>
                <w:sz w:val="20"/>
                <w:szCs w:val="20"/>
                <w:color w:val="auto"/>
              </w:rPr>
            </w:pPr>
            <w:r>
              <w:rPr>
                <w:rFonts w:ascii="Arial" w:cs="Arial" w:eastAsia="Arial" w:hAnsi="Arial"/>
                <w:sz w:val="18"/>
                <w:szCs w:val="18"/>
                <w:color w:val="0000FF"/>
              </w:rPr>
              <w:t>33408</w:t>
            </w:r>
          </w:p>
        </w:tc>
      </w:tr>
      <w:tr>
        <w:trPr>
          <w:trHeight w:val="222"/>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GARDENS</w:t>
            </w: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EXAGEN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XGN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88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6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2880" w:type="dxa"/>
            <w:vAlign w:val="bottom"/>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22"/>
        </w:trPr>
        <w:tc>
          <w:tcPr>
            <w:tcW w:w="1660" w:type="dxa"/>
            <w:vAlign w:val="bottom"/>
          </w:tcPr>
          <w:p>
            <w:pPr>
              <w:ind w:left="540"/>
              <w:spacing w:after="0" w:line="122"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22" w:lineRule="exact"/>
              <w:rPr>
                <w:sz w:val="20"/>
                <w:szCs w:val="20"/>
                <w:color w:val="auto"/>
              </w:rPr>
            </w:pPr>
            <w:r>
              <w:rPr>
                <w:rFonts w:ascii="Arial" w:cs="Arial" w:eastAsia="Arial" w:hAnsi="Arial"/>
                <w:sz w:val="14"/>
                <w:szCs w:val="14"/>
                <w:color w:val="auto"/>
              </w:rPr>
              <w:t>below)</w:t>
            </w:r>
          </w:p>
        </w:tc>
        <w:tc>
          <w:tcPr>
            <w:tcW w:w="2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bl>
    <w:p>
      <w:pPr>
        <w:spacing w:after="0" w:line="27" w:lineRule="exact"/>
        <w:rPr>
          <w:sz w:val="20"/>
          <w:szCs w:val="20"/>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1" w:lineRule="exact"/>
        <w:rPr>
          <w:sz w:val="20"/>
          <w:szCs w:val="20"/>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jc w:val="right"/>
              <w:ind w:right="896"/>
              <w:spacing w:after="0"/>
              <w:rPr>
                <w:sz w:val="20"/>
                <w:szCs w:val="20"/>
                <w:color w:val="auto"/>
              </w:rPr>
            </w:pPr>
            <w:r>
              <w:rPr>
                <w:rFonts w:ascii="Arial" w:cs="Arial" w:eastAsia="Arial" w:hAnsi="Arial"/>
                <w:sz w:val="18"/>
                <w:szCs w:val="18"/>
                <w:color w:val="0000FF"/>
              </w:rPr>
              <w:t>99</w:t>
            </w:r>
          </w:p>
        </w:tc>
        <w:tc>
          <w:tcPr>
            <w:tcW w:w="800" w:type="dxa"/>
            <w:vAlign w:val="bottom"/>
            <w:tcBorders>
              <w:bottom w:val="single" w:sz="8" w:color="2C2C2C"/>
            </w:tcBorders>
          </w:tcPr>
          <w:p>
            <w:pPr>
              <w:ind w:left="620"/>
              <w:spacing w:after="0"/>
              <w:rPr>
                <w:sz w:val="20"/>
                <w:szCs w:val="20"/>
                <w:color w:val="auto"/>
              </w:rPr>
            </w:pPr>
            <w:r>
              <w:rPr>
                <w:rFonts w:ascii="Arial" w:cs="Arial" w:eastAsia="Arial" w:hAnsi="Arial"/>
                <w:sz w:val="18"/>
                <w:szCs w:val="18"/>
                <w:color w:val="0000FF"/>
              </w:rPr>
              <w:t>I</w:t>
            </w:r>
          </w:p>
        </w:tc>
        <w:tc>
          <w:tcPr>
            <w:tcW w:w="182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w w:val="85"/>
              </w:rPr>
              <w:t>See footnotes</w:t>
            </w:r>
            <w:r>
              <w:rPr>
                <w:rFonts w:ascii="Arial" w:cs="Arial" w:eastAsia="Arial" w:hAnsi="Arial"/>
                <w:sz w:val="22"/>
                <w:szCs w:val="22"/>
                <w:color w:val="008000"/>
                <w:w w:val="85"/>
                <w:vertAlign w:val="superscript"/>
              </w:rPr>
              <w:t>(1)(2)</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460" w:type="dxa"/>
            <w:vAlign w:val="bottom"/>
            <w:tcBorders>
              <w:top w:val="single" w:sz="8" w:color="2C2C2C"/>
            </w:tcBorders>
            <w:gridSpan w:val="6"/>
          </w:tcPr>
          <w:p>
            <w:pPr>
              <w:ind w:left="12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5640" w:type="dxa"/>
            <w:vAlign w:val="bottom"/>
            <w:gridSpan w:val="8"/>
          </w:tcPr>
          <w:p>
            <w:pPr>
              <w:ind w:left="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28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9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9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92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92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9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980" w:type="dxa"/>
            <w:vAlign w:val="bottom"/>
          </w:tcPr>
          <w:p>
            <w:pPr>
              <w:spacing w:after="0"/>
              <w:rPr>
                <w:sz w:val="12"/>
                <w:szCs w:val="12"/>
                <w:color w:val="auto"/>
              </w:rPr>
            </w:pPr>
          </w:p>
        </w:tc>
        <w:tc>
          <w:tcPr>
            <w:tcW w:w="8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Date</w:t>
            </w:r>
          </w:p>
        </w:tc>
        <w:tc>
          <w:tcPr>
            <w:tcW w:w="19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Warrants</w:t>
            </w: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1"/>
                <w:szCs w:val="11"/>
                <w:color w:val="008000"/>
              </w:rPr>
              <w:t>(3)</w:t>
            </w:r>
          </w:p>
        </w:tc>
        <w:tc>
          <w:tcPr>
            <w:tcW w:w="1980" w:type="dxa"/>
            <w:vAlign w:val="bottom"/>
            <w:tcBorders>
              <w:bottom w:val="single" w:sz="8" w:color="2C2C2C"/>
            </w:tcBorders>
          </w:tcPr>
          <w:p>
            <w:pPr>
              <w:jc w:val="center"/>
              <w:ind w:left="16"/>
              <w:spacing w:after="0"/>
              <w:rPr>
                <w:sz w:val="20"/>
                <w:szCs w:val="20"/>
                <w:color w:val="auto"/>
              </w:rPr>
            </w:pPr>
            <w:r>
              <w:rPr>
                <w:rFonts w:ascii="Arial" w:cs="Arial" w:eastAsia="Arial" w:hAnsi="Arial"/>
                <w:sz w:val="18"/>
                <w:szCs w:val="18"/>
                <w:color w:val="0000FF"/>
                <w:w w:val="87"/>
              </w:rPr>
              <w:t>Common Stock</w:t>
            </w:r>
          </w:p>
        </w:tc>
        <w:tc>
          <w:tcPr>
            <w:tcW w:w="800" w:type="dxa"/>
            <w:vAlign w:val="bottom"/>
            <w:tcBorders>
              <w:bottom w:val="single" w:sz="8" w:color="2C2C2C"/>
            </w:tcBorders>
          </w:tcPr>
          <w:p>
            <w:pPr>
              <w:jc w:val="center"/>
              <w:ind w:left="19"/>
              <w:spacing w:after="0"/>
              <w:rPr>
                <w:sz w:val="20"/>
                <w:szCs w:val="20"/>
                <w:color w:val="auto"/>
              </w:rPr>
            </w:pPr>
            <w:r>
              <w:rPr>
                <w:rFonts w:ascii="Arial" w:cs="Arial" w:eastAsia="Arial" w:hAnsi="Arial"/>
                <w:sz w:val="18"/>
                <w:szCs w:val="18"/>
                <w:color w:val="0000FF"/>
                <w:w w:val="84"/>
              </w:rPr>
              <w:t>1,361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688.63</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Warrants</w:t>
            </w: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1"/>
                <w:szCs w:val="11"/>
                <w:color w:val="008000"/>
              </w:rPr>
              <w:t>(4)</w:t>
            </w:r>
          </w:p>
        </w:tc>
        <w:tc>
          <w:tcPr>
            <w:tcW w:w="1980" w:type="dxa"/>
            <w:vAlign w:val="bottom"/>
            <w:tcBorders>
              <w:bottom w:val="single" w:sz="8" w:color="2C2C2C"/>
            </w:tcBorders>
          </w:tcPr>
          <w:p>
            <w:pPr>
              <w:jc w:val="center"/>
              <w:ind w:left="16"/>
              <w:spacing w:after="0"/>
              <w:rPr>
                <w:sz w:val="20"/>
                <w:szCs w:val="20"/>
                <w:color w:val="auto"/>
              </w:rPr>
            </w:pPr>
            <w:r>
              <w:rPr>
                <w:rFonts w:ascii="Arial" w:cs="Arial" w:eastAsia="Arial" w:hAnsi="Arial"/>
                <w:sz w:val="18"/>
                <w:szCs w:val="18"/>
                <w:color w:val="0000FF"/>
                <w:w w:val="87"/>
              </w:rPr>
              <w:t>Common Stock</w:t>
            </w:r>
          </w:p>
        </w:tc>
        <w:tc>
          <w:tcPr>
            <w:tcW w:w="800" w:type="dxa"/>
            <w:vAlign w:val="bottom"/>
            <w:tcBorders>
              <w:bottom w:val="single" w:sz="8" w:color="2C2C2C"/>
            </w:tcBorders>
          </w:tcPr>
          <w:p>
            <w:pPr>
              <w:jc w:val="center"/>
              <w:ind w:left="19"/>
              <w:spacing w:after="0"/>
              <w:rPr>
                <w:sz w:val="20"/>
                <w:szCs w:val="20"/>
                <w:color w:val="auto"/>
              </w:rPr>
            </w:pPr>
            <w:r>
              <w:rPr>
                <w:rFonts w:ascii="Arial" w:cs="Arial" w:eastAsia="Arial" w:hAnsi="Arial"/>
                <w:sz w:val="18"/>
                <w:szCs w:val="18"/>
                <w:color w:val="0000FF"/>
                <w:w w:val="89"/>
              </w:rPr>
              <w:t>224,641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1.84</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rPr>
              <w:t>Warrants</w:t>
            </w:r>
          </w:p>
        </w:tc>
        <w:tc>
          <w:tcPr>
            <w:tcW w:w="2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008000"/>
              </w:rPr>
              <w:t>(5)</w:t>
            </w:r>
          </w:p>
        </w:tc>
        <w:tc>
          <w:tcPr>
            <w:tcW w:w="800" w:type="dxa"/>
            <w:vAlign w:val="bottom"/>
            <w:gridSpan w:val="3"/>
          </w:tcPr>
          <w:p>
            <w:pPr>
              <w:jc w:val="center"/>
              <w:spacing w:after="0"/>
              <w:rPr>
                <w:sz w:val="20"/>
                <w:szCs w:val="20"/>
                <w:color w:val="auto"/>
              </w:rPr>
            </w:pPr>
            <w:r>
              <w:rPr>
                <w:rFonts w:ascii="Arial" w:cs="Arial" w:eastAsia="Arial" w:hAnsi="Arial"/>
                <w:sz w:val="11"/>
                <w:szCs w:val="11"/>
                <w:color w:val="008000"/>
              </w:rPr>
              <w:t>(5)</w:t>
            </w:r>
          </w:p>
        </w:tc>
        <w:tc>
          <w:tcPr>
            <w:tcW w:w="1980" w:type="dxa"/>
            <w:vAlign w:val="bottom"/>
          </w:tcPr>
          <w:p>
            <w:pPr>
              <w:jc w:val="center"/>
              <w:ind w:left="16"/>
              <w:spacing w:after="0"/>
              <w:rPr>
                <w:sz w:val="20"/>
                <w:szCs w:val="20"/>
                <w:color w:val="auto"/>
              </w:rPr>
            </w:pPr>
            <w:r>
              <w:rPr>
                <w:rFonts w:ascii="Arial" w:cs="Arial" w:eastAsia="Arial" w:hAnsi="Arial"/>
                <w:sz w:val="18"/>
                <w:szCs w:val="18"/>
                <w:color w:val="0000FF"/>
                <w:w w:val="87"/>
              </w:rPr>
              <w:t>Common Stock</w:t>
            </w:r>
          </w:p>
        </w:tc>
        <w:tc>
          <w:tcPr>
            <w:tcW w:w="800" w:type="dxa"/>
            <w:vAlign w:val="bottom"/>
          </w:tcPr>
          <w:p>
            <w:pPr>
              <w:jc w:val="center"/>
              <w:ind w:left="39"/>
              <w:spacing w:after="0"/>
              <w:rPr>
                <w:sz w:val="20"/>
                <w:szCs w:val="20"/>
                <w:color w:val="auto"/>
              </w:rPr>
            </w:pPr>
            <w:r>
              <w:rPr>
                <w:rFonts w:ascii="Arial" w:cs="Arial" w:eastAsia="Arial" w:hAnsi="Arial"/>
                <w:sz w:val="18"/>
                <w:szCs w:val="18"/>
                <w:color w:val="0000FF"/>
                <w:w w:val="87"/>
              </w:rPr>
              <w:t>65,340</w:t>
            </w:r>
          </w:p>
        </w:tc>
        <w:tc>
          <w:tcPr>
            <w:tcW w:w="900" w:type="dxa"/>
            <w:vAlign w:val="bottom"/>
          </w:tcPr>
          <w:p>
            <w:pPr>
              <w:jc w:val="center"/>
              <w:spacing w:after="0"/>
              <w:rPr>
                <w:sz w:val="20"/>
                <w:szCs w:val="20"/>
                <w:color w:val="auto"/>
              </w:rPr>
            </w:pPr>
            <w:r>
              <w:rPr>
                <w:rFonts w:ascii="Arial" w:cs="Arial" w:eastAsia="Arial" w:hAnsi="Arial"/>
                <w:sz w:val="18"/>
                <w:szCs w:val="18"/>
                <w:color w:val="0000FF"/>
                <w:w w:val="85"/>
              </w:rPr>
              <w:t>1.84</w:t>
            </w:r>
          </w:p>
        </w:tc>
        <w:tc>
          <w:tcPr>
            <w:tcW w:w="920" w:type="dxa"/>
            <w:vAlign w:val="bottom"/>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6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(1)(7)</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980" w:type="dxa"/>
            <w:vAlign w:val="bottom"/>
            <w:tcBorders>
              <w:top w:val="single" w:sz="8" w:color="2C2C2C"/>
            </w:tcBorders>
          </w:tcPr>
          <w:p>
            <w:pPr>
              <w:jc w:val="center"/>
              <w:ind w:left="16"/>
              <w:spacing w:after="0"/>
              <w:rPr>
                <w:sz w:val="20"/>
                <w:szCs w:val="20"/>
                <w:color w:val="auto"/>
              </w:rPr>
            </w:pPr>
            <w:r>
              <w:rPr>
                <w:rFonts w:ascii="Arial" w:cs="Arial" w:eastAsia="Arial" w:hAnsi="Arial"/>
                <w:sz w:val="18"/>
                <w:szCs w:val="18"/>
                <w:color w:val="0000FF"/>
                <w:w w:val="84"/>
              </w:rPr>
              <w:t>Series E Redeemable</w:t>
            </w:r>
          </w:p>
        </w:tc>
        <w:tc>
          <w:tcPr>
            <w:tcW w:w="80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rPr>
              <w:t>Warrants</w:t>
            </w:r>
          </w:p>
        </w:tc>
        <w:tc>
          <w:tcPr>
            <w:tcW w:w="2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008000"/>
              </w:rPr>
              <w:t>(3)</w:t>
            </w:r>
          </w:p>
        </w:tc>
        <w:tc>
          <w:tcPr>
            <w:tcW w:w="800" w:type="dxa"/>
            <w:vAlign w:val="bottom"/>
            <w:gridSpan w:val="3"/>
          </w:tcPr>
          <w:p>
            <w:pPr>
              <w:jc w:val="center"/>
              <w:spacing w:after="0"/>
              <w:rPr>
                <w:sz w:val="20"/>
                <w:szCs w:val="20"/>
                <w:color w:val="auto"/>
              </w:rPr>
            </w:pPr>
            <w:r>
              <w:rPr>
                <w:rFonts w:ascii="Arial" w:cs="Arial" w:eastAsia="Arial" w:hAnsi="Arial"/>
                <w:sz w:val="11"/>
                <w:szCs w:val="11"/>
                <w:color w:val="008000"/>
              </w:rPr>
              <w:t>(3)</w:t>
            </w:r>
          </w:p>
        </w:tc>
        <w:tc>
          <w:tcPr>
            <w:tcW w:w="1980" w:type="dxa"/>
            <w:vAlign w:val="bottom"/>
          </w:tcPr>
          <w:p>
            <w:pPr>
              <w:jc w:val="center"/>
              <w:ind w:left="16"/>
              <w:spacing w:after="0"/>
              <w:rPr>
                <w:sz w:val="20"/>
                <w:szCs w:val="20"/>
                <w:color w:val="auto"/>
              </w:rPr>
            </w:pPr>
            <w:r>
              <w:rPr>
                <w:rFonts w:ascii="Arial" w:cs="Arial" w:eastAsia="Arial" w:hAnsi="Arial"/>
                <w:sz w:val="18"/>
                <w:szCs w:val="18"/>
                <w:color w:val="0000FF"/>
                <w:w w:val="88"/>
              </w:rPr>
              <w:t>Convertible Preferred</w:t>
            </w:r>
          </w:p>
        </w:tc>
        <w:tc>
          <w:tcPr>
            <w:tcW w:w="800" w:type="dxa"/>
            <w:vAlign w:val="bottom"/>
          </w:tcPr>
          <w:p>
            <w:pPr>
              <w:jc w:val="center"/>
              <w:ind w:left="19"/>
              <w:spacing w:after="0"/>
              <w:rPr>
                <w:sz w:val="20"/>
                <w:szCs w:val="20"/>
                <w:color w:val="auto"/>
              </w:rPr>
            </w:pPr>
            <w:r>
              <w:rPr>
                <w:rFonts w:ascii="Arial" w:cs="Arial" w:eastAsia="Arial" w:hAnsi="Arial"/>
                <w:sz w:val="18"/>
                <w:szCs w:val="18"/>
                <w:color w:val="0000FF"/>
                <w:w w:val="89"/>
              </w:rPr>
              <w:t>658,823</w:t>
            </w:r>
          </w:p>
        </w:tc>
        <w:tc>
          <w:tcPr>
            <w:tcW w:w="900" w:type="dxa"/>
            <w:vAlign w:val="bottom"/>
          </w:tcPr>
          <w:p>
            <w:pPr>
              <w:jc w:val="center"/>
              <w:spacing w:after="0"/>
              <w:rPr>
                <w:sz w:val="20"/>
                <w:szCs w:val="20"/>
                <w:color w:val="auto"/>
              </w:rPr>
            </w:pPr>
            <w:r>
              <w:rPr>
                <w:rFonts w:ascii="Arial" w:cs="Arial" w:eastAsia="Arial" w:hAnsi="Arial"/>
                <w:sz w:val="18"/>
                <w:szCs w:val="18"/>
                <w:color w:val="0000FF"/>
                <w:w w:val="86"/>
              </w:rPr>
              <w:t>14.3235</w:t>
            </w:r>
          </w:p>
        </w:tc>
        <w:tc>
          <w:tcPr>
            <w:tcW w:w="920" w:type="dxa"/>
            <w:vAlign w:val="bottom"/>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60"/>
              <w:spacing w:after="0" w:line="217" w:lineRule="exact"/>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80" w:type="dxa"/>
            <w:vAlign w:val="bottom"/>
          </w:tcPr>
          <w:p>
            <w:pPr>
              <w:jc w:val="center"/>
              <w:ind w:left="16"/>
              <w:spacing w:after="0"/>
              <w:rPr>
                <w:sz w:val="20"/>
                <w:szCs w:val="20"/>
                <w:color w:val="auto"/>
              </w:rPr>
            </w:pPr>
            <w:r>
              <w:rPr>
                <w:rFonts w:ascii="Arial" w:cs="Arial" w:eastAsia="Arial" w:hAnsi="Arial"/>
                <w:sz w:val="18"/>
                <w:szCs w:val="18"/>
                <w:color w:val="0000FF"/>
                <w:w w:val="88"/>
              </w:rPr>
              <w:t>Stock</w:t>
            </w: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00" w:type="dxa"/>
            <w:vAlign w:val="bottom"/>
            <w:tcBorders>
              <w:bottom w:val="single" w:sz="8" w:color="2C2C2C"/>
            </w:tcBorders>
            <w:gridSpan w:val="2"/>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00" w:type="dxa"/>
            <w:vAlign w:val="bottom"/>
            <w:gridSpan w:val="2"/>
          </w:tcPr>
          <w:p>
            <w:pPr>
              <w:ind w:left="60"/>
              <w:spacing w:after="0"/>
              <w:rPr>
                <w:sz w:val="20"/>
                <w:szCs w:val="20"/>
                <w:color w:val="auto"/>
              </w:rPr>
            </w:pPr>
            <w:r>
              <w:rPr>
                <w:rFonts w:ascii="Arial" w:cs="Arial" w:eastAsia="Arial" w:hAnsi="Arial"/>
                <w:sz w:val="18"/>
                <w:szCs w:val="18"/>
                <w:color w:val="0000FF"/>
                <w:w w:val="93"/>
              </w:rPr>
              <w:t>Series A-3 Redeemable Convertible Preferred</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800" w:type="dxa"/>
            <w:vAlign w:val="bottom"/>
            <w:gridSpan w:val="3"/>
            <w:vMerge w:val="restart"/>
          </w:tcPr>
          <w:p>
            <w:pPr>
              <w:jc w:val="center"/>
              <w:spacing w:after="0"/>
              <w:rPr>
                <w:sz w:val="20"/>
                <w:szCs w:val="20"/>
                <w:color w:val="auto"/>
              </w:rPr>
            </w:pPr>
            <w:r>
              <w:rPr>
                <w:rFonts w:ascii="Arial" w:cs="Arial" w:eastAsia="Arial" w:hAnsi="Arial"/>
                <w:sz w:val="11"/>
                <w:szCs w:val="11"/>
                <w:color w:val="008000"/>
              </w:rPr>
              <w:t>(9)</w:t>
            </w:r>
          </w:p>
        </w:tc>
        <w:tc>
          <w:tcPr>
            <w:tcW w:w="1980" w:type="dxa"/>
            <w:vAlign w:val="bottom"/>
            <w:vMerge w:val="restart"/>
          </w:tcPr>
          <w:p>
            <w:pPr>
              <w:jc w:val="center"/>
              <w:ind w:left="16"/>
              <w:spacing w:after="0"/>
              <w:rPr>
                <w:sz w:val="20"/>
                <w:szCs w:val="20"/>
                <w:color w:val="auto"/>
              </w:rPr>
            </w:pPr>
            <w:r>
              <w:rPr>
                <w:rFonts w:ascii="Arial" w:cs="Arial" w:eastAsia="Arial" w:hAnsi="Arial"/>
                <w:sz w:val="18"/>
                <w:szCs w:val="18"/>
                <w:color w:val="0000FF"/>
                <w:w w:val="87"/>
              </w:rPr>
              <w:t>Common Stock</w:t>
            </w:r>
          </w:p>
        </w:tc>
        <w:tc>
          <w:tcPr>
            <w:tcW w:w="800" w:type="dxa"/>
            <w:vAlign w:val="bottom"/>
            <w:vMerge w:val="restart"/>
          </w:tcPr>
          <w:p>
            <w:pPr>
              <w:jc w:val="center"/>
              <w:ind w:left="19"/>
              <w:spacing w:after="0"/>
              <w:rPr>
                <w:sz w:val="20"/>
                <w:szCs w:val="20"/>
                <w:color w:val="auto"/>
              </w:rPr>
            </w:pPr>
            <w:r>
              <w:rPr>
                <w:rFonts w:ascii="Arial" w:cs="Arial" w:eastAsia="Arial" w:hAnsi="Arial"/>
                <w:sz w:val="18"/>
                <w:szCs w:val="18"/>
                <w:color w:val="0000FF"/>
                <w:w w:val="84"/>
              </w:rPr>
              <w:t>2,550</w:t>
            </w:r>
          </w:p>
        </w:tc>
        <w:tc>
          <w:tcPr>
            <w:tcW w:w="90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20" w:type="dxa"/>
            <w:vAlign w:val="bottom"/>
            <w:vMerge w:val="restart"/>
          </w:tcPr>
          <w:p>
            <w:pPr>
              <w:ind w:left="60"/>
              <w:spacing w:after="0"/>
              <w:rPr>
                <w:sz w:val="20"/>
                <w:szCs w:val="20"/>
                <w:color w:val="auto"/>
              </w:rPr>
            </w:pPr>
            <w:r>
              <w:rPr>
                <w:rFonts w:ascii="Arial" w:cs="Arial" w:eastAsia="Arial" w:hAnsi="Arial"/>
                <w:sz w:val="18"/>
                <w:szCs w:val="18"/>
                <w:color w:val="0000FF"/>
              </w:rPr>
              <w:t>Stock</w:t>
            </w: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89"/>
              </w:rPr>
              <w:t>Series C Redeemable Convertible Preferred</w:t>
            </w:r>
          </w:p>
        </w:tc>
        <w:tc>
          <w:tcPr>
            <w:tcW w:w="28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800" w:type="dxa"/>
            <w:vAlign w:val="bottom"/>
            <w:gridSpan w:val="3"/>
            <w:vMerge w:val="restart"/>
          </w:tcPr>
          <w:p>
            <w:pPr>
              <w:jc w:val="center"/>
              <w:spacing w:after="0"/>
              <w:rPr>
                <w:sz w:val="20"/>
                <w:szCs w:val="20"/>
                <w:color w:val="auto"/>
              </w:rPr>
            </w:pPr>
            <w:r>
              <w:rPr>
                <w:rFonts w:ascii="Arial" w:cs="Arial" w:eastAsia="Arial" w:hAnsi="Arial"/>
                <w:sz w:val="11"/>
                <w:szCs w:val="11"/>
                <w:color w:val="008000"/>
                <w:w w:val="91"/>
              </w:rPr>
              <w:t>(10)</w:t>
            </w:r>
          </w:p>
        </w:tc>
        <w:tc>
          <w:tcPr>
            <w:tcW w:w="1980" w:type="dxa"/>
            <w:vAlign w:val="bottom"/>
            <w:vMerge w:val="restart"/>
          </w:tcPr>
          <w:p>
            <w:pPr>
              <w:jc w:val="center"/>
              <w:ind w:left="16"/>
              <w:spacing w:after="0"/>
              <w:rPr>
                <w:sz w:val="20"/>
                <w:szCs w:val="20"/>
                <w:color w:val="auto"/>
              </w:rPr>
            </w:pPr>
            <w:r>
              <w:rPr>
                <w:rFonts w:ascii="Arial" w:cs="Arial" w:eastAsia="Arial" w:hAnsi="Arial"/>
                <w:sz w:val="18"/>
                <w:szCs w:val="18"/>
                <w:color w:val="0000FF"/>
                <w:w w:val="87"/>
              </w:rPr>
              <w:t>Common Stock</w:t>
            </w:r>
          </w:p>
        </w:tc>
        <w:tc>
          <w:tcPr>
            <w:tcW w:w="800" w:type="dxa"/>
            <w:vAlign w:val="bottom"/>
            <w:vMerge w:val="restart"/>
          </w:tcPr>
          <w:p>
            <w:pPr>
              <w:jc w:val="center"/>
              <w:ind w:left="39"/>
              <w:spacing w:after="0"/>
              <w:rPr>
                <w:sz w:val="20"/>
                <w:szCs w:val="20"/>
                <w:color w:val="auto"/>
              </w:rPr>
            </w:pPr>
            <w:r>
              <w:rPr>
                <w:rFonts w:ascii="Arial" w:cs="Arial" w:eastAsia="Arial" w:hAnsi="Arial"/>
                <w:sz w:val="18"/>
                <w:szCs w:val="18"/>
                <w:color w:val="0000FF"/>
                <w:w w:val="87"/>
              </w:rPr>
              <w:t>95,069</w:t>
            </w:r>
          </w:p>
        </w:tc>
        <w:tc>
          <w:tcPr>
            <w:tcW w:w="90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20" w:type="dxa"/>
            <w:vAlign w:val="bottom"/>
            <w:vMerge w:val="restart"/>
          </w:tcPr>
          <w:p>
            <w:pPr>
              <w:ind w:left="60"/>
              <w:spacing w:after="0"/>
              <w:rPr>
                <w:sz w:val="20"/>
                <w:szCs w:val="20"/>
                <w:color w:val="auto"/>
              </w:rPr>
            </w:pPr>
            <w:r>
              <w:rPr>
                <w:rFonts w:ascii="Arial" w:cs="Arial" w:eastAsia="Arial" w:hAnsi="Arial"/>
                <w:sz w:val="18"/>
                <w:szCs w:val="18"/>
                <w:color w:val="0000FF"/>
              </w:rPr>
              <w:t>Stock</w:t>
            </w: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89"/>
              </w:rPr>
              <w:t>Series E Redeemable Convertible Preferred</w:t>
            </w:r>
          </w:p>
        </w:tc>
        <w:tc>
          <w:tcPr>
            <w:tcW w:w="28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800" w:type="dxa"/>
            <w:vAlign w:val="bottom"/>
            <w:gridSpan w:val="3"/>
            <w:vMerge w:val="restart"/>
          </w:tcPr>
          <w:p>
            <w:pPr>
              <w:jc w:val="center"/>
              <w:spacing w:after="0"/>
              <w:rPr>
                <w:sz w:val="20"/>
                <w:szCs w:val="20"/>
                <w:color w:val="auto"/>
              </w:rPr>
            </w:pPr>
            <w:r>
              <w:rPr>
                <w:rFonts w:ascii="Arial" w:cs="Arial" w:eastAsia="Arial" w:hAnsi="Arial"/>
                <w:sz w:val="11"/>
                <w:szCs w:val="11"/>
                <w:color w:val="008000"/>
                <w:w w:val="91"/>
              </w:rPr>
              <w:t>(11)</w:t>
            </w:r>
          </w:p>
        </w:tc>
        <w:tc>
          <w:tcPr>
            <w:tcW w:w="1980" w:type="dxa"/>
            <w:vAlign w:val="bottom"/>
            <w:vMerge w:val="restart"/>
          </w:tcPr>
          <w:p>
            <w:pPr>
              <w:jc w:val="center"/>
              <w:ind w:left="16"/>
              <w:spacing w:after="0"/>
              <w:rPr>
                <w:sz w:val="20"/>
                <w:szCs w:val="20"/>
                <w:color w:val="auto"/>
              </w:rPr>
            </w:pPr>
            <w:r>
              <w:rPr>
                <w:rFonts w:ascii="Arial" w:cs="Arial" w:eastAsia="Arial" w:hAnsi="Arial"/>
                <w:sz w:val="18"/>
                <w:szCs w:val="18"/>
                <w:color w:val="0000FF"/>
                <w:w w:val="87"/>
              </w:rPr>
              <w:t>Common Stock</w:t>
            </w:r>
          </w:p>
        </w:tc>
        <w:tc>
          <w:tcPr>
            <w:tcW w:w="800" w:type="dxa"/>
            <w:vAlign w:val="bottom"/>
            <w:vMerge w:val="restart"/>
          </w:tcPr>
          <w:p>
            <w:pPr>
              <w:jc w:val="center"/>
              <w:ind w:left="19"/>
              <w:spacing w:after="0"/>
              <w:rPr>
                <w:sz w:val="20"/>
                <w:szCs w:val="20"/>
                <w:color w:val="auto"/>
              </w:rPr>
            </w:pPr>
            <w:r>
              <w:rPr>
                <w:rFonts w:ascii="Arial" w:cs="Arial" w:eastAsia="Arial" w:hAnsi="Arial"/>
                <w:sz w:val="18"/>
                <w:szCs w:val="18"/>
                <w:color w:val="0000FF"/>
                <w:w w:val="89"/>
              </w:rPr>
              <w:t>929,432</w:t>
            </w:r>
          </w:p>
        </w:tc>
        <w:tc>
          <w:tcPr>
            <w:tcW w:w="90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(1)(12)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20" w:type="dxa"/>
            <w:vAlign w:val="bottom"/>
            <w:vMerge w:val="restart"/>
          </w:tcPr>
          <w:p>
            <w:pPr>
              <w:ind w:left="60"/>
              <w:spacing w:after="0"/>
              <w:rPr>
                <w:sz w:val="20"/>
                <w:szCs w:val="20"/>
                <w:color w:val="auto"/>
              </w:rPr>
            </w:pPr>
            <w:r>
              <w:rPr>
                <w:rFonts w:ascii="Arial" w:cs="Arial" w:eastAsia="Arial" w:hAnsi="Arial"/>
                <w:sz w:val="18"/>
                <w:szCs w:val="18"/>
                <w:color w:val="0000FF"/>
              </w:rPr>
              <w:t>Stock</w:t>
            </w: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Series F Redeemable Convertible Preferred</w:t>
            </w: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(13)</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1"/>
                <w:szCs w:val="11"/>
                <w:color w:val="008000"/>
                <w:w w:val="91"/>
              </w:rPr>
              <w:t>(13)</w:t>
            </w:r>
          </w:p>
        </w:tc>
        <w:tc>
          <w:tcPr>
            <w:tcW w:w="1980" w:type="dxa"/>
            <w:vAlign w:val="bottom"/>
            <w:tcBorders>
              <w:bottom w:val="single" w:sz="8" w:color="2C2C2C"/>
            </w:tcBorders>
          </w:tcPr>
          <w:p>
            <w:pPr>
              <w:jc w:val="center"/>
              <w:ind w:left="16"/>
              <w:spacing w:after="0"/>
              <w:rPr>
                <w:sz w:val="20"/>
                <w:szCs w:val="20"/>
                <w:color w:val="auto"/>
              </w:rPr>
            </w:pPr>
            <w:r>
              <w:rPr>
                <w:rFonts w:ascii="Arial" w:cs="Arial" w:eastAsia="Arial" w:hAnsi="Arial"/>
                <w:sz w:val="18"/>
                <w:szCs w:val="18"/>
                <w:color w:val="0000FF"/>
                <w:w w:val="87"/>
              </w:rPr>
              <w:t>Common Stock</w:t>
            </w:r>
          </w:p>
        </w:tc>
        <w:tc>
          <w:tcPr>
            <w:tcW w:w="800" w:type="dxa"/>
            <w:vAlign w:val="bottom"/>
            <w:tcBorders>
              <w:bottom w:val="single" w:sz="8" w:color="2C2C2C"/>
            </w:tcBorders>
          </w:tcPr>
          <w:p>
            <w:pPr>
              <w:jc w:val="center"/>
              <w:ind w:left="19"/>
              <w:spacing w:after="0"/>
              <w:rPr>
                <w:sz w:val="20"/>
                <w:szCs w:val="20"/>
                <w:color w:val="auto"/>
              </w:rPr>
            </w:pPr>
            <w:r>
              <w:rPr>
                <w:rFonts w:ascii="Arial" w:cs="Arial" w:eastAsia="Arial" w:hAnsi="Arial"/>
                <w:sz w:val="18"/>
                <w:szCs w:val="18"/>
                <w:color w:val="0000FF"/>
                <w:w w:val="89"/>
              </w:rPr>
              <w:t>441,997</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(13)</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7"/>
              </w:rPr>
              <w:t>See footnotes</w:t>
            </w:r>
            <w:r>
              <w:rPr>
                <w:rFonts w:ascii="Arial" w:cs="Arial" w:eastAsia="Arial" w:hAnsi="Arial"/>
                <w:sz w:val="22"/>
                <w:szCs w:val="22"/>
                <w:color w:val="008000"/>
                <w:w w:val="97"/>
                <w:vertAlign w:val="superscript"/>
              </w:rPr>
              <w:t>(1)(14)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89"/>
              </w:rPr>
              <w:t>Series H Redeemable Convertible Preferred</w:t>
            </w:r>
          </w:p>
        </w:tc>
        <w:tc>
          <w:tcPr>
            <w:tcW w:w="28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800" w:type="dxa"/>
            <w:vAlign w:val="bottom"/>
            <w:gridSpan w:val="3"/>
            <w:vMerge w:val="restart"/>
          </w:tcPr>
          <w:p>
            <w:pPr>
              <w:jc w:val="center"/>
              <w:spacing w:after="0"/>
              <w:rPr>
                <w:sz w:val="20"/>
                <w:szCs w:val="20"/>
                <w:color w:val="auto"/>
              </w:rPr>
            </w:pPr>
            <w:r>
              <w:rPr>
                <w:rFonts w:ascii="Arial" w:cs="Arial" w:eastAsia="Arial" w:hAnsi="Arial"/>
                <w:sz w:val="11"/>
                <w:szCs w:val="11"/>
                <w:color w:val="008000"/>
                <w:w w:val="91"/>
              </w:rPr>
              <w:t>(15)</w:t>
            </w:r>
          </w:p>
        </w:tc>
        <w:tc>
          <w:tcPr>
            <w:tcW w:w="1980" w:type="dxa"/>
            <w:vAlign w:val="bottom"/>
            <w:vMerge w:val="restart"/>
          </w:tcPr>
          <w:p>
            <w:pPr>
              <w:jc w:val="center"/>
              <w:ind w:left="16"/>
              <w:spacing w:after="0"/>
              <w:rPr>
                <w:sz w:val="20"/>
                <w:szCs w:val="20"/>
                <w:color w:val="auto"/>
              </w:rPr>
            </w:pPr>
            <w:r>
              <w:rPr>
                <w:rFonts w:ascii="Arial" w:cs="Arial" w:eastAsia="Arial" w:hAnsi="Arial"/>
                <w:sz w:val="18"/>
                <w:szCs w:val="18"/>
                <w:color w:val="0000FF"/>
                <w:w w:val="87"/>
              </w:rPr>
              <w:t>Common Stock</w:t>
            </w:r>
          </w:p>
        </w:tc>
        <w:tc>
          <w:tcPr>
            <w:tcW w:w="800" w:type="dxa"/>
            <w:vAlign w:val="bottom"/>
            <w:vMerge w:val="restart"/>
          </w:tcPr>
          <w:p>
            <w:pPr>
              <w:jc w:val="center"/>
              <w:ind w:left="19"/>
              <w:spacing w:after="0"/>
              <w:rPr>
                <w:sz w:val="20"/>
                <w:szCs w:val="20"/>
                <w:color w:val="auto"/>
              </w:rPr>
            </w:pPr>
            <w:r>
              <w:rPr>
                <w:rFonts w:ascii="Arial" w:cs="Arial" w:eastAsia="Arial" w:hAnsi="Arial"/>
                <w:sz w:val="18"/>
                <w:szCs w:val="18"/>
                <w:color w:val="0000FF"/>
                <w:w w:val="89"/>
              </w:rPr>
              <w:t>317,803</w:t>
            </w:r>
          </w:p>
        </w:tc>
        <w:tc>
          <w:tcPr>
            <w:tcW w:w="90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(1)(16)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20" w:type="dxa"/>
            <w:vAlign w:val="bottom"/>
            <w:vMerge w:val="restart"/>
          </w:tcPr>
          <w:p>
            <w:pPr>
              <w:ind w:left="60"/>
              <w:spacing w:after="0"/>
              <w:rPr>
                <w:sz w:val="20"/>
                <w:szCs w:val="20"/>
                <w:color w:val="auto"/>
              </w:rPr>
            </w:pPr>
            <w:r>
              <w:rPr>
                <w:rFonts w:ascii="Arial" w:cs="Arial" w:eastAsia="Arial" w:hAnsi="Arial"/>
                <w:sz w:val="18"/>
                <w:szCs w:val="18"/>
                <w:color w:val="0000FF"/>
              </w:rPr>
              <w:t>Stock</w:t>
            </w: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32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28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TULLIS DICKERSON CAPITAL FOCUS III,</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L.P.</w:t>
        </w:r>
      </w:hyperlink>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60"/>
              <w:spacing w:after="0"/>
              <w:rPr>
                <w:sz w:val="20"/>
                <w:szCs w:val="20"/>
                <w:color w:val="auto"/>
              </w:rPr>
            </w:pPr>
            <w:r>
              <w:rPr>
                <w:rFonts w:ascii="Arial" w:cs="Arial" w:eastAsia="Arial" w:hAnsi="Arial"/>
                <w:sz w:val="14"/>
                <w:szCs w:val="14"/>
                <w:color w:val="auto"/>
              </w:rPr>
              <w:t>(First)</w:t>
            </w:r>
          </w:p>
        </w:tc>
        <w:tc>
          <w:tcPr>
            <w:tcW w:w="1440" w:type="dxa"/>
            <w:vAlign w:val="bottom"/>
          </w:tcPr>
          <w:p>
            <w:pPr>
              <w:ind w:left="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0000FF"/>
                <w:w w:val="91"/>
              </w:rPr>
              <w:t>11770 US HIGHWAY ONE, SUITE 503</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PALM BEACH</w:t>
            </w:r>
          </w:p>
        </w:tc>
        <w:tc>
          <w:tcPr>
            <w:tcW w:w="1600" w:type="dxa"/>
            <w:vAlign w:val="bottom"/>
            <w:vMerge w:val="restart"/>
          </w:tcPr>
          <w:p>
            <w:pPr>
              <w:ind w:left="160"/>
              <w:spacing w:after="0"/>
              <w:rPr>
                <w:sz w:val="20"/>
                <w:szCs w:val="20"/>
                <w:color w:val="auto"/>
              </w:rPr>
            </w:pPr>
            <w:r>
              <w:rPr>
                <w:rFonts w:ascii="Arial" w:cs="Arial" w:eastAsia="Arial" w:hAnsi="Arial"/>
                <w:sz w:val="18"/>
                <w:szCs w:val="18"/>
                <w:color w:val="0000FF"/>
              </w:rPr>
              <w:t>FL</w:t>
            </w:r>
          </w:p>
        </w:tc>
        <w:tc>
          <w:tcPr>
            <w:tcW w:w="1440" w:type="dxa"/>
            <w:vAlign w:val="bottom"/>
            <w:vMerge w:val="restart"/>
          </w:tcPr>
          <w:p>
            <w:pPr>
              <w:ind w:left="20"/>
              <w:spacing w:after="0"/>
              <w:rPr>
                <w:sz w:val="20"/>
                <w:szCs w:val="20"/>
                <w:color w:val="auto"/>
              </w:rPr>
            </w:pPr>
            <w:r>
              <w:rPr>
                <w:rFonts w:ascii="Arial" w:cs="Arial" w:eastAsia="Arial" w:hAnsi="Arial"/>
                <w:sz w:val="18"/>
                <w:szCs w:val="18"/>
                <w:color w:val="0000FF"/>
              </w:rPr>
              <w:t>33408</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300" w:type="dxa"/>
            <w:vAlign w:val="bottom"/>
            <w:vMerge w:val="restart"/>
          </w:tcPr>
          <w:p>
            <w:pPr>
              <w:spacing w:after="0"/>
              <w:rPr>
                <w:sz w:val="20"/>
                <w:szCs w:val="20"/>
                <w:color w:val="auto"/>
              </w:rPr>
            </w:pPr>
            <w:r>
              <w:rPr>
                <w:rFonts w:ascii="Arial" w:cs="Arial" w:eastAsia="Arial" w:hAnsi="Arial"/>
                <w:sz w:val="18"/>
                <w:szCs w:val="18"/>
                <w:color w:val="0000FF"/>
              </w:rPr>
              <w:t>GARDENS</w:t>
            </w:r>
          </w:p>
        </w:tc>
        <w:tc>
          <w:tcPr>
            <w:tcW w:w="16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924175" cy="540702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Tullis Growth Fund,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60"/>
              <w:spacing w:after="0"/>
              <w:rPr>
                <w:sz w:val="20"/>
                <w:szCs w:val="20"/>
                <w:color w:val="auto"/>
              </w:rPr>
            </w:pPr>
            <w:r>
              <w:rPr>
                <w:rFonts w:ascii="Arial" w:cs="Arial" w:eastAsia="Arial" w:hAnsi="Arial"/>
                <w:sz w:val="14"/>
                <w:szCs w:val="14"/>
                <w:color w:val="auto"/>
              </w:rPr>
              <w:t>(First)</w:t>
            </w:r>
          </w:p>
        </w:tc>
        <w:tc>
          <w:tcPr>
            <w:tcW w:w="1440" w:type="dxa"/>
            <w:vAlign w:val="bottom"/>
          </w:tcPr>
          <w:p>
            <w:pPr>
              <w:ind w:left="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0000FF"/>
                <w:w w:val="91"/>
              </w:rPr>
              <w:t>11770 US HIGHWAY ONE, SUITE 503</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PALM BEACH</w:t>
            </w:r>
          </w:p>
        </w:tc>
        <w:tc>
          <w:tcPr>
            <w:tcW w:w="1600" w:type="dxa"/>
            <w:vAlign w:val="bottom"/>
            <w:vMerge w:val="restart"/>
          </w:tcPr>
          <w:p>
            <w:pPr>
              <w:ind w:left="160"/>
              <w:spacing w:after="0"/>
              <w:rPr>
                <w:sz w:val="20"/>
                <w:szCs w:val="20"/>
                <w:color w:val="auto"/>
              </w:rPr>
            </w:pPr>
            <w:r>
              <w:rPr>
                <w:rFonts w:ascii="Arial" w:cs="Arial" w:eastAsia="Arial" w:hAnsi="Arial"/>
                <w:sz w:val="18"/>
                <w:szCs w:val="18"/>
                <w:color w:val="0000FF"/>
              </w:rPr>
              <w:t>FL</w:t>
            </w:r>
          </w:p>
        </w:tc>
        <w:tc>
          <w:tcPr>
            <w:tcW w:w="1440" w:type="dxa"/>
            <w:vAlign w:val="bottom"/>
            <w:vMerge w:val="restart"/>
          </w:tcPr>
          <w:p>
            <w:pPr>
              <w:ind w:left="20"/>
              <w:spacing w:after="0"/>
              <w:rPr>
                <w:sz w:val="20"/>
                <w:szCs w:val="20"/>
                <w:color w:val="auto"/>
              </w:rPr>
            </w:pPr>
            <w:r>
              <w:rPr>
                <w:rFonts w:ascii="Arial" w:cs="Arial" w:eastAsia="Arial" w:hAnsi="Arial"/>
                <w:sz w:val="18"/>
                <w:szCs w:val="18"/>
                <w:color w:val="0000FF"/>
              </w:rPr>
              <w:t>33408</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300" w:type="dxa"/>
            <w:vAlign w:val="bottom"/>
            <w:vMerge w:val="restart"/>
          </w:tcPr>
          <w:p>
            <w:pPr>
              <w:spacing w:after="0"/>
              <w:rPr>
                <w:sz w:val="20"/>
                <w:szCs w:val="20"/>
                <w:color w:val="auto"/>
              </w:rPr>
            </w:pPr>
            <w:r>
              <w:rPr>
                <w:rFonts w:ascii="Arial" w:cs="Arial" w:eastAsia="Arial" w:hAnsi="Arial"/>
                <w:sz w:val="18"/>
                <w:szCs w:val="18"/>
                <w:color w:val="0000FF"/>
              </w:rPr>
              <w:t>GARDENS</w:t>
            </w:r>
          </w:p>
        </w:tc>
        <w:tc>
          <w:tcPr>
            <w:tcW w:w="16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60"/>
              <w:spacing w:after="0"/>
              <w:rPr>
                <w:sz w:val="20"/>
                <w:szCs w:val="20"/>
                <w:color w:val="auto"/>
              </w:rPr>
            </w:pPr>
            <w:r>
              <w:rPr>
                <w:rFonts w:ascii="Arial" w:cs="Arial" w:eastAsia="Arial" w:hAnsi="Arial"/>
                <w:sz w:val="14"/>
                <w:szCs w:val="14"/>
                <w:color w:val="auto"/>
              </w:rPr>
              <w:t>(State)</w:t>
            </w:r>
          </w:p>
        </w:tc>
        <w:tc>
          <w:tcPr>
            <w:tcW w:w="1440" w:type="dxa"/>
            <w:vAlign w:val="bottom"/>
          </w:tcPr>
          <w:p>
            <w:pPr>
              <w:ind w:left="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TULLIS GROWTH FUND II,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60"/>
              <w:spacing w:after="0"/>
              <w:rPr>
                <w:sz w:val="20"/>
                <w:szCs w:val="20"/>
                <w:color w:val="auto"/>
              </w:rPr>
            </w:pPr>
            <w:r>
              <w:rPr>
                <w:rFonts w:ascii="Arial" w:cs="Arial" w:eastAsia="Arial" w:hAnsi="Arial"/>
                <w:sz w:val="14"/>
                <w:szCs w:val="14"/>
                <w:color w:val="auto"/>
              </w:rPr>
              <w:t>(First)</w:t>
            </w:r>
          </w:p>
        </w:tc>
        <w:tc>
          <w:tcPr>
            <w:tcW w:w="1440" w:type="dxa"/>
            <w:vAlign w:val="bottom"/>
          </w:tcPr>
          <w:p>
            <w:pPr>
              <w:ind w:left="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0000FF"/>
                <w:w w:val="91"/>
              </w:rPr>
              <w:t>11770 US HIGHWAY ONE, SUITE 503</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PALM BEACH</w:t>
            </w:r>
          </w:p>
        </w:tc>
        <w:tc>
          <w:tcPr>
            <w:tcW w:w="1600" w:type="dxa"/>
            <w:vAlign w:val="bottom"/>
            <w:vMerge w:val="restart"/>
          </w:tcPr>
          <w:p>
            <w:pPr>
              <w:ind w:left="160"/>
              <w:spacing w:after="0"/>
              <w:rPr>
                <w:sz w:val="20"/>
                <w:szCs w:val="20"/>
                <w:color w:val="auto"/>
              </w:rPr>
            </w:pPr>
            <w:r>
              <w:rPr>
                <w:rFonts w:ascii="Arial" w:cs="Arial" w:eastAsia="Arial" w:hAnsi="Arial"/>
                <w:sz w:val="18"/>
                <w:szCs w:val="18"/>
                <w:color w:val="0000FF"/>
              </w:rPr>
              <w:t>FL</w:t>
            </w:r>
          </w:p>
        </w:tc>
        <w:tc>
          <w:tcPr>
            <w:tcW w:w="1440" w:type="dxa"/>
            <w:vAlign w:val="bottom"/>
            <w:vMerge w:val="restart"/>
          </w:tcPr>
          <w:p>
            <w:pPr>
              <w:ind w:left="20"/>
              <w:spacing w:after="0"/>
              <w:rPr>
                <w:sz w:val="20"/>
                <w:szCs w:val="20"/>
                <w:color w:val="auto"/>
              </w:rPr>
            </w:pPr>
            <w:r>
              <w:rPr>
                <w:rFonts w:ascii="Arial" w:cs="Arial" w:eastAsia="Arial" w:hAnsi="Arial"/>
                <w:sz w:val="18"/>
                <w:szCs w:val="18"/>
                <w:color w:val="0000FF"/>
              </w:rPr>
              <w:t>33408</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300" w:type="dxa"/>
            <w:vAlign w:val="bottom"/>
            <w:vMerge w:val="restart"/>
          </w:tcPr>
          <w:p>
            <w:pPr>
              <w:spacing w:after="0"/>
              <w:rPr>
                <w:sz w:val="20"/>
                <w:szCs w:val="20"/>
                <w:color w:val="auto"/>
              </w:rPr>
            </w:pPr>
            <w:r>
              <w:rPr>
                <w:rFonts w:ascii="Arial" w:cs="Arial" w:eastAsia="Arial" w:hAnsi="Arial"/>
                <w:sz w:val="18"/>
                <w:szCs w:val="18"/>
                <w:color w:val="0000FF"/>
              </w:rPr>
              <w:t>GARDENS</w:t>
            </w:r>
          </w:p>
        </w:tc>
        <w:tc>
          <w:tcPr>
            <w:tcW w:w="16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60"/>
              <w:spacing w:after="0"/>
              <w:rPr>
                <w:sz w:val="20"/>
                <w:szCs w:val="20"/>
                <w:color w:val="auto"/>
              </w:rPr>
            </w:pPr>
            <w:r>
              <w:rPr>
                <w:rFonts w:ascii="Arial" w:cs="Arial" w:eastAsia="Arial" w:hAnsi="Arial"/>
                <w:sz w:val="14"/>
                <w:szCs w:val="14"/>
                <w:color w:val="auto"/>
              </w:rPr>
              <w:t>(State)</w:t>
            </w:r>
          </w:p>
        </w:tc>
        <w:tc>
          <w:tcPr>
            <w:tcW w:w="1440" w:type="dxa"/>
            <w:vAlign w:val="bottom"/>
          </w:tcPr>
          <w:p>
            <w:pPr>
              <w:ind w:left="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TULLIS DICKERSON PARTNERS III,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60"/>
              <w:spacing w:after="0"/>
              <w:rPr>
                <w:sz w:val="20"/>
                <w:szCs w:val="20"/>
                <w:color w:val="auto"/>
              </w:rPr>
            </w:pPr>
            <w:r>
              <w:rPr>
                <w:rFonts w:ascii="Arial" w:cs="Arial" w:eastAsia="Arial" w:hAnsi="Arial"/>
                <w:sz w:val="14"/>
                <w:szCs w:val="14"/>
                <w:color w:val="auto"/>
              </w:rPr>
              <w:t>(First)</w:t>
            </w:r>
          </w:p>
        </w:tc>
        <w:tc>
          <w:tcPr>
            <w:tcW w:w="1440" w:type="dxa"/>
            <w:vAlign w:val="bottom"/>
          </w:tcPr>
          <w:p>
            <w:pPr>
              <w:ind w:left="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0000FF"/>
                <w:w w:val="91"/>
              </w:rPr>
              <w:t>11770 US HIGHWAY ONE, SUITE 503</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PALM BEACH</w:t>
            </w:r>
          </w:p>
        </w:tc>
        <w:tc>
          <w:tcPr>
            <w:tcW w:w="1600" w:type="dxa"/>
            <w:vAlign w:val="bottom"/>
            <w:vMerge w:val="restart"/>
          </w:tcPr>
          <w:p>
            <w:pPr>
              <w:ind w:left="160"/>
              <w:spacing w:after="0"/>
              <w:rPr>
                <w:sz w:val="20"/>
                <w:szCs w:val="20"/>
                <w:color w:val="auto"/>
              </w:rPr>
            </w:pPr>
            <w:r>
              <w:rPr>
                <w:rFonts w:ascii="Arial" w:cs="Arial" w:eastAsia="Arial" w:hAnsi="Arial"/>
                <w:sz w:val="18"/>
                <w:szCs w:val="18"/>
                <w:color w:val="0000FF"/>
              </w:rPr>
              <w:t>FL</w:t>
            </w:r>
          </w:p>
        </w:tc>
        <w:tc>
          <w:tcPr>
            <w:tcW w:w="1440" w:type="dxa"/>
            <w:vAlign w:val="bottom"/>
            <w:vMerge w:val="restart"/>
          </w:tcPr>
          <w:p>
            <w:pPr>
              <w:ind w:left="20"/>
              <w:spacing w:after="0"/>
              <w:rPr>
                <w:sz w:val="20"/>
                <w:szCs w:val="20"/>
                <w:color w:val="auto"/>
              </w:rPr>
            </w:pPr>
            <w:r>
              <w:rPr>
                <w:rFonts w:ascii="Arial" w:cs="Arial" w:eastAsia="Arial" w:hAnsi="Arial"/>
                <w:sz w:val="18"/>
                <w:szCs w:val="18"/>
                <w:color w:val="0000FF"/>
              </w:rPr>
              <w:t>33408</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300" w:type="dxa"/>
            <w:vAlign w:val="bottom"/>
            <w:vMerge w:val="restart"/>
          </w:tcPr>
          <w:p>
            <w:pPr>
              <w:spacing w:after="0"/>
              <w:rPr>
                <w:sz w:val="20"/>
                <w:szCs w:val="20"/>
                <w:color w:val="auto"/>
              </w:rPr>
            </w:pPr>
            <w:r>
              <w:rPr>
                <w:rFonts w:ascii="Arial" w:cs="Arial" w:eastAsia="Arial" w:hAnsi="Arial"/>
                <w:sz w:val="18"/>
                <w:szCs w:val="18"/>
                <w:color w:val="0000FF"/>
              </w:rPr>
              <w:t>GARDENS</w:t>
            </w:r>
          </w:p>
        </w:tc>
        <w:tc>
          <w:tcPr>
            <w:tcW w:w="16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60"/>
              <w:spacing w:after="0"/>
              <w:rPr>
                <w:sz w:val="20"/>
                <w:szCs w:val="20"/>
                <w:color w:val="auto"/>
              </w:rPr>
            </w:pPr>
            <w:r>
              <w:rPr>
                <w:rFonts w:ascii="Arial" w:cs="Arial" w:eastAsia="Arial" w:hAnsi="Arial"/>
                <w:sz w:val="14"/>
                <w:szCs w:val="14"/>
                <w:color w:val="auto"/>
              </w:rPr>
              <w:t>(State)</w:t>
            </w:r>
          </w:p>
        </w:tc>
        <w:tc>
          <w:tcPr>
            <w:tcW w:w="1440" w:type="dxa"/>
            <w:vAlign w:val="bottom"/>
          </w:tcPr>
          <w:p>
            <w:pPr>
              <w:ind w:left="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80" w:firstLine="9"/>
        <w:spacing w:after="0" w:line="228"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reported on this form are held of record by Tullis-Dickerson Capital Focus III, L.P. ("Tullis"), Tullis Growth Fund, L.P. ("Tullis Growth") and Tullis Growth Fund II, L.P. ("Tullis Growth II"). Tullis-Dickerson Partners III, LLC ("Tullis Partners") is the general partner of Tullis and may be deemed to beneficially own the securities held by Tullis. Tullis Growth Partners, LLC ("Growth Partners") and Tullis Growth Partners II, LLC ("Growth Partners II")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pacing w:after="0" w:line="32"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securities held of record by Tullis.</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warrants are currently exercisable and will terminate upon closing of the Issuer's initial public offering.</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warrants are currently exercisable and will expire on January 19, 2026.</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warrants are currently exercisable and will expire on March 31, 2026.</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warrants held by Tullis and Tullis Growth, respectively, to purchase 54,196 shares of the Issuer's Common Stock and warrants to purchase 170,445 shares of the Issuer's Common Stock.</w:t>
      </w:r>
    </w:p>
    <w:p>
      <w:pPr>
        <w:spacing w:after="0" w:line="64" w:lineRule="exact"/>
        <w:rPr>
          <w:rFonts w:ascii="Arial" w:cs="Arial" w:eastAsia="Arial" w:hAnsi="Arial"/>
          <w:sz w:val="12"/>
          <w:szCs w:val="12"/>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warrants held by Tullis to purchase 65,340 shares of the Issuer's Common Stock.</w:t>
      </w:r>
    </w:p>
    <w:p>
      <w:pPr>
        <w:spacing w:after="0" w:line="41" w:lineRule="exact"/>
        <w:rPr>
          <w:rFonts w:ascii="Arial" w:cs="Arial" w:eastAsia="Arial" w:hAnsi="Arial"/>
          <w:sz w:val="14"/>
          <w:szCs w:val="14"/>
          <w:color w:val="008000"/>
        </w:rPr>
      </w:pPr>
    </w:p>
    <w:p>
      <w:pPr>
        <w:ind w:right="20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warrants held by Tullis and Tullis Growth, respectively, to purchase 2,493 shares of Series E Redeemable Convertible Preferred Stock (the "Series E") and warrants to purchase 656,330 shares of Series E.</w:t>
      </w:r>
    </w:p>
    <w:p>
      <w:pPr>
        <w:spacing w:after="0" w:line="30" w:lineRule="exact"/>
        <w:rPr>
          <w:rFonts w:ascii="Arial" w:cs="Arial" w:eastAsia="Arial" w:hAnsi="Arial"/>
          <w:sz w:val="14"/>
          <w:szCs w:val="14"/>
          <w:color w:val="008000"/>
        </w:rPr>
      </w:pPr>
    </w:p>
    <w:p>
      <w:pPr>
        <w:ind w:right="14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Series A-3 Redeemable Convertible Preferred Stock (the "Series A-3") is convertible into the Issuer's Common Stock on a 183.635-for-one basis at the holder's election and has no expiration date. The Series A-3 will automatically convert into Common Stock upon the closing of the Issuer's initial public offering.</w:t>
      </w:r>
    </w:p>
    <w:p>
      <w:pPr>
        <w:spacing w:after="0" w:line="30" w:lineRule="exact"/>
        <w:rPr>
          <w:rFonts w:ascii="Arial" w:cs="Arial" w:eastAsia="Arial" w:hAnsi="Arial"/>
          <w:sz w:val="14"/>
          <w:szCs w:val="14"/>
          <w:color w:val="008000"/>
        </w:rPr>
      </w:pPr>
    </w:p>
    <w:p>
      <w:pPr>
        <w:ind w:right="20" w:firstLine="9"/>
        <w:spacing w:after="0" w:line="305" w:lineRule="auto"/>
        <w:tabs>
          <w:tab w:leader="none" w:pos="20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Series C Redeemable Convertible Preferred Stock (the "Series C") is convertible into the Issuer's Common Stock on a 57.294-for-one basis at the holder's election and has no expiration date. The Series C will automatically convert into Common Stock upon the closing of the Issuer's initial public offering.</w:t>
      </w:r>
    </w:p>
    <w:p>
      <w:pPr>
        <w:ind w:right="180" w:firstLine="9"/>
        <w:spacing w:after="0" w:line="305" w:lineRule="auto"/>
        <w:tabs>
          <w:tab w:leader="none" w:pos="19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Series E is convertible into the Issuer's Common Stock on a 57.294-for-one basis at the holder's election and has no expiration date. The Series E will automatically convert into Common Stock upon the closing of the Issuer's initial public offering.</w:t>
      </w:r>
    </w:p>
    <w:p>
      <w:pPr>
        <w:ind w:left="220" w:hanging="211"/>
        <w:spacing w:after="0"/>
        <w:tabs>
          <w:tab w:leader="none" w:pos="22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656,282 and 273,150 shares of common stock underlying the Series E shares held by Tullis and Tullis Growth, respectively.</w:t>
      </w:r>
    </w:p>
    <w:p>
      <w:pPr>
        <w:spacing w:after="0" w:line="41" w:lineRule="exact"/>
        <w:rPr>
          <w:rFonts w:ascii="Arial" w:cs="Arial" w:eastAsia="Arial" w:hAnsi="Arial"/>
          <w:sz w:val="14"/>
          <w:szCs w:val="14"/>
          <w:color w:val="008000"/>
        </w:rPr>
      </w:pPr>
    </w:p>
    <w:p>
      <w:pPr>
        <w:ind w:right="80" w:firstLine="9"/>
        <w:spacing w:after="0" w:line="305" w:lineRule="auto"/>
        <w:tabs>
          <w:tab w:leader="none" w:pos="20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Series F Redeemable Convertible Preferred Stock ("Series F") is convertible into the Issuer's Common Stock on a 183.635-for-one basis at the holder's election and has no expiration date. The Series F will automatically convert into Common Stock upon the closing of the Issuer's initial public offering.</w:t>
      </w:r>
    </w:p>
    <w:p>
      <w:pPr>
        <w:ind w:left="220" w:hanging="211"/>
        <w:spacing w:after="0"/>
        <w:tabs>
          <w:tab w:leader="none" w:pos="22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242,226 and 199,771 shares of common stock underlying the Series F shares held by Tullis and Tullis Growth, respectively.</w:t>
      </w:r>
    </w:p>
    <w:p>
      <w:pPr>
        <w:spacing w:after="0" w:line="41" w:lineRule="exact"/>
        <w:rPr>
          <w:rFonts w:ascii="Arial" w:cs="Arial" w:eastAsia="Arial" w:hAnsi="Arial"/>
          <w:sz w:val="14"/>
          <w:szCs w:val="14"/>
          <w:color w:val="008000"/>
        </w:rPr>
      </w:pPr>
    </w:p>
    <w:p>
      <w:pPr>
        <w:ind w:firstLine="9"/>
        <w:spacing w:after="0" w:line="305" w:lineRule="auto"/>
        <w:tabs>
          <w:tab w:leader="none" w:pos="20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Series H Redeemable Convertible Preferred Stock ("Series H") is convertible into the Issuer's Common Stock on a 183.635-for-one basis at the holder's election and has no expiration date. The Series H will automatically convert into Common Stock upon the closing of the Issuer's initial public offering.</w:t>
      </w:r>
    </w:p>
    <w:p>
      <w:pPr>
        <w:ind w:left="220" w:hanging="211"/>
        <w:spacing w:after="0"/>
        <w:tabs>
          <w:tab w:leader="none" w:pos="22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106,897 shares, 105,453 shares and 105,453 shares of common stock underlying the Series H shares held by Tullis, Tullis Growth and Tullis Growth II, respectively.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340"/>
          </w:cols>
          <w:pgMar w:left="280" w:top="113" w:right="279" w:bottom="0" w:gutter="0" w:footer="0" w:header="0"/>
        </w:sectPr>
      </w:pP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Tullis Growth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407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2407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By: Tullis-Growth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6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7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6715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James L.L. Tullis,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23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623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James L.L. Tullis,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69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693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962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Tullis Growth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277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277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Tullis-Growth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4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4046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499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499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James L.L. Tullis,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290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1290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James L.L. Tullis,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693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693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962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0000FF"/>
        </w:rPr>
        <w:t>09/18/2019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09/18/2019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2">
            <w:col w:w="9040" w:space="80"/>
            <w:col w:w="2220"/>
          </w:cols>
          <w:pgMar w:left="280" w:top="113" w:right="279" w:bottom="0" w:gutter="0" w:footer="0" w:header="0"/>
          <w:type w:val="continuous"/>
        </w:sectPr>
      </w:pPr>
    </w:p>
    <w:bookmarkStart w:id="2" w:name="page3"/>
    <w:bookmarkEnd w:id="2"/>
    <w:p>
      <w:pPr>
        <w:ind w:left="6820"/>
        <w:spacing w:after="0"/>
        <w:rPr>
          <w:sz w:val="20"/>
          <w:szCs w:val="20"/>
          <w:color w:val="auto"/>
        </w:rPr>
      </w:pPr>
      <w:r>
        <w:rPr>
          <w:rFonts w:ascii="Arial" w:cs="Arial" w:eastAsia="Arial" w:hAnsi="Arial"/>
          <w:sz w:val="16"/>
          <w:szCs w:val="16"/>
          <w:color w:val="0000FF"/>
        </w:rPr>
        <w:t>Tullis-Dickerson Capital Focus 09/18/2019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9570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III, L.P., By: Tullis-Dickerson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3366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366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Partners,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19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2319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partner, By: /s/ James 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11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Tullis, Name: James 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290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290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Tullis, 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34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973455" cy="8890"/>
                    </a:xfrm>
                    <a:prstGeom prst="rect">
                      <a:avLst/>
                    </a:prstGeom>
                    <a:noFill/>
                  </pic:spPr>
                </pic:pic>
              </a:graphicData>
            </a:graphic>
          </wp:anchor>
        </w:drawing>
      </w:r>
    </w:p>
    <w:p>
      <w:pPr>
        <w:sectPr>
          <w:pgSz w:w="11900" w:h="16838" w:orient="portrait"/>
          <w:cols w:equalWidth="0" w:num="1">
            <w:col w:w="10320"/>
          </w:cols>
          <w:pgMar w:left="280" w:top="131" w:right="1299" w:bottom="1440" w:gutter="0" w:footer="0" w:header="0"/>
        </w:sectPr>
      </w:pPr>
    </w:p>
    <w:p>
      <w:pPr>
        <w:spacing w:after="0" w:line="5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Tullis-Dickerson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1728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17284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By: /s/ James 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1645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1645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Tullis, Name: James 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129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12903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Tullis, 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34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97345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15"/>
          <w:szCs w:val="15"/>
          <w:color w:val="0000FF"/>
        </w:rPr>
        <w:t>09/18/2019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780" w:space="340"/>
            <w:col w:w="1200"/>
          </w:cols>
          <w:pgMar w:left="280" w:top="131" w:right="1299" w:bottom="1440" w:gutter="0" w:footer="0" w:header="0"/>
          <w:type w:val="continuous"/>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11" Type="http://schemas.openxmlformats.org/officeDocument/2006/relationships/hyperlink" Target="http://www.sec.gov/cgi-bin/browse-edgar?action=getcompany&amp;CIK=0001144359" TargetMode="External"/><Relationship Id="rId12" Type="http://schemas.openxmlformats.org/officeDocument/2006/relationships/hyperlink" Target="http://www.sec.gov/cgi-bin/browse-edgar?action=getcompany&amp;CIK=0001274737" TargetMode="External"/><Relationship Id="rId14" Type="http://schemas.openxmlformats.org/officeDocument/2006/relationships/hyperlink" Target="http://www.sec.gov/cgi-bin/browse-edgar?action=getcompany&amp;CIK=0001606950" TargetMode="External"/><Relationship Id="rId15" Type="http://schemas.openxmlformats.org/officeDocument/2006/relationships/hyperlink" Target="http://www.sec.gov/cgi-bin/browse-edgar?action=getcompany&amp;CIK=0001746842" TargetMode="External"/><Relationship Id="rId16" Type="http://schemas.openxmlformats.org/officeDocument/2006/relationships/hyperlink" Target="http://www.sec.gov/cgi-bin/browse-edgar?action=getcompany&amp;CIK=00011443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2019-12-23T16:08:46Z</dcterms:created>
  <dcterms:modified xsi:type="dcterms:W3CDTF">2019-12-23T16:08:46Z</dcterms:modified>
</cp:coreProperties>
</file>