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October 24, 2023</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020" w:type="dxa"/>
            <w:vAlign w:val="bottom"/>
          </w:tcPr>
          <w:p>
            <w:pPr>
              <w:jc w:val="center"/>
              <w:ind w:right="302"/>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001-39049</w:t>
            </w:r>
          </w:p>
        </w:tc>
        <w:tc>
          <w:tcPr>
            <w:tcW w:w="1640" w:type="dxa"/>
            <w:vAlign w:val="bottom"/>
          </w:tcPr>
          <w:p>
            <w:pPr>
              <w:jc w:val="center"/>
              <w:ind w:left="422"/>
              <w:spacing w:after="0"/>
              <w:rPr>
                <w:sz w:val="20"/>
                <w:szCs w:val="20"/>
                <w:color w:val="auto"/>
              </w:rPr>
            </w:pPr>
            <w:r>
              <w:rPr>
                <w:rFonts w:ascii="Arial" w:cs="Arial" w:eastAsia="Arial" w:hAnsi="Arial"/>
                <w:sz w:val="18"/>
                <w:szCs w:val="18"/>
                <w:b w:val="1"/>
                <w:bCs w:val="1"/>
                <w:color w:val="auto"/>
                <w:w w:val="89"/>
              </w:rPr>
              <w:t>20-0434866</w:t>
            </w:r>
          </w:p>
        </w:tc>
      </w:tr>
      <w:tr>
        <w:trPr>
          <w:trHeight w:val="193"/>
        </w:trPr>
        <w:tc>
          <w:tcPr>
            <w:tcW w:w="2020" w:type="dxa"/>
            <w:vAlign w:val="bottom"/>
          </w:tcPr>
          <w:p>
            <w:pPr>
              <w:jc w:val="center"/>
              <w:ind w:right="302"/>
              <w:spacing w:after="0"/>
              <w:rPr>
                <w:sz w:val="20"/>
                <w:szCs w:val="20"/>
                <w:color w:val="auto"/>
              </w:rPr>
            </w:pPr>
            <w:r>
              <w:rPr>
                <w:rFonts w:ascii="Arial" w:cs="Arial" w:eastAsia="Arial" w:hAnsi="Arial"/>
                <w:sz w:val="14"/>
                <w:szCs w:val="14"/>
                <w:b w:val="1"/>
                <w:bCs w:val="1"/>
                <w:color w:val="auto"/>
                <w:w w:val="93"/>
              </w:rPr>
              <w:t>(State or other jurisdiction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(Commission</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020" w:type="dxa"/>
            <w:vAlign w:val="bottom"/>
          </w:tcPr>
          <w:p>
            <w:pPr>
              <w:jc w:val="center"/>
              <w:ind w:right="282"/>
              <w:spacing w:after="0"/>
              <w:rPr>
                <w:sz w:val="20"/>
                <w:szCs w:val="20"/>
                <w:color w:val="auto"/>
              </w:rPr>
            </w:pPr>
            <w:r>
              <w:rPr>
                <w:rFonts w:ascii="Arial" w:cs="Arial" w:eastAsia="Arial" w:hAnsi="Arial"/>
                <w:sz w:val="14"/>
                <w:szCs w:val="14"/>
                <w:b w:val="1"/>
                <w:bCs w:val="1"/>
                <w:color w:val="auto"/>
                <w:w w:val="94"/>
              </w:rPr>
              <w:t>of incorporation)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Arial" w:cs="Arial" w:eastAsia="Arial" w:hAnsi="Arial"/>
                <w:sz w:val="18"/>
                <w:szCs w:val="18"/>
                <w:b w:val="1"/>
                <w:bCs w:val="1"/>
                <w:color w:val="auto"/>
                <w:w w:val="93"/>
              </w:rPr>
              <w:t>1261 Liberty Way</w:t>
            </w:r>
          </w:p>
        </w:tc>
        <w:tc>
          <w:tcPr>
            <w:tcW w:w="1640" w:type="dxa"/>
            <w:vAlign w:val="bottom"/>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Vista, CA 92081</w:t>
            </w:r>
          </w:p>
        </w:tc>
        <w:tc>
          <w:tcPr>
            <w:tcW w:w="1640" w:type="dxa"/>
            <w:vAlign w:val="bottom"/>
          </w:tcPr>
          <w:p>
            <w:pPr>
              <w:spacing w:after="0"/>
              <w:rPr>
                <w:sz w:val="18"/>
                <w:szCs w:val="18"/>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40" w:type="dxa"/>
            <w:vAlign w:val="bottom"/>
          </w:tcPr>
          <w:p>
            <w:pPr>
              <w:spacing w:after="0"/>
              <w:rPr>
                <w:sz w:val="16"/>
                <w:szCs w:val="16"/>
                <w:color w:val="auto"/>
              </w:rPr>
            </w:pPr>
          </w:p>
        </w:tc>
      </w:tr>
      <w:tr>
        <w:trPr>
          <w:trHeight w:val="381"/>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(760) 560-1501</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40" w:type="dxa"/>
            <w:vAlign w:val="bottom"/>
          </w:tcPr>
          <w:p>
            <w:pPr>
              <w:spacing w:after="0"/>
              <w:rPr>
                <w:sz w:val="16"/>
                <w:szCs w:val="16"/>
                <w:color w:val="auto"/>
              </w:rPr>
            </w:pPr>
          </w:p>
        </w:tc>
      </w:tr>
      <w:tr>
        <w:trPr>
          <w:trHeight w:val="394"/>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rPr>
              <w:t>N/A</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4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9"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4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59" w:lineRule="exact"/>
        <w:rPr>
          <w:sz w:val="24"/>
          <w:szCs w:val="24"/>
          <w:color w:val="auto"/>
        </w:rPr>
      </w:pPr>
    </w:p>
    <w:p>
      <w:pPr>
        <w:ind w:right="52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October 24, 2023, the Company entered into an assignment and assumption of the Company's previously executed lease agreement (the "Agreement") with Liberty Vista, LP, formerly known as Geiger Court, LLC (the "Landlord"), and Mindera Corporation ("Mindera"). Pursuant to the Agreement, the Company assigned to Mindera this Standard Industrial/Commercial Single-Tenant Lease, dated August 15, 2014, by and between Geiger Court, LLC (later assigned to Liberty Vista) and the Company, as amended (the “Lease”), relating to office space located at 1221 Liberty Way, Vista, CA 92081, which is located adjacent to the Company’s headquarters.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Agreement, the Company has now assigned the Lease to Mindera; however, the Company will continue to pay rent and its proportional share of certain expenses under the Lease until October 31, 2023. After that date, Mindera will assume those obligations. Upon execution of the Agreement and receipt by the Landlord of $65,000 in the form of an additional security deposit, the Company will be released by the Landlord from all obligations and liabilities arising under the Lease, subject to certain termination conditions.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foregoing description of the Agreement does not purport to be complete and is qualified in its entirety by reference to the full text of the Agreement, which will be filed as exhibits to the Company’s Quarterly Report on Form 10-Q to be filed for the quarter ending September 30, 2023.</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under Item 1.01 of this Current Report on Form 8-K is incorporated into this Item 1.02 by reference.</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Exhibit</w:t>
      </w:r>
    </w:p>
    <w:p>
      <w:pPr>
        <w:ind w:left="560"/>
        <w:spacing w:after="0"/>
        <w:tabs>
          <w:tab w:leader="none" w:pos="1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2648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Kamal Adawi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2023-10-26T15:28:08Z</dcterms:created>
  <dcterms:modified xsi:type="dcterms:W3CDTF">2023-10-26T15:28:08Z</dcterms:modified>
</cp:coreProperties>
</file>