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12, 2026</w:t>
      </w:r>
    </w:p>
    <w:p>
      <w:pPr>
        <w:spacing w:after="0" w:line="2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276860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25" w:lineRule="exact"/>
        <w:rPr>
          <w:sz w:val="24"/>
          <w:szCs w:val="24"/>
          <w:color w:val="auto"/>
        </w:rPr>
      </w:pPr>
    </w:p>
    <w:tbl>
      <w:tblPr>
        <w:tblLayout w:type="fixed"/>
        <w:tblInd w:w="1360" w:type="dxa"/>
        <w:tblCellMar>
          <w:top w:w="0" w:type="dxa"/>
          <w:left w:w="0" w:type="dxa"/>
          <w:bottom w:w="0" w:type="dxa"/>
          <w:right w:w="0" w:type="dxa"/>
        </w:tblCellMar>
      </w:tblPr>
      <w:tr>
        <w:trPr>
          <w:trHeight w:val="400"/>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32"/>
                <w:szCs w:val="32"/>
                <w:b w:val="1"/>
                <w:bCs w:val="1"/>
                <w:color w:val="auto"/>
                <w:w w:val="99"/>
              </w:rPr>
              <w:t>FORM S-8</w:t>
            </w:r>
          </w:p>
        </w:tc>
      </w:tr>
      <w:tr>
        <w:trPr>
          <w:trHeight w:val="252"/>
        </w:trPr>
        <w:tc>
          <w:tcPr>
            <w:tcW w:w="2100" w:type="dxa"/>
            <w:vAlign w:val="bottom"/>
          </w:tcPr>
          <w:p>
            <w:pPr>
              <w:spacing w:after="0"/>
              <w:rPr>
                <w:sz w:val="21"/>
                <w:szCs w:val="21"/>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21"/>
                <w:szCs w:val="21"/>
                <w:b w:val="1"/>
                <w:bCs w:val="1"/>
                <w:color w:val="auto"/>
                <w:w w:val="99"/>
              </w:rPr>
              <w:t>REGISTRATION STATEMENT UNDER</w:t>
            </w:r>
          </w:p>
        </w:tc>
      </w:tr>
      <w:tr>
        <w:trPr>
          <w:trHeight w:val="281"/>
        </w:trPr>
        <w:tc>
          <w:tcPr>
            <w:tcW w:w="2100" w:type="dxa"/>
            <w:vAlign w:val="bottom"/>
          </w:tcPr>
          <w:p>
            <w:pPr>
              <w:spacing w:after="0"/>
              <w:rPr>
                <w:sz w:val="24"/>
                <w:szCs w:val="24"/>
                <w:color w:val="auto"/>
              </w:rPr>
            </w:pPr>
          </w:p>
        </w:tc>
        <w:tc>
          <w:tcPr>
            <w:tcW w:w="6140" w:type="dxa"/>
            <w:vAlign w:val="bottom"/>
          </w:tcPr>
          <w:p>
            <w:pPr>
              <w:jc w:val="center"/>
              <w:ind w:right="1822"/>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tc>
      </w:tr>
      <w:tr>
        <w:trPr>
          <w:trHeight w:val="509"/>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32"/>
                <w:szCs w:val="32"/>
                <w:b w:val="1"/>
                <w:bCs w:val="1"/>
                <w:color w:val="auto"/>
                <w:w w:val="99"/>
              </w:rPr>
              <w:t>EXAGEN INC.</w:t>
            </w:r>
          </w:p>
        </w:tc>
      </w:tr>
      <w:tr>
        <w:trPr>
          <w:trHeight w:val="250"/>
        </w:trPr>
        <w:tc>
          <w:tcPr>
            <w:tcW w:w="2100" w:type="dxa"/>
            <w:vAlign w:val="bottom"/>
          </w:tcPr>
          <w:p>
            <w:pPr>
              <w:spacing w:after="0"/>
              <w:rPr>
                <w:sz w:val="21"/>
                <w:szCs w:val="21"/>
                <w:color w:val="auto"/>
              </w:rPr>
            </w:pPr>
          </w:p>
        </w:tc>
        <w:tc>
          <w:tcPr>
            <w:tcW w:w="6140" w:type="dxa"/>
            <w:vAlign w:val="bottom"/>
          </w:tcPr>
          <w:p>
            <w:pPr>
              <w:jc w:val="center"/>
              <w:ind w:right="1802"/>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r>
      <w:tr>
        <w:trPr>
          <w:trHeight w:val="570"/>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200"/>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54"/>
        </w:trPr>
        <w:tc>
          <w:tcPr>
            <w:tcW w:w="2100" w:type="dxa"/>
            <w:vAlign w:val="bottom"/>
          </w:tcPr>
          <w:p>
            <w:pPr>
              <w:spacing w:after="0"/>
              <w:rPr>
                <w:sz w:val="24"/>
                <w:szCs w:val="24"/>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7"/>
              </w:rPr>
              <w:t>1261 Liberty Way</w:t>
            </w:r>
          </w:p>
        </w:tc>
      </w:tr>
      <w:tr>
        <w:trPr>
          <w:trHeight w:val="233"/>
        </w:trPr>
        <w:tc>
          <w:tcPr>
            <w:tcW w:w="2100" w:type="dxa"/>
            <w:vAlign w:val="bottom"/>
          </w:tcPr>
          <w:p>
            <w:pPr>
              <w:spacing w:after="0"/>
              <w:rPr>
                <w:sz w:val="20"/>
                <w:szCs w:val="20"/>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8"/>
              </w:rPr>
              <w:t>Vista, California 92081</w:t>
            </w:r>
          </w:p>
        </w:tc>
      </w:tr>
      <w:tr>
        <w:trPr>
          <w:trHeight w:val="278"/>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r>
      <w:tr>
        <w:trPr>
          <w:trHeight w:val="323"/>
        </w:trPr>
        <w:tc>
          <w:tcPr>
            <w:tcW w:w="2100" w:type="dxa"/>
            <w:vAlign w:val="bottom"/>
          </w:tcPr>
          <w:p>
            <w:pPr>
              <w:spacing w:after="0"/>
              <w:rPr>
                <w:sz w:val="24"/>
                <w:szCs w:val="24"/>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7"/>
              </w:rPr>
              <w:t>Exagen Inc. 2019 Incentive Award Plan</w:t>
            </w:r>
          </w:p>
        </w:tc>
      </w:tr>
      <w:tr>
        <w:trPr>
          <w:trHeight w:val="214"/>
        </w:trPr>
        <w:tc>
          <w:tcPr>
            <w:tcW w:w="2100" w:type="dxa"/>
            <w:vAlign w:val="bottom"/>
          </w:tcPr>
          <w:p>
            <w:pPr>
              <w:spacing w:after="0"/>
              <w:rPr>
                <w:sz w:val="18"/>
                <w:szCs w:val="18"/>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8"/>
              </w:rPr>
              <w:t>Exagen Inc. 2019 Employee Stock Purchase Plan</w:t>
            </w:r>
          </w:p>
        </w:tc>
      </w:tr>
      <w:tr>
        <w:trPr>
          <w:trHeight w:val="231"/>
        </w:trPr>
        <w:tc>
          <w:tcPr>
            <w:tcW w:w="2100" w:type="dxa"/>
            <w:vAlign w:val="bottom"/>
          </w:tcPr>
          <w:p>
            <w:pPr>
              <w:spacing w:after="0"/>
              <w:rPr>
                <w:sz w:val="20"/>
                <w:szCs w:val="20"/>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color w:val="auto"/>
                <w:w w:val="98"/>
              </w:rPr>
              <w:t>(Full title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7117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Aballi</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 California 92081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131"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4"/>
          <w:szCs w:val="24"/>
          <w:color w:val="auto"/>
        </w:rPr>
      </w:pPr>
    </w:p>
    <w:tbl>
      <w:tblPr>
        <w:tblLayout w:type="fixed"/>
        <w:tblInd w:w="460" w:type="dxa"/>
        <w:tblCellMar>
          <w:top w:w="0" w:type="dxa"/>
          <w:left w:w="0" w:type="dxa"/>
          <w:bottom w:w="0" w:type="dxa"/>
          <w:right w:w="0" w:type="dxa"/>
        </w:tblCellMar>
      </w:tblPr>
      <w:tr>
        <w:trPr>
          <w:trHeight w:val="29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0"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00" w:right="339" w:bottom="1440" w:gutter="0" w:footer="0" w:header="0"/>
        </w:sectPr>
      </w:pPr>
    </w:p>
    <w:bookmarkStart w:id="1" w:name="page2"/>
    <w:bookmarkEnd w:id="1"/>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9" w:lineRule="exact"/>
        <w:rPr>
          <w:sz w:val="20"/>
          <w:szCs w:val="20"/>
          <w:color w:val="auto"/>
        </w:rPr>
      </w:pPr>
    </w:p>
    <w:p>
      <w:pPr>
        <w:ind w:firstLine="318"/>
        <w:spacing w:after="0" w:line="282" w:lineRule="auto"/>
        <w:rPr>
          <w:sz w:val="20"/>
          <w:szCs w:val="20"/>
          <w:color w:val="auto"/>
        </w:rPr>
      </w:pPr>
      <w:r>
        <w:rPr>
          <w:rFonts w:ascii="Times New Roman" w:cs="Times New Roman" w:eastAsia="Times New Roman" w:hAnsi="Times New Roman"/>
          <w:sz w:val="17"/>
          <w:szCs w:val="17"/>
          <w:color w:val="auto"/>
        </w:rPr>
        <w:t>This Registration Statement on Form S-8 is being filed with the Securities and Exchange Commission (the "SEC") for the purpose of registering an additional 1,145,578 shares of common stock of Exagen Inc. (the "Registrant") issuable or which may become issuable under the Exagen Inc. 2019 Incentive Award Plan (the "2019 Plan") and the Exagen Inc. 2019 Employee Stock Purchase Plan (the "2019 ESPP") pursuant to the evergreen provisions of such plans.</w:t>
      </w:r>
    </w:p>
    <w:p>
      <w:pPr>
        <w:spacing w:after="0" w:line="159"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Pursuant to General Instruction E on Form S-8, the contents of the prior registration statements on Form S-8, File Nos. 333-233878, 333-256014, 333-264867, 333-272038, 333-279356 and 333-287438, previously filed with respect to the 2019 Plan and 2019 ESPP, are incorporated into this Registration Statement by reference to the extent not modified or superseded hereby or by any subsequently filed document, which is incorporated by reference herein or therein.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ind w:right="300" w:firstLine="318"/>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as specified by Rule 428(b)(1) of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 this Registration Statement, Exagen Inc. is sometimes referred to as "Registrant," "we," "us" or "our."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19"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74" w:lineRule="exact"/>
        <w:rPr>
          <w:sz w:val="20"/>
          <w:szCs w:val="20"/>
          <w:color w:val="auto"/>
        </w:rPr>
      </w:pPr>
    </w:p>
    <w:p>
      <w:pPr>
        <w:ind w:left="640" w:right="240" w:hanging="316"/>
        <w:spacing w:after="0" w:line="259"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2025, filed with the SEC on </w:t>
      </w:r>
      <w:hyperlink r:id="rId10">
        <w:r>
          <w:rPr>
            <w:rFonts w:ascii="Times New Roman" w:cs="Times New Roman" w:eastAsia="Times New Roman" w:hAnsi="Times New Roman"/>
            <w:sz w:val="18"/>
            <w:szCs w:val="18"/>
            <w:u w:val="single" w:color="auto"/>
            <w:color w:val="0000FF"/>
          </w:rPr>
          <w:t>March 10, 2026</w:t>
        </w:r>
      </w:hyperlink>
      <w:r>
        <w:rPr>
          <w:rFonts w:ascii="Times New Roman" w:cs="Times New Roman" w:eastAsia="Times New Roman" w:hAnsi="Times New Roman"/>
          <w:sz w:val="18"/>
          <w:szCs w:val="18"/>
          <w:color w:val="auto"/>
        </w:rPr>
        <w:t xml:space="preserve">, including the information incorporated by reference into our Annual Report on Form 10-K from our definitive proxy statement for our 2026 Annual Meeting of Stockholders, filed with the SEC on </w:t>
      </w:r>
      <w:hyperlink r:id="rId11">
        <w:r>
          <w:rPr>
            <w:rFonts w:ascii="Times New Roman" w:cs="Times New Roman" w:eastAsia="Times New Roman" w:hAnsi="Times New Roman"/>
            <w:sz w:val="18"/>
            <w:szCs w:val="18"/>
            <w:u w:val="single" w:color="auto"/>
            <w:color w:val="0000FF"/>
          </w:rPr>
          <w:t>April 27, 2026</w:t>
        </w:r>
      </w:hyperlink>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2026, filed with the SEC on </w:t>
      </w:r>
      <w:hyperlink r:id="rId12">
        <w:r>
          <w:rPr>
            <w:rFonts w:ascii="Times New Roman" w:cs="Times New Roman" w:eastAsia="Times New Roman" w:hAnsi="Times New Roman"/>
            <w:sz w:val="18"/>
            <w:szCs w:val="18"/>
            <w:u w:val="single" w:color="auto"/>
            <w:color w:val="0000FF"/>
          </w:rPr>
          <w:t>May 11, 2026</w:t>
        </w:r>
      </w:hyperlink>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13">
        <w:r>
          <w:rPr>
            <w:rFonts w:ascii="Times New Roman" w:cs="Times New Roman" w:eastAsia="Times New Roman" w:hAnsi="Times New Roman"/>
            <w:sz w:val="18"/>
            <w:szCs w:val="18"/>
            <w:u w:val="single" w:color="auto"/>
            <w:color w:val="0000FF"/>
          </w:rPr>
          <w:t>January 12, 2026</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FF"/>
          </w:rPr>
          <w:t>March 10, 2026</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FF"/>
          </w:rPr>
          <w:t>April 23,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FF"/>
          </w:rPr>
          <w:t>May 11, 2026</w:t>
        </w:r>
      </w:hyperlink>
      <w:r>
        <w:rPr>
          <w:rFonts w:ascii="Times New Roman" w:cs="Times New Roman" w:eastAsia="Times New Roman" w:hAnsi="Times New Roman"/>
          <w:sz w:val="18"/>
          <w:szCs w:val="18"/>
          <w:color w:val="auto"/>
        </w:rPr>
        <w:t>; and</w:t>
      </w:r>
    </w:p>
    <w:p>
      <w:pPr>
        <w:spacing w:after="0" w:line="111"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set forth in the Registrant's registration statement on Form 8-A12B (Registration No. 001-39049), filed by the Registrant with the SEC under Section 12(b) of</w:t>
      </w:r>
    </w:p>
    <w:p>
      <w:pPr>
        <w:sectPr>
          <w:pgSz w:w="11900" w:h="16838" w:orient="portrait"/>
          <w:cols w:equalWidth="0" w:num="1">
            <w:col w:w="11200"/>
          </w:cols>
          <w:pgMar w:left="320" w:top="1440" w:right="379" w:bottom="1440" w:gutter="0" w:footer="0" w:header="0"/>
        </w:sectPr>
      </w:pPr>
    </w:p>
    <w:bookmarkStart w:id="2" w:name="page3"/>
    <w:bookmarkEnd w:id="2"/>
    <w:p>
      <w:pPr>
        <w:spacing w:after="0" w:line="60" w:lineRule="exact"/>
        <w:rPr>
          <w:sz w:val="20"/>
          <w:szCs w:val="20"/>
          <w:color w:val="auto"/>
        </w:rPr>
      </w:pPr>
    </w:p>
    <w:p>
      <w:pPr>
        <w:ind w:left="640" w:right="2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Securities Exchange Act of 1934, as amended (the "Exchange Act"), on </w:t>
      </w:r>
      <w:hyperlink r:id="rId17">
        <w:r>
          <w:rPr>
            <w:rFonts w:ascii="Times New Roman" w:cs="Times New Roman" w:eastAsia="Times New Roman" w:hAnsi="Times New Roman"/>
            <w:sz w:val="18"/>
            <w:szCs w:val="18"/>
            <w:u w:val="single" w:color="auto"/>
            <w:color w:val="0000FF"/>
          </w:rPr>
          <w:t>September 13, 2019</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6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93"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Under no circumstances shall any information furnished under Item 2.02 or 7.01 of Form 8-K be deemed incorporated herein by reference unless such Form 8-K expressly provides to the contrary.</w:t>
      </w:r>
    </w:p>
    <w:p>
      <w:pPr>
        <w:sectPr>
          <w:pgSz w:w="11900" w:h="16838" w:orient="portrait"/>
          <w:cols w:equalWidth="0" w:num="1">
            <w:col w:w="11220"/>
          </w:cols>
          <w:pgMar w:left="320" w:top="1440" w:right="359" w:bottom="1440" w:gutter="0" w:footer="0" w:header="0"/>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54"/>
        </w:trPr>
        <w:tc>
          <w:tcPr>
            <w:tcW w:w="9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4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
        </w:trPr>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2940" w:type="dxa"/>
            <w:vAlign w:val="bottom"/>
            <w:tcBorders>
              <w:bottom w:val="single" w:sz="8" w:color="0000FF"/>
            </w:tcBorders>
            <w:gridSpan w:val="11"/>
          </w:tcPr>
          <w:p>
            <w:pPr>
              <w:spacing w:after="0" w:line="152" w:lineRule="exact"/>
              <w:rPr>
                <w:rFonts w:ascii="Times New Roman" w:cs="Times New Roman" w:eastAsia="Times New Roman" w:hAnsi="Times New Roman"/>
                <w:sz w:val="14"/>
                <w:szCs w:val="14"/>
                <w:color w:val="0000FF"/>
              </w:rPr>
            </w:pPr>
            <w:hyperlink r:id="rId18">
              <w:r>
                <w:rPr>
                  <w:rFonts w:ascii="Times New Roman" w:cs="Times New Roman" w:eastAsia="Times New Roman" w:hAnsi="Times New Roman"/>
                  <w:sz w:val="14"/>
                  <w:szCs w:val="14"/>
                  <w:color w:val="0000FF"/>
                </w:rPr>
                <w:t>Amended and Restated Certificate of Incorporation.</w:t>
              </w:r>
            </w:hyperlink>
          </w:p>
        </w:tc>
        <w:tc>
          <w:tcPr>
            <w:tcW w:w="800" w:type="dxa"/>
            <w:vAlign w:val="bottom"/>
            <w:gridSpan w:val="7"/>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001-39049</w:t>
            </w:r>
          </w:p>
        </w:tc>
        <w:tc>
          <w:tcPr>
            <w:tcW w:w="1000" w:type="dxa"/>
            <w:vAlign w:val="bottom"/>
          </w:tcPr>
          <w:p>
            <w:pPr>
              <w:jc w:val="center"/>
              <w:ind w:left="109"/>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400" w:type="dxa"/>
            <w:vAlign w:val="bottom"/>
          </w:tcPr>
          <w:p>
            <w:pPr>
              <w:jc w:val="center"/>
              <w:ind w:left="29"/>
              <w:spacing w:after="0" w:line="152" w:lineRule="exact"/>
              <w:rPr>
                <w:sz w:val="20"/>
                <w:szCs w:val="20"/>
                <w:color w:val="auto"/>
              </w:rPr>
            </w:pPr>
            <w:r>
              <w:rPr>
                <w:rFonts w:ascii="Times New Roman" w:cs="Times New Roman" w:eastAsia="Times New Roman" w:hAnsi="Times New Roman"/>
                <w:sz w:val="14"/>
                <w:szCs w:val="14"/>
                <w:color w:val="auto"/>
              </w:rPr>
              <w:t>9/23/2019</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3740" w:type="dxa"/>
            <w:vAlign w:val="bottom"/>
            <w:gridSpan w:val="18"/>
          </w:tcPr>
          <w:p>
            <w:pPr>
              <w:spacing w:after="0"/>
              <w:rPr>
                <w:rFonts w:ascii="Times New Roman" w:cs="Times New Roman" w:eastAsia="Times New Roman" w:hAnsi="Times New Roman"/>
                <w:sz w:val="14"/>
                <w:szCs w:val="14"/>
                <w:color w:val="0000FF"/>
              </w:rPr>
            </w:pPr>
            <w:hyperlink r:id="rId19">
              <w:r>
                <w:rPr>
                  <w:rFonts w:ascii="Times New Roman" w:cs="Times New Roman" w:eastAsia="Times New Roman" w:hAnsi="Times New Roman"/>
                  <w:sz w:val="14"/>
                  <w:szCs w:val="14"/>
                  <w:color w:val="0000FF"/>
                </w:rPr>
                <w:t>Amended Restated Bylaws.</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001-39049</w:t>
            </w:r>
          </w:p>
        </w:tc>
        <w:tc>
          <w:tcPr>
            <w:tcW w:w="10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3.1</w:t>
            </w: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3/22/2021</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3740" w:type="dxa"/>
            <w:vAlign w:val="bottom"/>
            <w:gridSpan w:val="18"/>
          </w:tcPr>
          <w:p>
            <w:pPr>
              <w:spacing w:after="0"/>
              <w:rPr>
                <w:rFonts w:ascii="Times New Roman" w:cs="Times New Roman" w:eastAsia="Times New Roman" w:hAnsi="Times New Roman"/>
                <w:sz w:val="14"/>
                <w:szCs w:val="14"/>
                <w:color w:val="0000FF"/>
              </w:rPr>
            </w:pPr>
            <w:hyperlink r:id="rId20">
              <w:r>
                <w:rPr>
                  <w:rFonts w:ascii="Times New Roman" w:cs="Times New Roman" w:eastAsia="Times New Roman" w:hAnsi="Times New Roman"/>
                  <w:sz w:val="14"/>
                  <w:szCs w:val="14"/>
                  <w:color w:val="0000FF"/>
                </w:rPr>
                <w:t>Amendment to Amended and Restated Bylaws, dated January 19,</w:t>
              </w:r>
            </w:hyperlink>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001-39049</w:t>
            </w: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3.1</w:t>
            </w:r>
          </w:p>
        </w:tc>
        <w:tc>
          <w:tcPr>
            <w:tcW w:w="14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1/23/2023</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32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4"/>
                <w:szCs w:val="14"/>
                <w:color w:val="0000FF"/>
                <w:w w:val="95"/>
              </w:rPr>
            </w:pPr>
            <w:hyperlink r:id="rId20">
              <w:r>
                <w:rPr>
                  <w:rFonts w:ascii="Times New Roman" w:cs="Times New Roman" w:eastAsia="Times New Roman" w:hAnsi="Times New Roman"/>
                  <w:sz w:val="14"/>
                  <w:szCs w:val="14"/>
                  <w:color w:val="0000FF"/>
                  <w:w w:val="95"/>
                </w:rPr>
                <w:t>2023.</w:t>
              </w:r>
            </w:hyperlink>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3740" w:type="dxa"/>
            <w:vAlign w:val="bottom"/>
            <w:gridSpan w:val="18"/>
          </w:tcPr>
          <w:p>
            <w:pPr>
              <w:spacing w:after="0"/>
              <w:rPr>
                <w:rFonts w:ascii="Times New Roman" w:cs="Times New Roman" w:eastAsia="Times New Roman" w:hAnsi="Times New Roman"/>
                <w:sz w:val="14"/>
                <w:szCs w:val="14"/>
                <w:color w:val="0000FF"/>
              </w:rPr>
            </w:pPr>
            <w:hyperlink r:id="rId21">
              <w:r>
                <w:rPr>
                  <w:rFonts w:ascii="Times New Roman" w:cs="Times New Roman" w:eastAsia="Times New Roman" w:hAnsi="Times New Roman"/>
                  <w:sz w:val="14"/>
                  <w:szCs w:val="14"/>
                  <w:color w:val="0000FF"/>
                </w:rPr>
                <w:t>Specimen stock certificate evidencing the shares of common</w:t>
              </w:r>
            </w:hyperlink>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333-233446</w:t>
            </w: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4.1</w:t>
            </w:r>
          </w:p>
        </w:tc>
        <w:tc>
          <w:tcPr>
            <w:tcW w:w="14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3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4"/>
                <w:szCs w:val="14"/>
                <w:color w:val="0000FF"/>
                <w:w w:val="96"/>
              </w:rPr>
            </w:pPr>
            <w:hyperlink r:id="rId21">
              <w:r>
                <w:rPr>
                  <w:rFonts w:ascii="Times New Roman" w:cs="Times New Roman" w:eastAsia="Times New Roman" w:hAnsi="Times New Roman"/>
                  <w:sz w:val="14"/>
                  <w:szCs w:val="14"/>
                  <w:color w:val="0000FF"/>
                  <w:w w:val="96"/>
                </w:rPr>
                <w:t>stock.</w:t>
              </w:r>
            </w:hyperlink>
          </w:p>
        </w:tc>
        <w:tc>
          <w:tcPr>
            <w:tcW w:w="3080" w:type="dxa"/>
            <w:vAlign w:val="bottom"/>
            <w:tcBorders>
              <w:top w:val="single" w:sz="8" w:color="0000FF"/>
            </w:tcBorders>
            <w:gridSpan w:val="11"/>
          </w:tcPr>
          <w:p>
            <w:pPr>
              <w:spacing w:after="0"/>
              <w:rPr>
                <w:sz w:val="13"/>
                <w:szCs w:val="13"/>
                <w:color w:val="auto"/>
              </w:rPr>
            </w:pPr>
          </w:p>
        </w:tc>
        <w:tc>
          <w:tcPr>
            <w:tcW w:w="320" w:type="dxa"/>
            <w:vAlign w:val="bottom"/>
            <w:gridSpan w:val="5"/>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5.1</w:t>
            </w:r>
          </w:p>
        </w:tc>
        <w:tc>
          <w:tcPr>
            <w:tcW w:w="37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Opinion of Mintz, Levin, Cohn, Ferris, Glovsky and Popeo, P.C.</w:t>
            </w: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Consent of BDO USA, P.C., independent registered public</w:t>
            </w:r>
          </w:p>
        </w:tc>
        <w:tc>
          <w:tcPr>
            <w:tcW w:w="320" w:type="dxa"/>
            <w:vAlign w:val="bottom"/>
            <w:tcBorders>
              <w:top w:val="single" w:sz="8" w:color="0000FF"/>
            </w:tcBorders>
            <w:gridSpan w:val="4"/>
          </w:tcPr>
          <w:p>
            <w:pPr>
              <w:spacing w:after="0"/>
              <w:rPr>
                <w:sz w:val="17"/>
                <w:szCs w:val="17"/>
                <w:color w:val="auto"/>
              </w:rPr>
            </w:pPr>
          </w:p>
        </w:tc>
        <w:tc>
          <w:tcPr>
            <w:tcW w:w="1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960" w:type="dxa"/>
            <w:vAlign w:val="bottom"/>
            <w:tcBorders>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w w:val="99"/>
              </w:rPr>
              <w:t>accounting firm.</w:t>
            </w:r>
          </w:p>
        </w:tc>
        <w:tc>
          <w:tcPr>
            <w:tcW w:w="2780" w:type="dxa"/>
            <w:vAlign w:val="bottom"/>
            <w:gridSpan w:val="14"/>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23.2</w:t>
            </w:r>
          </w:p>
        </w:tc>
        <w:tc>
          <w:tcPr>
            <w:tcW w:w="37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Consent of Mintz, Levin, Cohn, Ferris, Glovsky and Popeo, P.C.</w:t>
            </w: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3640" w:type="dxa"/>
            <w:vAlign w:val="bottom"/>
            <w:tcBorders>
              <w:top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(included in Exhibit 5.1).</w:t>
            </w:r>
          </w:p>
        </w:tc>
        <w:tc>
          <w:tcPr>
            <w:tcW w:w="10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Power of Attorney (see signature page)</w:t>
            </w:r>
          </w:p>
        </w:tc>
        <w:tc>
          <w:tcPr>
            <w:tcW w:w="152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3740" w:type="dxa"/>
            <w:vAlign w:val="bottom"/>
            <w:gridSpan w:val="18"/>
          </w:tcPr>
          <w:p>
            <w:pPr>
              <w:spacing w:after="0"/>
              <w:rPr>
                <w:rFonts w:ascii="Times New Roman" w:cs="Times New Roman" w:eastAsia="Times New Roman" w:hAnsi="Times New Roman"/>
                <w:sz w:val="14"/>
                <w:szCs w:val="14"/>
                <w:color w:val="0000FF"/>
              </w:rPr>
            </w:pPr>
            <w:hyperlink r:id="rId22">
              <w:r>
                <w:rPr>
                  <w:rFonts w:ascii="Times New Roman" w:cs="Times New Roman" w:eastAsia="Times New Roman" w:hAnsi="Times New Roman"/>
                  <w:sz w:val="14"/>
                  <w:szCs w:val="14"/>
                  <w:color w:val="0000FF"/>
                </w:rPr>
                <w:t>Exagen Inc. 2019 Incentive Award Plan.</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333-233446</w:t>
            </w:r>
          </w:p>
        </w:tc>
        <w:tc>
          <w:tcPr>
            <w:tcW w:w="10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10.3</w:t>
            </w: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99.2</w:t>
            </w:r>
          </w:p>
        </w:tc>
        <w:tc>
          <w:tcPr>
            <w:tcW w:w="35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23">
              <w:r>
                <w:rPr>
                  <w:rFonts w:ascii="Times New Roman" w:cs="Times New Roman" w:eastAsia="Times New Roman" w:hAnsi="Times New Roman"/>
                  <w:sz w:val="14"/>
                  <w:szCs w:val="14"/>
                  <w:color w:val="0000FF"/>
                </w:rPr>
                <w:t>Form of Option Agreement under Exagen Inc. 2019 Incentive</w:t>
              </w:r>
            </w:hyperlink>
          </w:p>
        </w:tc>
        <w:tc>
          <w:tcPr>
            <w:tcW w:w="240" w:type="dxa"/>
            <w:vAlign w:val="bottom"/>
            <w:gridSpan w:val="3"/>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333-233446</w:t>
            </w: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10.4</w:t>
            </w:r>
          </w:p>
        </w:tc>
        <w:tc>
          <w:tcPr>
            <w:tcW w:w="14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700" w:type="dxa"/>
            <w:vAlign w:val="bottom"/>
            <w:tcBorders>
              <w:bottom w:val="single" w:sz="8" w:color="0000FF"/>
            </w:tcBorders>
            <w:gridSpan w:val="3"/>
          </w:tcPr>
          <w:p>
            <w:pPr>
              <w:spacing w:after="0" w:line="152" w:lineRule="exact"/>
              <w:rPr>
                <w:rFonts w:ascii="Times New Roman" w:cs="Times New Roman" w:eastAsia="Times New Roman" w:hAnsi="Times New Roman"/>
                <w:sz w:val="14"/>
                <w:szCs w:val="14"/>
                <w:color w:val="0000FF"/>
                <w:w w:val="97"/>
              </w:rPr>
            </w:pPr>
            <w:hyperlink r:id="rId23">
              <w:r>
                <w:rPr>
                  <w:rFonts w:ascii="Times New Roman" w:cs="Times New Roman" w:eastAsia="Times New Roman" w:hAnsi="Times New Roman"/>
                  <w:sz w:val="14"/>
                  <w:szCs w:val="14"/>
                  <w:color w:val="0000FF"/>
                  <w:w w:val="97"/>
                </w:rPr>
                <w:t>Award Plan.</w:t>
              </w:r>
            </w:hyperlink>
          </w:p>
        </w:tc>
        <w:tc>
          <w:tcPr>
            <w:tcW w:w="3040" w:type="dxa"/>
            <w:vAlign w:val="bottom"/>
            <w:gridSpan w:val="15"/>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99.3</w:t>
            </w:r>
          </w:p>
        </w:tc>
        <w:tc>
          <w:tcPr>
            <w:tcW w:w="3740" w:type="dxa"/>
            <w:vAlign w:val="bottom"/>
            <w:gridSpan w:val="18"/>
          </w:tcPr>
          <w:p>
            <w:pPr>
              <w:spacing w:after="0"/>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Form of Restricted Stock Unit Agreement under Exagen Inc.</w:t>
              </w:r>
            </w:hyperlink>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001-39049</w:t>
            </w: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10.5</w:t>
            </w:r>
          </w:p>
        </w:tc>
        <w:tc>
          <w:tcPr>
            <w:tcW w:w="14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3/16/2021</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158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4"/>
                <w:szCs w:val="14"/>
                <w:color w:val="0000FF"/>
                <w:w w:val="99"/>
              </w:rPr>
            </w:pPr>
            <w:hyperlink r:id="rId24">
              <w:r>
                <w:rPr>
                  <w:rFonts w:ascii="Times New Roman" w:cs="Times New Roman" w:eastAsia="Times New Roman" w:hAnsi="Times New Roman"/>
                  <w:sz w:val="14"/>
                  <w:szCs w:val="14"/>
                  <w:color w:val="0000FF"/>
                  <w:w w:val="99"/>
                </w:rPr>
                <w:t>2019 Incentive Award Plan.</w:t>
              </w:r>
            </w:hyperlink>
          </w:p>
        </w:tc>
        <w:tc>
          <w:tcPr>
            <w:tcW w:w="1860" w:type="dxa"/>
            <w:vAlign w:val="bottom"/>
            <w:tcBorders>
              <w:top w:val="single" w:sz="8" w:color="0000FF"/>
            </w:tcBorders>
            <w:gridSpan w:val="7"/>
          </w:tcPr>
          <w:p>
            <w:pPr>
              <w:spacing w:after="0"/>
              <w:rPr>
                <w:sz w:val="13"/>
                <w:szCs w:val="13"/>
                <w:color w:val="auto"/>
              </w:rPr>
            </w:pPr>
          </w:p>
        </w:tc>
        <w:tc>
          <w:tcPr>
            <w:tcW w:w="300" w:type="dxa"/>
            <w:vAlign w:val="bottom"/>
            <w:gridSpan w:val="4"/>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99.4</w:t>
            </w:r>
          </w:p>
        </w:tc>
        <w:tc>
          <w:tcPr>
            <w:tcW w:w="3740" w:type="dxa"/>
            <w:vAlign w:val="bottom"/>
            <w:gridSpan w:val="18"/>
          </w:tcPr>
          <w:p>
            <w:pPr>
              <w:spacing w:after="0"/>
              <w:rPr>
                <w:rFonts w:ascii="Times New Roman" w:cs="Times New Roman" w:eastAsia="Times New Roman" w:hAnsi="Times New Roman"/>
                <w:sz w:val="14"/>
                <w:szCs w:val="14"/>
                <w:color w:val="0000FF"/>
              </w:rPr>
            </w:pPr>
            <w:hyperlink r:id="rId25">
              <w:r>
                <w:rPr>
                  <w:rFonts w:ascii="Times New Roman" w:cs="Times New Roman" w:eastAsia="Times New Roman" w:hAnsi="Times New Roman"/>
                  <w:sz w:val="14"/>
                  <w:szCs w:val="14"/>
                  <w:color w:val="0000FF"/>
                </w:rPr>
                <w:t>Exagen Inc. 2019 Employee Stock Purchase Plan.</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333-233446</w:t>
            </w:r>
          </w:p>
        </w:tc>
        <w:tc>
          <w:tcPr>
            <w:tcW w:w="10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10.5</w:t>
            </w: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2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Filing Fee Table.</w:t>
            </w:r>
          </w:p>
        </w:tc>
        <w:tc>
          <w:tcPr>
            <w:tcW w:w="92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Vista, State of California, on May 12, 2026.</w:t>
      </w:r>
    </w:p>
    <w:p>
      <w:pPr>
        <w:spacing w:after="0" w:line="25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325" w:lineRule="exact"/>
        <w:rPr>
          <w:sz w:val="20"/>
          <w:szCs w:val="20"/>
          <w:color w:val="auto"/>
        </w:rPr>
      </w:pPr>
    </w:p>
    <w:p>
      <w:pPr>
        <w:ind w:left="65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31750</wp:posOffset>
            </wp:positionV>
            <wp:extent cx="2583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5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John Aballi</w:t>
      </w:r>
    </w:p>
    <w:p>
      <w:pPr>
        <w:spacing w:after="0" w:line="5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John Aballi and Jeffrey G. Black, and each of them singly (with full power to each of them to act alone), his attorneys-in-fact, each with the full power of substitution, for him in any and all capacities, to sign this registration statement, and any amendments thereto (including post-effective amendments), and to file the same, with all exhibits thereto and other documents in connection therewith, with the SEC, hereby ratifying and confirming all that each of said attorneys-in-fact,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sectPr>
          <w:pgSz w:w="11900" w:h="16838" w:orient="portrait"/>
          <w:cols w:equalWidth="0" w:num="1">
            <w:col w:w="11220"/>
          </w:cols>
          <w:pgMar w:left="320" w:top="1440" w:right="359" w:bottom="1440" w:gutter="0" w:footer="0" w:header="0"/>
        </w:sectPr>
      </w:pPr>
    </w:p>
    <w:bookmarkStart w:id="5" w:name="page6"/>
    <w:bookmarkEnd w:id="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16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37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John Aballi</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President, Chief Executive Officer and 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Aballi</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Jeffrey G. Black</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Chief Financial Officer and Corporate Secretary</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Jeffrey G. Black</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(Principal Financial and Accounting Officer)</w:t>
            </w: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Tina S. Nova,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Chairman of the Board of Directors</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Tina S. Nova,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Scott Kahn,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Kahn,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Paul Kim</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Kim</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Bruce C. Robertson,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Bruce C. Robertson,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Frank Stokes</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Frank Stokes</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Chas McKhann</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Chas McKhann</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ectPr>
          <w:pgSz w:w="11900" w:h="16838" w:orient="portrait"/>
          <w:cols w:equalWidth="0" w:num="1">
            <w:col w:w="11020"/>
          </w:cols>
          <w:pgMar w:left="640" w:top="1440"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Exagen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0" w:type="dxa"/>
            <w:vAlign w:val="bottom"/>
            <w:tcBorders>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spacing w:after="0"/>
              <w:rPr>
                <w:sz w:val="10"/>
                <w:szCs w:val="10"/>
                <w:color w:val="auto"/>
              </w:rPr>
            </w:pPr>
          </w:p>
        </w:tc>
        <w:tc>
          <w:tcPr>
            <w:tcW w:w="1220" w:type="dxa"/>
            <w:vAlign w:val="bottom"/>
            <w:tcBorders>
              <w:top w:val="single" w:sz="8" w:color="auto"/>
              <w:right w:val="single" w:sz="8" w:color="auto"/>
            </w:tcBorders>
          </w:tcPr>
          <w:p>
            <w:pPr>
              <w:spacing w:after="0"/>
              <w:rPr>
                <w:sz w:val="10"/>
                <w:szCs w:val="10"/>
                <w:color w:val="auto"/>
              </w:rPr>
            </w:pPr>
          </w:p>
        </w:tc>
        <w:tc>
          <w:tcPr>
            <w:tcW w:w="1220" w:type="dxa"/>
            <w:vAlign w:val="bottom"/>
            <w:tcBorders>
              <w:top w:val="single" w:sz="8" w:color="auto"/>
              <w:right w:val="single" w:sz="8" w:color="auto"/>
            </w:tcBorders>
          </w:tcPr>
          <w:p>
            <w:pPr>
              <w:spacing w:after="0"/>
              <w:rPr>
                <w:sz w:val="10"/>
                <w:szCs w:val="10"/>
                <w:color w:val="auto"/>
              </w:rPr>
            </w:pPr>
          </w:p>
        </w:tc>
        <w:tc>
          <w:tcPr>
            <w:tcW w:w="1240" w:type="dxa"/>
            <w:vAlign w:val="bottom"/>
            <w:tcBorders>
              <w:top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Maximum Aggregate</w:t>
            </w:r>
          </w:p>
        </w:tc>
        <w:tc>
          <w:tcPr>
            <w:tcW w:w="1300" w:type="dxa"/>
            <w:vAlign w:val="bottom"/>
            <w:tcBorders>
              <w:top w:val="single" w:sz="8" w:color="auto"/>
              <w:right w:val="single" w:sz="8" w:color="auto"/>
            </w:tcBorders>
          </w:tcPr>
          <w:p>
            <w:pPr>
              <w:spacing w:after="0"/>
              <w:rPr>
                <w:sz w:val="10"/>
                <w:szCs w:val="10"/>
                <w:color w:val="auto"/>
              </w:rPr>
            </w:pPr>
          </w:p>
        </w:tc>
        <w:tc>
          <w:tcPr>
            <w:tcW w:w="15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Security Class Title</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Fee Calculation Rule</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Registered</w:t>
            </w:r>
          </w:p>
        </w:tc>
        <w:tc>
          <w:tcPr>
            <w:tcW w:w="12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Offering Price Per</w:t>
            </w:r>
          </w:p>
        </w:tc>
        <w:tc>
          <w:tcPr>
            <w:tcW w:w="17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1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 of Registration Fee</w:t>
            </w:r>
          </w:p>
        </w:tc>
        <w:tc>
          <w:tcPr>
            <w:tcW w:w="0" w:type="dxa"/>
            <w:vAlign w:val="bottom"/>
          </w:tcPr>
          <w:p>
            <w:pPr>
              <w:spacing w:after="0"/>
              <w:rPr>
                <w:sz w:val="1"/>
                <w:szCs w:val="1"/>
                <w:color w:val="auto"/>
              </w:rPr>
            </w:pPr>
          </w:p>
        </w:tc>
      </w:tr>
      <w:tr>
        <w:trPr>
          <w:trHeight w:val="167"/>
        </w:trPr>
        <w:tc>
          <w:tcPr>
            <w:tcW w:w="60" w:type="dxa"/>
            <w:vAlign w:val="bottom"/>
            <w:tcBorders>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1120" w:type="dxa"/>
            <w:vAlign w:val="bottom"/>
            <w:tcBorders>
              <w:bottom w:val="single" w:sz="8" w:color="auto"/>
              <w:right w:val="single" w:sz="8" w:color="auto"/>
            </w:tcBorders>
            <w:vMerge w:val="continue"/>
          </w:tcPr>
          <w:p>
            <w:pPr>
              <w:spacing w:after="0"/>
              <w:rPr>
                <w:sz w:val="14"/>
                <w:szCs w:val="14"/>
                <w:color w:val="auto"/>
              </w:rPr>
            </w:pPr>
          </w:p>
        </w:tc>
        <w:tc>
          <w:tcPr>
            <w:tcW w:w="1220" w:type="dxa"/>
            <w:vAlign w:val="bottom"/>
            <w:tcBorders>
              <w:bottom w:val="single" w:sz="8" w:color="auto"/>
              <w:right w:val="single" w:sz="8" w:color="auto"/>
            </w:tcBorders>
            <w:vMerge w:val="continue"/>
          </w:tcPr>
          <w:p>
            <w:pPr>
              <w:spacing w:after="0"/>
              <w:rPr>
                <w:sz w:val="14"/>
                <w:szCs w:val="14"/>
                <w:color w:val="auto"/>
              </w:rPr>
            </w:pPr>
          </w:p>
        </w:tc>
        <w:tc>
          <w:tcPr>
            <w:tcW w:w="1220" w:type="dxa"/>
            <w:vAlign w:val="bottom"/>
            <w:tcBorders>
              <w:bottom w:val="single" w:sz="8" w:color="auto"/>
              <w:right w:val="single" w:sz="8" w:color="auto"/>
            </w:tcBorders>
            <w:vMerge w:val="continue"/>
          </w:tcPr>
          <w:p>
            <w:pPr>
              <w:spacing w:after="0"/>
              <w:rPr>
                <w:sz w:val="14"/>
                <w:szCs w:val="14"/>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 Price</w:t>
            </w:r>
          </w:p>
        </w:tc>
        <w:tc>
          <w:tcPr>
            <w:tcW w:w="1300" w:type="dxa"/>
            <w:vAlign w:val="bottom"/>
            <w:tcBorders>
              <w:bottom w:val="single" w:sz="8" w:color="auto"/>
              <w:right w:val="single" w:sz="8" w:color="auto"/>
            </w:tcBorders>
            <w:vMerge w:val="continue"/>
          </w:tcPr>
          <w:p>
            <w:pPr>
              <w:spacing w:after="0"/>
              <w:rPr>
                <w:sz w:val="14"/>
                <w:szCs w:val="14"/>
                <w:color w:val="auto"/>
              </w:rPr>
            </w:pPr>
          </w:p>
        </w:tc>
        <w:tc>
          <w:tcPr>
            <w:tcW w:w="15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ind w:right="312"/>
              <w:spacing w:after="0" w:line="197" w:lineRule="exact"/>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right w:val="single" w:sz="8" w:color="auto"/>
            </w:tcBorders>
          </w:tcPr>
          <w:p>
            <w:pPr>
              <w:ind w:left="220"/>
              <w:spacing w:after="0" w:line="197" w:lineRule="exact"/>
              <w:rPr>
                <w:sz w:val="20"/>
                <w:szCs w:val="20"/>
                <w:color w:val="auto"/>
              </w:rPr>
            </w:pPr>
            <w:r>
              <w:rPr>
                <w:rFonts w:ascii="Times New Roman" w:cs="Times New Roman" w:eastAsia="Times New Roman" w:hAnsi="Times New Roman"/>
                <w:sz w:val="18"/>
                <w:szCs w:val="18"/>
                <w:color w:val="auto"/>
              </w:rPr>
              <w:t>Equity</w:t>
            </w:r>
          </w:p>
        </w:tc>
        <w:tc>
          <w:tcPr>
            <w:tcW w:w="1120" w:type="dxa"/>
            <w:vAlign w:val="bottom"/>
            <w:tcBorders>
              <w:right w:val="single" w:sz="8" w:color="auto"/>
            </w:tcBorders>
          </w:tcPr>
          <w:p>
            <w:pPr>
              <w:ind w:left="240"/>
              <w:spacing w:after="0" w:line="197" w:lineRule="exact"/>
              <w:rPr>
                <w:sz w:val="20"/>
                <w:szCs w:val="20"/>
                <w:color w:val="auto"/>
              </w:rPr>
            </w:pPr>
            <w:r>
              <w:rPr>
                <w:rFonts w:ascii="Times New Roman" w:cs="Times New Roman" w:eastAsia="Times New Roman" w:hAnsi="Times New Roman"/>
                <w:sz w:val="18"/>
                <w:szCs w:val="18"/>
                <w:color w:val="auto"/>
              </w:rPr>
              <w:t>Common</w:t>
            </w:r>
          </w:p>
        </w:tc>
        <w:tc>
          <w:tcPr>
            <w:tcW w:w="12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Other</w:t>
            </w:r>
          </w:p>
        </w:tc>
        <w:tc>
          <w:tcPr>
            <w:tcW w:w="12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916,463</w:t>
            </w:r>
          </w:p>
        </w:tc>
        <w:tc>
          <w:tcPr>
            <w:tcW w:w="124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$3.10</w:t>
            </w:r>
          </w:p>
        </w:tc>
        <w:tc>
          <w:tcPr>
            <w:tcW w:w="17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$2,841,035.30</w:t>
            </w:r>
          </w:p>
        </w:tc>
        <w:tc>
          <w:tcPr>
            <w:tcW w:w="13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$0.0001381</w:t>
            </w:r>
          </w:p>
        </w:tc>
        <w:tc>
          <w:tcPr>
            <w:tcW w:w="15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5"/>
              </w:rPr>
              <w:t>$392.35</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color w:val="auto"/>
                <w:w w:val="98"/>
              </w:rPr>
              <w:t>Stock, par</w:t>
            </w:r>
          </w:p>
        </w:tc>
        <w:tc>
          <w:tcPr>
            <w:tcW w:w="12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value $0.001</w:t>
            </w:r>
          </w:p>
        </w:tc>
        <w:tc>
          <w:tcPr>
            <w:tcW w:w="12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 w:type="dxa"/>
            <w:vAlign w:val="bottom"/>
            <w:tcBorders>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2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right"/>
              <w:ind w:right="312"/>
              <w:spacing w:after="0" w:line="192" w:lineRule="exact"/>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right w:val="single" w:sz="8" w:color="auto"/>
            </w:tcBorders>
          </w:tcPr>
          <w:p>
            <w:pPr>
              <w:ind w:left="220"/>
              <w:spacing w:after="0" w:line="192" w:lineRule="exact"/>
              <w:rPr>
                <w:sz w:val="20"/>
                <w:szCs w:val="20"/>
                <w:color w:val="auto"/>
              </w:rPr>
            </w:pPr>
            <w:r>
              <w:rPr>
                <w:rFonts w:ascii="Times New Roman" w:cs="Times New Roman" w:eastAsia="Times New Roman" w:hAnsi="Times New Roman"/>
                <w:sz w:val="18"/>
                <w:szCs w:val="18"/>
                <w:color w:val="auto"/>
              </w:rPr>
              <w:t>Equity</w:t>
            </w:r>
          </w:p>
        </w:tc>
        <w:tc>
          <w:tcPr>
            <w:tcW w:w="1120" w:type="dxa"/>
            <w:vAlign w:val="bottom"/>
            <w:tcBorders>
              <w:right w:val="single" w:sz="8" w:color="auto"/>
            </w:tcBorders>
          </w:tcPr>
          <w:p>
            <w:pPr>
              <w:ind w:left="240"/>
              <w:spacing w:after="0" w:line="192" w:lineRule="exact"/>
              <w:rPr>
                <w:sz w:val="20"/>
                <w:szCs w:val="20"/>
                <w:color w:val="auto"/>
              </w:rPr>
            </w:pPr>
            <w:r>
              <w:rPr>
                <w:rFonts w:ascii="Times New Roman" w:cs="Times New Roman" w:eastAsia="Times New Roman" w:hAnsi="Times New Roman"/>
                <w:sz w:val="18"/>
                <w:szCs w:val="18"/>
                <w:color w:val="auto"/>
              </w:rPr>
              <w:t>Common</w:t>
            </w:r>
          </w:p>
        </w:tc>
        <w:tc>
          <w:tcPr>
            <w:tcW w:w="12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Other</w:t>
            </w:r>
          </w:p>
        </w:tc>
        <w:tc>
          <w:tcPr>
            <w:tcW w:w="12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5"/>
              </w:rPr>
              <w:t>229,115</w:t>
            </w:r>
          </w:p>
        </w:tc>
        <w:tc>
          <w:tcPr>
            <w:tcW w:w="12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$3.10</w:t>
            </w:r>
          </w:p>
        </w:tc>
        <w:tc>
          <w:tcPr>
            <w:tcW w:w="17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$710,256.50</w:t>
            </w:r>
          </w:p>
        </w:tc>
        <w:tc>
          <w:tcPr>
            <w:tcW w:w="13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$0.0001381</w:t>
            </w:r>
          </w:p>
        </w:tc>
        <w:tc>
          <w:tcPr>
            <w:tcW w:w="156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$98.09</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color w:val="auto"/>
                <w:w w:val="98"/>
              </w:rPr>
              <w:t>Stock, par</w:t>
            </w:r>
          </w:p>
        </w:tc>
        <w:tc>
          <w:tcPr>
            <w:tcW w:w="12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value $0.001</w:t>
            </w:r>
          </w:p>
        </w:tc>
        <w:tc>
          <w:tcPr>
            <w:tcW w:w="12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 w:type="dxa"/>
            <w:vAlign w:val="bottom"/>
            <w:tcBorders>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2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Total Offering Amount</w:t>
            </w:r>
          </w:p>
        </w:tc>
        <w:tc>
          <w:tcPr>
            <w:tcW w:w="122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$3,551,291.80</w:t>
            </w:r>
          </w:p>
        </w:tc>
        <w:tc>
          <w:tcPr>
            <w:tcW w:w="13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$490.44</w:t>
            </w:r>
          </w:p>
        </w:tc>
        <w:tc>
          <w:tcPr>
            <w:tcW w:w="0" w:type="dxa"/>
            <w:vAlign w:val="bottom"/>
          </w:tcPr>
          <w:p>
            <w:pPr>
              <w:spacing w:after="0"/>
              <w:rPr>
                <w:sz w:val="1"/>
                <w:szCs w:val="1"/>
                <w:color w:val="auto"/>
              </w:rPr>
            </w:pPr>
          </w:p>
        </w:tc>
      </w:tr>
      <w:tr>
        <w:trPr>
          <w:trHeight w:val="39"/>
        </w:trPr>
        <w:tc>
          <w:tcPr>
            <w:tcW w:w="60" w:type="dxa"/>
            <w:vAlign w:val="bottom"/>
            <w:tcBorders>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22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
        </w:trPr>
        <w:tc>
          <w:tcPr>
            <w:tcW w:w="60" w:type="dxa"/>
            <w:vAlign w:val="bottom"/>
            <w:tcBorders>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22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
        </w:trPr>
        <w:tc>
          <w:tcPr>
            <w:tcW w:w="60" w:type="dxa"/>
            <w:vAlign w:val="bottom"/>
            <w:tcBorders>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2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$490.44</w:t>
            </w:r>
          </w:p>
        </w:tc>
        <w:tc>
          <w:tcPr>
            <w:tcW w:w="0" w:type="dxa"/>
            <w:vAlign w:val="bottom"/>
          </w:tcPr>
          <w:p>
            <w:pPr>
              <w:spacing w:after="0"/>
              <w:rPr>
                <w:sz w:val="1"/>
                <w:szCs w:val="1"/>
                <w:color w:val="auto"/>
              </w:rPr>
            </w:pPr>
          </w:p>
        </w:tc>
      </w:tr>
      <w:tr>
        <w:trPr>
          <w:trHeight w:val="39"/>
        </w:trPr>
        <w:tc>
          <w:tcPr>
            <w:tcW w:w="60" w:type="dxa"/>
            <w:vAlign w:val="bottom"/>
            <w:tcBorders>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9"/>
        </w:trPr>
        <w:tc>
          <w:tcPr>
            <w:tcW w:w="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 w:name="page8"/>
    <w:bookmarkEnd w:id="7"/>
    <w:p>
      <w:pPr>
        <w:ind w:left="480"/>
        <w:spacing w:after="0"/>
        <w:rPr>
          <w:sz w:val="20"/>
          <w:szCs w:val="20"/>
          <w:color w:val="auto"/>
        </w:rPr>
      </w:pPr>
      <w:r>
        <w:rPr>
          <w:rFonts w:ascii="Times New Roman" w:cs="Times New Roman" w:eastAsia="Times New Roman" w:hAnsi="Times New Roman"/>
          <w:sz w:val="18"/>
          <w:szCs w:val="18"/>
          <w:b w:val="1"/>
          <w:bCs w:val="1"/>
          <w:color w:val="auto"/>
        </w:rPr>
        <w:t>Offering Note</w:t>
      </w:r>
    </w:p>
    <w:p>
      <w:pPr>
        <w:spacing w:after="0" w:line="26" w:lineRule="exact"/>
        <w:rPr>
          <w:sz w:val="20"/>
          <w:szCs w:val="20"/>
          <w:color w:val="auto"/>
        </w:rPr>
      </w:pPr>
    </w:p>
    <w:p>
      <w:pPr>
        <w:ind w:left="480" w:right="100" w:hanging="293"/>
        <w:spacing w:after="0" w:line="218" w:lineRule="auto"/>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also covers an indeterminate number of additional shares of common stock, par value $0.001 per share (“Common Stock”), of Exagen Inc. (the “Registrant”), which may be subject to grant or otherwise issuable after the operation of any anti-dilution and other provisions of the Registrant’s 2019 Incentive Award Plan (the “2019 Plan”), or the Registrant’s 2019 Employee Stock Purchase Plan (the “2019 ESPP”).</w:t>
      </w:r>
    </w:p>
    <w:p>
      <w:pPr>
        <w:spacing w:after="0" w:line="142" w:lineRule="exact"/>
        <w:rPr>
          <w:rFonts w:ascii="Times New Roman" w:cs="Times New Roman" w:eastAsia="Times New Roman" w:hAnsi="Times New Roman"/>
          <w:sz w:val="18"/>
          <w:szCs w:val="18"/>
          <w:color w:val="auto"/>
        </w:rPr>
      </w:pPr>
    </w:p>
    <w:p>
      <w:pPr>
        <w:ind w:left="480" w:right="30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916,463 shares of Common Stock of the Registrant authorized for issuance for compensatory purposes only, as previously authorized under the 2019 Plan as of January 1, 2026, in connection with an “evergreen” provision in the 2019 Plan.</w:t>
      </w:r>
    </w:p>
    <w:p>
      <w:pPr>
        <w:spacing w:after="0" w:line="152" w:lineRule="exact"/>
        <w:rPr>
          <w:rFonts w:ascii="Times New Roman" w:cs="Times New Roman" w:eastAsia="Times New Roman" w:hAnsi="Times New Roman"/>
          <w:sz w:val="18"/>
          <w:szCs w:val="18"/>
          <w:color w:val="auto"/>
        </w:rPr>
      </w:pPr>
    </w:p>
    <w:p>
      <w:pPr>
        <w:ind w:left="480" w:right="220"/>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promulgated under the Securities Act. The offering price per share and the aggregate offering price are based on the average of the high and the low price of the Registrant’s Common Stock as reported on The Nasdaq Global Market as of a date (May 6, 2026) within five business days prior to filing this Registration Statement.</w:t>
      </w:r>
    </w:p>
    <w:p>
      <w:pPr>
        <w:spacing w:after="0" w:line="142" w:lineRule="exact"/>
        <w:rPr>
          <w:sz w:val="20"/>
          <w:szCs w:val="20"/>
          <w:color w:val="auto"/>
        </w:rPr>
      </w:pPr>
    </w:p>
    <w:p>
      <w:pPr>
        <w:jc w:val="both"/>
        <w:ind w:left="480" w:right="320" w:hanging="293"/>
        <w:spacing w:after="0" w:line="227"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this Registration Statement also covers an indeterminate number of additional shares of Common Stock of the Registrant, which may be subject to grant or otherwise issuable after the operation of any anti-dilution and other provisions of the 2019 Plan or the 2019 ESPP.</w:t>
      </w:r>
    </w:p>
    <w:p>
      <w:pPr>
        <w:spacing w:after="0" w:line="141" w:lineRule="exact"/>
        <w:rPr>
          <w:rFonts w:ascii="Times New Roman" w:cs="Times New Roman" w:eastAsia="Times New Roman" w:hAnsi="Times New Roman"/>
          <w:sz w:val="18"/>
          <w:szCs w:val="18"/>
          <w:color w:val="auto"/>
        </w:rPr>
      </w:pPr>
    </w:p>
    <w:p>
      <w:pPr>
        <w:ind w:left="480" w:right="30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229,115 shares of Common Stock of the Registrant authorized for issuance for compensatory purposes only, as previously authorized under the 2019 ESPP as of January 1, 2026, in connection with an “evergreen” provision in the 2019 ESPP.</w:t>
      </w:r>
    </w:p>
    <w:p>
      <w:pPr>
        <w:spacing w:after="0" w:line="152" w:lineRule="exact"/>
        <w:rPr>
          <w:rFonts w:ascii="Times New Roman" w:cs="Times New Roman" w:eastAsia="Times New Roman" w:hAnsi="Times New Roman"/>
          <w:sz w:val="18"/>
          <w:szCs w:val="18"/>
          <w:color w:val="auto"/>
        </w:rPr>
      </w:pPr>
    </w:p>
    <w:p>
      <w:pPr>
        <w:ind w:left="480" w:right="220"/>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promulgated under the Securities Act. The offering price per share and the aggregate offering price are based on the average of the high and the low price of the Registrant’s Common Stock as reported on The Nasdaq Global Market as of a date (May 6, 2026) within five business days prior to filing this Registration Statement.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gridSpan w:val="2"/>
          </w:tcPr>
          <w:p>
            <w:pPr>
              <w:ind w:left="440"/>
              <w:spacing w:after="0" w:line="207" w:lineRule="exact"/>
              <w:rPr>
                <w:sz w:val="20"/>
                <w:szCs w:val="20"/>
                <w:color w:val="auto"/>
              </w:rPr>
            </w:pPr>
            <w:r>
              <w:rPr>
                <w:rFonts w:ascii="MS PGothic" w:cs="MS PGothic" w:eastAsia="MS PGothic" w:hAnsi="MS PGothic"/>
                <w:sz w:val="18"/>
                <w:szCs w:val="18"/>
                <w:color w:val="auto"/>
                <w:highlight w:val="black"/>
                <w:w w:val="95"/>
              </w:rPr>
              <w:t>☑</w:t>
            </w:r>
            <w:r>
              <w:rPr>
                <w:rFonts w:ascii="Times New Roman" w:cs="Times New Roman" w:eastAsia="Times New Roman" w:hAnsi="Times New Roman"/>
                <w:sz w:val="18"/>
                <w:szCs w:val="18"/>
                <w:b w:val="1"/>
                <w:bCs w:val="1"/>
                <w:color w:val="auto"/>
                <w:w w:val="95"/>
              </w:rPr>
              <w:t>Not Applicable</w:t>
            </w:r>
          </w:p>
        </w:tc>
      </w:tr>
      <w:tr>
        <w:trPr>
          <w:trHeight w:val="344"/>
        </w:trPr>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2"/>
        </w:trPr>
        <w:tc>
          <w:tcPr>
            <w:tcW w:w="86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22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Registrant or</w:t>
            </w:r>
          </w:p>
        </w:tc>
        <w:tc>
          <w:tcPr>
            <w:tcW w:w="82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6"/>
              </w:rPr>
              <w:t>Form or</w:t>
            </w:r>
          </w:p>
        </w:tc>
        <w:tc>
          <w:tcPr>
            <w:tcW w:w="88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72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Initial</w:t>
            </w:r>
          </w:p>
        </w:tc>
        <w:tc>
          <w:tcPr>
            <w:tcW w:w="100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82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6"/>
              </w:rPr>
              <w:t>Fee Offset</w:t>
            </w:r>
          </w:p>
        </w:tc>
        <w:tc>
          <w:tcPr>
            <w:tcW w:w="88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82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90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6"/>
              </w:rPr>
              <w:t>Unsold</w:t>
            </w:r>
          </w:p>
        </w:tc>
        <w:tc>
          <w:tcPr>
            <w:tcW w:w="90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6"/>
              </w:rPr>
              <w:t>Unsold</w:t>
            </w:r>
          </w:p>
        </w:tc>
        <w:tc>
          <w:tcPr>
            <w:tcW w:w="840" w:type="dxa"/>
            <w:vAlign w:val="bottom"/>
            <w:shd w:val="clear" w:color="auto" w:fill="9ADAF6"/>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6"/>
              </w:rPr>
              <w:t>Fee Paid</w:t>
            </w:r>
          </w:p>
        </w:tc>
      </w:tr>
      <w:tr>
        <w:trPr>
          <w:trHeight w:val="199"/>
        </w:trPr>
        <w:tc>
          <w:tcPr>
            <w:tcW w:w="86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12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Filer Name</w:t>
            </w:r>
          </w:p>
        </w:tc>
        <w:tc>
          <w:tcPr>
            <w:tcW w:w="8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88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6"/>
              </w:rPr>
              <w:t>Number</w:t>
            </w:r>
          </w:p>
        </w:tc>
        <w:tc>
          <w:tcPr>
            <w:tcW w:w="7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0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8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Claimed</w:t>
            </w:r>
          </w:p>
        </w:tc>
        <w:tc>
          <w:tcPr>
            <w:tcW w:w="88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2"/>
              </w:rPr>
              <w:t>Type</w:t>
            </w:r>
          </w:p>
        </w:tc>
        <w:tc>
          <w:tcPr>
            <w:tcW w:w="8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Title</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6"/>
              </w:rPr>
              <w:t>Aggregate</w:t>
            </w:r>
          </w:p>
        </w:tc>
        <w:tc>
          <w:tcPr>
            <w:tcW w:w="84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with Fee</w:t>
            </w:r>
          </w:p>
        </w:tc>
      </w:tr>
      <w:tr>
        <w:trPr>
          <w:trHeight w:val="199"/>
        </w:trPr>
        <w:tc>
          <w:tcPr>
            <w:tcW w:w="86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8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Type</w:t>
            </w:r>
          </w:p>
        </w:tc>
        <w:tc>
          <w:tcPr>
            <w:tcW w:w="880" w:type="dxa"/>
            <w:vAlign w:val="bottom"/>
            <w:shd w:val="clear" w:color="auto" w:fill="9ADAF6"/>
          </w:tcPr>
          <w:p>
            <w:pPr>
              <w:spacing w:after="0"/>
              <w:rPr>
                <w:sz w:val="17"/>
                <w:szCs w:val="17"/>
                <w:color w:val="auto"/>
              </w:rPr>
            </w:pPr>
          </w:p>
        </w:tc>
        <w:tc>
          <w:tcPr>
            <w:tcW w:w="7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100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600" w:type="dxa"/>
            <w:vAlign w:val="bottom"/>
            <w:gridSpan w:val="3"/>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Associated Associated Associated</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Offset</w:t>
            </w:r>
          </w:p>
        </w:tc>
      </w:tr>
      <w:tr>
        <w:trPr>
          <w:trHeight w:val="199"/>
        </w:trPr>
        <w:tc>
          <w:tcPr>
            <w:tcW w:w="86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88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with Fee</w:t>
            </w:r>
          </w:p>
        </w:tc>
        <w:tc>
          <w:tcPr>
            <w:tcW w:w="8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with Fee</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with Fee</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84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Source</w:t>
            </w:r>
          </w:p>
        </w:tc>
      </w:tr>
      <w:tr>
        <w:trPr>
          <w:trHeight w:val="199"/>
        </w:trPr>
        <w:tc>
          <w:tcPr>
            <w:tcW w:w="86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88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rPr>
              <w:t>Offset</w:t>
            </w:r>
          </w:p>
        </w:tc>
        <w:tc>
          <w:tcPr>
            <w:tcW w:w="8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Offset</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Offset</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Associated</w:t>
            </w:r>
          </w:p>
        </w:tc>
        <w:tc>
          <w:tcPr>
            <w:tcW w:w="840" w:type="dxa"/>
            <w:vAlign w:val="bottom"/>
            <w:shd w:val="clear" w:color="auto" w:fill="9ADAF6"/>
          </w:tcPr>
          <w:p>
            <w:pPr>
              <w:spacing w:after="0"/>
              <w:rPr>
                <w:sz w:val="17"/>
                <w:szCs w:val="17"/>
                <w:color w:val="auto"/>
              </w:rPr>
            </w:pPr>
          </w:p>
        </w:tc>
      </w:tr>
      <w:tr>
        <w:trPr>
          <w:trHeight w:val="199"/>
        </w:trPr>
        <w:tc>
          <w:tcPr>
            <w:tcW w:w="86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88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Claimed</w:t>
            </w:r>
          </w:p>
        </w:tc>
        <w:tc>
          <w:tcPr>
            <w:tcW w:w="82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Claimed</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Claimed</w:t>
            </w: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with Fee</w:t>
            </w:r>
          </w:p>
        </w:tc>
        <w:tc>
          <w:tcPr>
            <w:tcW w:w="840" w:type="dxa"/>
            <w:vAlign w:val="bottom"/>
            <w:shd w:val="clear" w:color="auto" w:fill="9ADAF6"/>
          </w:tcPr>
          <w:p>
            <w:pPr>
              <w:spacing w:after="0"/>
              <w:rPr>
                <w:sz w:val="17"/>
                <w:szCs w:val="17"/>
                <w:color w:val="auto"/>
              </w:rPr>
            </w:pPr>
          </w:p>
        </w:tc>
      </w:tr>
      <w:tr>
        <w:trPr>
          <w:trHeight w:val="199"/>
        </w:trPr>
        <w:tc>
          <w:tcPr>
            <w:tcW w:w="86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900" w:type="dxa"/>
            <w:vAlign w:val="bottom"/>
            <w:shd w:val="clear" w:color="auto" w:fill="9ADAF6"/>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Offset</w:t>
            </w:r>
          </w:p>
        </w:tc>
        <w:tc>
          <w:tcPr>
            <w:tcW w:w="840" w:type="dxa"/>
            <w:vAlign w:val="bottom"/>
            <w:shd w:val="clear" w:color="auto" w:fill="9ADAF6"/>
          </w:tcPr>
          <w:p>
            <w:pPr>
              <w:spacing w:after="0"/>
              <w:rPr>
                <w:sz w:val="17"/>
                <w:szCs w:val="17"/>
                <w:color w:val="auto"/>
              </w:rPr>
            </w:pPr>
          </w:p>
        </w:tc>
      </w:tr>
      <w:tr>
        <w:trPr>
          <w:trHeight w:val="239"/>
        </w:trPr>
        <w:tc>
          <w:tcPr>
            <w:tcW w:w="860" w:type="dxa"/>
            <w:vAlign w:val="bottom"/>
            <w:tcBorders>
              <w:bottom w:val="single" w:sz="8" w:color="9ADAF6"/>
            </w:tcBorders>
            <w:shd w:val="clear" w:color="auto" w:fill="9ADAF6"/>
          </w:tcPr>
          <w:p>
            <w:pPr>
              <w:spacing w:after="0"/>
              <w:rPr>
                <w:sz w:val="20"/>
                <w:szCs w:val="20"/>
                <w:color w:val="auto"/>
              </w:rPr>
            </w:pPr>
          </w:p>
        </w:tc>
        <w:tc>
          <w:tcPr>
            <w:tcW w:w="580" w:type="dxa"/>
            <w:vAlign w:val="bottom"/>
            <w:tcBorders>
              <w:bottom w:val="single" w:sz="8" w:color="9ADAF6"/>
            </w:tcBorders>
            <w:shd w:val="clear" w:color="auto" w:fill="9ADAF6"/>
          </w:tcPr>
          <w:p>
            <w:pPr>
              <w:spacing w:after="0"/>
              <w:rPr>
                <w:sz w:val="20"/>
                <w:szCs w:val="20"/>
                <w:color w:val="auto"/>
              </w:rPr>
            </w:pPr>
          </w:p>
        </w:tc>
        <w:tc>
          <w:tcPr>
            <w:tcW w:w="1220" w:type="dxa"/>
            <w:vAlign w:val="bottom"/>
            <w:tcBorders>
              <w:bottom w:val="single" w:sz="8" w:color="9ADAF6"/>
            </w:tcBorders>
            <w:shd w:val="clear" w:color="auto" w:fill="9ADAF6"/>
          </w:tcPr>
          <w:p>
            <w:pPr>
              <w:spacing w:after="0"/>
              <w:rPr>
                <w:sz w:val="20"/>
                <w:szCs w:val="20"/>
                <w:color w:val="auto"/>
              </w:rPr>
            </w:pPr>
          </w:p>
        </w:tc>
        <w:tc>
          <w:tcPr>
            <w:tcW w:w="820" w:type="dxa"/>
            <w:vAlign w:val="bottom"/>
            <w:tcBorders>
              <w:bottom w:val="single" w:sz="8" w:color="9ADAF6"/>
            </w:tcBorders>
            <w:shd w:val="clear" w:color="auto" w:fill="9ADAF6"/>
          </w:tcPr>
          <w:p>
            <w:pPr>
              <w:spacing w:after="0"/>
              <w:rPr>
                <w:sz w:val="20"/>
                <w:szCs w:val="20"/>
                <w:color w:val="auto"/>
              </w:rPr>
            </w:pPr>
          </w:p>
        </w:tc>
        <w:tc>
          <w:tcPr>
            <w:tcW w:w="880" w:type="dxa"/>
            <w:vAlign w:val="bottom"/>
            <w:tcBorders>
              <w:bottom w:val="single" w:sz="8" w:color="9ADAF6"/>
            </w:tcBorders>
            <w:shd w:val="clear" w:color="auto" w:fill="9ADAF6"/>
          </w:tcPr>
          <w:p>
            <w:pPr>
              <w:spacing w:after="0"/>
              <w:rPr>
                <w:sz w:val="20"/>
                <w:szCs w:val="20"/>
                <w:color w:val="auto"/>
              </w:rPr>
            </w:pPr>
          </w:p>
        </w:tc>
        <w:tc>
          <w:tcPr>
            <w:tcW w:w="720" w:type="dxa"/>
            <w:vAlign w:val="bottom"/>
            <w:tcBorders>
              <w:bottom w:val="single" w:sz="8" w:color="9ADAF6"/>
            </w:tcBorders>
            <w:shd w:val="clear" w:color="auto" w:fill="9ADAF6"/>
          </w:tcPr>
          <w:p>
            <w:pPr>
              <w:spacing w:after="0"/>
              <w:rPr>
                <w:sz w:val="20"/>
                <w:szCs w:val="20"/>
                <w:color w:val="auto"/>
              </w:rPr>
            </w:pPr>
          </w:p>
        </w:tc>
        <w:tc>
          <w:tcPr>
            <w:tcW w:w="1000" w:type="dxa"/>
            <w:vAlign w:val="bottom"/>
            <w:tcBorders>
              <w:bottom w:val="single" w:sz="8" w:color="9ADAF6"/>
            </w:tcBorders>
            <w:shd w:val="clear" w:color="auto" w:fill="9ADAF6"/>
          </w:tcPr>
          <w:p>
            <w:pPr>
              <w:spacing w:after="0"/>
              <w:rPr>
                <w:sz w:val="20"/>
                <w:szCs w:val="20"/>
                <w:color w:val="auto"/>
              </w:rPr>
            </w:pPr>
          </w:p>
        </w:tc>
        <w:tc>
          <w:tcPr>
            <w:tcW w:w="820" w:type="dxa"/>
            <w:vAlign w:val="bottom"/>
            <w:tcBorders>
              <w:bottom w:val="single" w:sz="8" w:color="9ADAF6"/>
            </w:tcBorders>
            <w:shd w:val="clear" w:color="auto" w:fill="9ADAF6"/>
          </w:tcPr>
          <w:p>
            <w:pPr>
              <w:spacing w:after="0"/>
              <w:rPr>
                <w:sz w:val="20"/>
                <w:szCs w:val="20"/>
                <w:color w:val="auto"/>
              </w:rPr>
            </w:pPr>
          </w:p>
        </w:tc>
        <w:tc>
          <w:tcPr>
            <w:tcW w:w="880" w:type="dxa"/>
            <w:vAlign w:val="bottom"/>
            <w:tcBorders>
              <w:bottom w:val="single" w:sz="8" w:color="9ADAF6"/>
            </w:tcBorders>
            <w:shd w:val="clear" w:color="auto" w:fill="9ADAF6"/>
          </w:tcPr>
          <w:p>
            <w:pPr>
              <w:spacing w:after="0"/>
              <w:rPr>
                <w:sz w:val="20"/>
                <w:szCs w:val="20"/>
                <w:color w:val="auto"/>
              </w:rPr>
            </w:pPr>
          </w:p>
        </w:tc>
        <w:tc>
          <w:tcPr>
            <w:tcW w:w="820" w:type="dxa"/>
            <w:vAlign w:val="bottom"/>
            <w:tcBorders>
              <w:bottom w:val="single" w:sz="8" w:color="9ADAF6"/>
            </w:tcBorders>
            <w:shd w:val="clear" w:color="auto" w:fill="9ADAF6"/>
          </w:tcPr>
          <w:p>
            <w:pPr>
              <w:spacing w:after="0"/>
              <w:rPr>
                <w:sz w:val="20"/>
                <w:szCs w:val="20"/>
                <w:color w:val="auto"/>
              </w:rPr>
            </w:pPr>
          </w:p>
        </w:tc>
        <w:tc>
          <w:tcPr>
            <w:tcW w:w="900" w:type="dxa"/>
            <w:vAlign w:val="bottom"/>
            <w:tcBorders>
              <w:bottom w:val="single" w:sz="8" w:color="9ADAF6"/>
            </w:tcBorders>
            <w:shd w:val="clear" w:color="auto" w:fill="9ADAF6"/>
          </w:tcPr>
          <w:p>
            <w:pPr>
              <w:spacing w:after="0"/>
              <w:rPr>
                <w:sz w:val="20"/>
                <w:szCs w:val="20"/>
                <w:color w:val="auto"/>
              </w:rPr>
            </w:pPr>
          </w:p>
        </w:tc>
        <w:tc>
          <w:tcPr>
            <w:tcW w:w="900" w:type="dxa"/>
            <w:vAlign w:val="bottom"/>
            <w:tcBorders>
              <w:bottom w:val="single" w:sz="8" w:color="9ADAF6"/>
            </w:tcBorders>
            <w:shd w:val="clear" w:color="auto" w:fill="9ADAF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840" w:type="dxa"/>
            <w:vAlign w:val="bottom"/>
            <w:tcBorders>
              <w:bottom w:val="single" w:sz="8" w:color="9ADAF6"/>
            </w:tcBorders>
            <w:shd w:val="clear" w:color="auto" w:fill="9ADAF6"/>
          </w:tcPr>
          <w:p>
            <w:pPr>
              <w:spacing w:after="0"/>
              <w:rPr>
                <w:sz w:val="20"/>
                <w:szCs w:val="20"/>
                <w:color w:val="auto"/>
              </w:rPr>
            </w:pPr>
          </w:p>
        </w:tc>
      </w:tr>
      <w:tr>
        <w:trPr>
          <w:trHeight w:val="243"/>
        </w:trPr>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Rule 457(p)</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3"/>
        </w:trPr>
        <w:tc>
          <w:tcPr>
            <w:tcW w:w="860" w:type="dxa"/>
            <w:vAlign w:val="bottom"/>
            <w:shd w:val="clear" w:color="auto" w:fill="E7E7E2"/>
          </w:tcPr>
          <w:p>
            <w:pPr>
              <w:ind w:left="20"/>
              <w:spacing w:after="0" w:line="203" w:lineRule="exact"/>
              <w:rPr>
                <w:sz w:val="20"/>
                <w:szCs w:val="20"/>
                <w:color w:val="auto"/>
              </w:rPr>
            </w:pPr>
            <w:r>
              <w:rPr>
                <w:rFonts w:ascii="Times New Roman" w:cs="Times New Roman" w:eastAsia="Times New Roman" w:hAnsi="Times New Roman"/>
                <w:sz w:val="18"/>
                <w:szCs w:val="18"/>
                <w:color w:val="auto"/>
              </w:rPr>
              <w:t>Fee Offset</w:t>
            </w:r>
          </w:p>
        </w:tc>
        <w:tc>
          <w:tcPr>
            <w:tcW w:w="580" w:type="dxa"/>
            <w:vAlign w:val="bottom"/>
            <w:shd w:val="clear" w:color="auto" w:fill="E7E7E2"/>
          </w:tcPr>
          <w:p>
            <w:pPr>
              <w:ind w:left="160"/>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122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82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72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82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shd w:val="clear" w:color="auto" w:fill="E7E7E2"/>
          </w:tcPr>
          <w:p>
            <w:pPr>
              <w:jc w:val="center"/>
              <w:spacing w:after="0" w:line="203" w:lineRule="exact"/>
              <w:rPr>
                <w:sz w:val="20"/>
                <w:szCs w:val="20"/>
                <w:color w:val="auto"/>
              </w:rPr>
            </w:pPr>
            <w:r>
              <w:rPr>
                <w:rFonts w:ascii="Times New Roman" w:cs="Times New Roman" w:eastAsia="Times New Roman" w:hAnsi="Times New Roman"/>
                <w:sz w:val="18"/>
                <w:szCs w:val="18"/>
                <w:color w:val="auto"/>
              </w:rPr>
              <w:t>N/A</w:t>
            </w:r>
          </w:p>
        </w:tc>
      </w:tr>
      <w:tr>
        <w:trPr>
          <w:trHeight w:val="231"/>
        </w:trPr>
        <w:tc>
          <w:tcPr>
            <w:tcW w:w="860" w:type="dxa"/>
            <w:vAlign w:val="bottom"/>
            <w:shd w:val="clear" w:color="auto" w:fill="E7E7E2"/>
          </w:tcPr>
          <w:p>
            <w:pPr>
              <w:ind w:left="20"/>
              <w:spacing w:after="0"/>
              <w:rPr>
                <w:sz w:val="20"/>
                <w:szCs w:val="20"/>
                <w:color w:val="auto"/>
              </w:rPr>
            </w:pPr>
            <w:r>
              <w:rPr>
                <w:rFonts w:ascii="Times New Roman" w:cs="Times New Roman" w:eastAsia="Times New Roman" w:hAnsi="Times New Roman"/>
                <w:sz w:val="18"/>
                <w:szCs w:val="18"/>
                <w:color w:val="auto"/>
              </w:rPr>
              <w:t>Claims</w:t>
            </w:r>
          </w:p>
        </w:tc>
        <w:tc>
          <w:tcPr>
            <w:tcW w:w="580" w:type="dxa"/>
            <w:vAlign w:val="bottom"/>
            <w:shd w:val="clear" w:color="auto" w:fill="E7E7E2"/>
          </w:tcPr>
          <w:p>
            <w:pPr>
              <w:spacing w:after="0"/>
              <w:rPr>
                <w:sz w:val="20"/>
                <w:szCs w:val="20"/>
                <w:color w:val="auto"/>
              </w:rPr>
            </w:pPr>
          </w:p>
        </w:tc>
        <w:tc>
          <w:tcPr>
            <w:tcW w:w="1220" w:type="dxa"/>
            <w:vAlign w:val="bottom"/>
            <w:shd w:val="clear" w:color="auto" w:fill="E7E7E2"/>
          </w:tcPr>
          <w:p>
            <w:pPr>
              <w:spacing w:after="0"/>
              <w:rPr>
                <w:sz w:val="20"/>
                <w:szCs w:val="20"/>
                <w:color w:val="auto"/>
              </w:rPr>
            </w:pPr>
          </w:p>
        </w:tc>
        <w:tc>
          <w:tcPr>
            <w:tcW w:w="820" w:type="dxa"/>
            <w:vAlign w:val="bottom"/>
            <w:shd w:val="clear" w:color="auto" w:fill="E7E7E2"/>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720" w:type="dxa"/>
            <w:vAlign w:val="bottom"/>
            <w:shd w:val="clear" w:color="auto" w:fill="E7E7E2"/>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820" w:type="dxa"/>
            <w:vAlign w:val="bottom"/>
            <w:shd w:val="clear" w:color="auto" w:fill="E7E7E2"/>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820" w:type="dxa"/>
            <w:vAlign w:val="bottom"/>
            <w:shd w:val="clear" w:color="auto" w:fill="E7E7E2"/>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840" w:type="dxa"/>
            <w:vAlign w:val="bottom"/>
            <w:shd w:val="clear" w:color="auto" w:fill="E7E7E2"/>
          </w:tcPr>
          <w:p>
            <w:pPr>
              <w:spacing w:after="0"/>
              <w:rPr>
                <w:sz w:val="20"/>
                <w:szCs w:val="20"/>
                <w:color w:val="auto"/>
              </w:rPr>
            </w:pPr>
          </w:p>
        </w:tc>
      </w:tr>
      <w:tr>
        <w:trPr>
          <w:trHeight w:val="219"/>
        </w:trPr>
        <w:tc>
          <w:tcPr>
            <w:tcW w:w="860" w:type="dxa"/>
            <w:vAlign w:val="bottom"/>
            <w:shd w:val="clear" w:color="auto" w:fill="E7E7E2"/>
          </w:tcPr>
          <w:p>
            <w:pPr>
              <w:ind w:left="20"/>
              <w:spacing w:after="0"/>
              <w:rPr>
                <w:sz w:val="20"/>
                <w:szCs w:val="20"/>
                <w:color w:val="auto"/>
              </w:rPr>
            </w:pPr>
            <w:r>
              <w:rPr>
                <w:rFonts w:ascii="Times New Roman" w:cs="Times New Roman" w:eastAsia="Times New Roman" w:hAnsi="Times New Roman"/>
                <w:sz w:val="18"/>
                <w:szCs w:val="18"/>
                <w:color w:val="auto"/>
              </w:rPr>
              <w:t>Fee Offset</w:t>
            </w:r>
          </w:p>
        </w:tc>
        <w:tc>
          <w:tcPr>
            <w:tcW w:w="580" w:type="dxa"/>
            <w:vAlign w:val="bottom"/>
            <w:shd w:val="clear" w:color="auto" w:fill="E7E7E2"/>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2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2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2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shd w:val="clear" w:color="auto" w:fill="E7E7E2"/>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1"/>
        </w:trPr>
        <w:tc>
          <w:tcPr>
            <w:tcW w:w="860" w:type="dxa"/>
            <w:vAlign w:val="bottom"/>
            <w:shd w:val="clear" w:color="auto" w:fill="E7E7E2"/>
          </w:tcPr>
          <w:p>
            <w:pPr>
              <w:ind w:left="20"/>
              <w:spacing w:after="0"/>
              <w:rPr>
                <w:sz w:val="20"/>
                <w:szCs w:val="20"/>
                <w:color w:val="auto"/>
              </w:rPr>
            </w:pPr>
            <w:r>
              <w:rPr>
                <w:rFonts w:ascii="Times New Roman" w:cs="Times New Roman" w:eastAsia="Times New Roman" w:hAnsi="Times New Roman"/>
                <w:sz w:val="18"/>
                <w:szCs w:val="18"/>
                <w:color w:val="auto"/>
              </w:rPr>
              <w:t>Sources</w:t>
            </w:r>
          </w:p>
        </w:tc>
        <w:tc>
          <w:tcPr>
            <w:tcW w:w="580" w:type="dxa"/>
            <w:vAlign w:val="bottom"/>
            <w:shd w:val="clear" w:color="auto" w:fill="E7E7E2"/>
          </w:tcPr>
          <w:p>
            <w:pPr>
              <w:spacing w:after="0"/>
              <w:rPr>
                <w:sz w:val="20"/>
                <w:szCs w:val="20"/>
                <w:color w:val="auto"/>
              </w:rPr>
            </w:pPr>
          </w:p>
        </w:tc>
        <w:tc>
          <w:tcPr>
            <w:tcW w:w="1220" w:type="dxa"/>
            <w:vAlign w:val="bottom"/>
            <w:shd w:val="clear" w:color="auto" w:fill="E7E7E2"/>
          </w:tcPr>
          <w:p>
            <w:pPr>
              <w:spacing w:after="0"/>
              <w:rPr>
                <w:sz w:val="20"/>
                <w:szCs w:val="20"/>
                <w:color w:val="auto"/>
              </w:rPr>
            </w:pPr>
          </w:p>
        </w:tc>
        <w:tc>
          <w:tcPr>
            <w:tcW w:w="820" w:type="dxa"/>
            <w:vAlign w:val="bottom"/>
            <w:shd w:val="clear" w:color="auto" w:fill="E7E7E2"/>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720" w:type="dxa"/>
            <w:vAlign w:val="bottom"/>
            <w:shd w:val="clear" w:color="auto" w:fill="E7E7E2"/>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820" w:type="dxa"/>
            <w:vAlign w:val="bottom"/>
            <w:shd w:val="clear" w:color="auto" w:fill="E7E7E2"/>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820" w:type="dxa"/>
            <w:vAlign w:val="bottom"/>
            <w:shd w:val="clear" w:color="auto" w:fill="E7E7E2"/>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840" w:type="dxa"/>
            <w:vAlign w:val="bottom"/>
            <w:shd w:val="clear" w:color="auto" w:fill="E7E7E2"/>
          </w:tcPr>
          <w:p>
            <w:pPr>
              <w:spacing w:after="0"/>
              <w:rPr>
                <w:sz w:val="20"/>
                <w:szCs w:val="20"/>
                <w:color w:val="auto"/>
              </w:rPr>
            </w:pPr>
          </w:p>
        </w:tc>
      </w:tr>
      <w:tr>
        <w:trPr>
          <w:trHeight w:val="25"/>
        </w:trPr>
        <w:tc>
          <w:tcPr>
            <w:tcW w:w="860" w:type="dxa"/>
            <w:vAlign w:val="bottom"/>
            <w:shd w:val="clear" w:color="auto" w:fill="E7E7E2"/>
          </w:tcPr>
          <w:p>
            <w:pPr>
              <w:spacing w:after="0"/>
              <w:rPr>
                <w:sz w:val="2"/>
                <w:szCs w:val="2"/>
                <w:color w:val="auto"/>
              </w:rPr>
            </w:pPr>
          </w:p>
        </w:tc>
        <w:tc>
          <w:tcPr>
            <w:tcW w:w="580" w:type="dxa"/>
            <w:vAlign w:val="bottom"/>
            <w:shd w:val="clear" w:color="auto" w:fill="E7E7E2"/>
          </w:tcPr>
          <w:p>
            <w:pPr>
              <w:spacing w:after="0"/>
              <w:rPr>
                <w:sz w:val="2"/>
                <w:szCs w:val="2"/>
                <w:color w:val="auto"/>
              </w:rPr>
            </w:pPr>
          </w:p>
        </w:tc>
        <w:tc>
          <w:tcPr>
            <w:tcW w:w="1220" w:type="dxa"/>
            <w:vAlign w:val="bottom"/>
            <w:shd w:val="clear" w:color="auto" w:fill="E7E7E2"/>
          </w:tcPr>
          <w:p>
            <w:pPr>
              <w:spacing w:after="0"/>
              <w:rPr>
                <w:sz w:val="2"/>
                <w:szCs w:val="2"/>
                <w:color w:val="auto"/>
              </w:rPr>
            </w:pPr>
          </w:p>
        </w:tc>
        <w:tc>
          <w:tcPr>
            <w:tcW w:w="820" w:type="dxa"/>
            <w:vAlign w:val="bottom"/>
            <w:shd w:val="clear" w:color="auto" w:fill="E7E7E2"/>
          </w:tcPr>
          <w:p>
            <w:pPr>
              <w:spacing w:after="0"/>
              <w:rPr>
                <w:sz w:val="2"/>
                <w:szCs w:val="2"/>
                <w:color w:val="auto"/>
              </w:rPr>
            </w:pPr>
          </w:p>
        </w:tc>
        <w:tc>
          <w:tcPr>
            <w:tcW w:w="880" w:type="dxa"/>
            <w:vAlign w:val="bottom"/>
            <w:shd w:val="clear" w:color="auto" w:fill="E7E7E2"/>
          </w:tcPr>
          <w:p>
            <w:pPr>
              <w:spacing w:after="0"/>
              <w:rPr>
                <w:sz w:val="2"/>
                <w:szCs w:val="2"/>
                <w:color w:val="auto"/>
              </w:rPr>
            </w:pPr>
          </w:p>
        </w:tc>
        <w:tc>
          <w:tcPr>
            <w:tcW w:w="720" w:type="dxa"/>
            <w:vAlign w:val="bottom"/>
            <w:shd w:val="clear" w:color="auto" w:fill="E7E7E2"/>
          </w:tcPr>
          <w:p>
            <w:pPr>
              <w:spacing w:after="0"/>
              <w:rPr>
                <w:sz w:val="2"/>
                <w:szCs w:val="2"/>
                <w:color w:val="auto"/>
              </w:rPr>
            </w:pPr>
          </w:p>
        </w:tc>
        <w:tc>
          <w:tcPr>
            <w:tcW w:w="1000" w:type="dxa"/>
            <w:vAlign w:val="bottom"/>
            <w:shd w:val="clear" w:color="auto" w:fill="E7E7E2"/>
          </w:tcPr>
          <w:p>
            <w:pPr>
              <w:spacing w:after="0"/>
              <w:rPr>
                <w:sz w:val="2"/>
                <w:szCs w:val="2"/>
                <w:color w:val="auto"/>
              </w:rPr>
            </w:pPr>
          </w:p>
        </w:tc>
        <w:tc>
          <w:tcPr>
            <w:tcW w:w="820" w:type="dxa"/>
            <w:vAlign w:val="bottom"/>
            <w:shd w:val="clear" w:color="auto" w:fill="E7E7E2"/>
          </w:tcPr>
          <w:p>
            <w:pPr>
              <w:spacing w:after="0"/>
              <w:rPr>
                <w:sz w:val="2"/>
                <w:szCs w:val="2"/>
                <w:color w:val="auto"/>
              </w:rPr>
            </w:pPr>
          </w:p>
        </w:tc>
        <w:tc>
          <w:tcPr>
            <w:tcW w:w="880" w:type="dxa"/>
            <w:vAlign w:val="bottom"/>
            <w:shd w:val="clear" w:color="auto" w:fill="E7E7E2"/>
          </w:tcPr>
          <w:p>
            <w:pPr>
              <w:spacing w:after="0"/>
              <w:rPr>
                <w:sz w:val="2"/>
                <w:szCs w:val="2"/>
                <w:color w:val="auto"/>
              </w:rPr>
            </w:pPr>
          </w:p>
        </w:tc>
        <w:tc>
          <w:tcPr>
            <w:tcW w:w="820" w:type="dxa"/>
            <w:vAlign w:val="bottom"/>
            <w:shd w:val="clear" w:color="auto" w:fill="E7E7E2"/>
          </w:tcPr>
          <w:p>
            <w:pPr>
              <w:spacing w:after="0"/>
              <w:rPr>
                <w:sz w:val="2"/>
                <w:szCs w:val="2"/>
                <w:color w:val="auto"/>
              </w:rPr>
            </w:pPr>
          </w:p>
        </w:tc>
        <w:tc>
          <w:tcPr>
            <w:tcW w:w="900" w:type="dxa"/>
            <w:vAlign w:val="bottom"/>
            <w:shd w:val="clear" w:color="auto" w:fill="E7E7E2"/>
          </w:tcPr>
          <w:p>
            <w:pPr>
              <w:spacing w:after="0"/>
              <w:rPr>
                <w:sz w:val="2"/>
                <w:szCs w:val="2"/>
                <w:color w:val="auto"/>
              </w:rPr>
            </w:pPr>
          </w:p>
        </w:tc>
        <w:tc>
          <w:tcPr>
            <w:tcW w:w="900" w:type="dxa"/>
            <w:vAlign w:val="bottom"/>
            <w:shd w:val="clear" w:color="auto" w:fill="E7E7E2"/>
          </w:tcPr>
          <w:p>
            <w:pPr>
              <w:spacing w:after="0"/>
              <w:rPr>
                <w:sz w:val="2"/>
                <w:szCs w:val="2"/>
                <w:color w:val="auto"/>
              </w:rPr>
            </w:pPr>
          </w:p>
        </w:tc>
        <w:tc>
          <w:tcPr>
            <w:tcW w:w="840" w:type="dxa"/>
            <w:vAlign w:val="bottom"/>
            <w:shd w:val="clear" w:color="auto" w:fill="E7E7E2"/>
          </w:tcPr>
          <w:p>
            <w:pPr>
              <w:spacing w:after="0"/>
              <w:rPr>
                <w:sz w:val="2"/>
                <w:szCs w:val="2"/>
                <w:color w:val="auto"/>
              </w:rPr>
            </w:pPr>
          </w:p>
        </w:tc>
      </w:tr>
    </w:tbl>
    <w:p>
      <w:pPr>
        <w:sectPr>
          <w:pgSz w:w="11900" w:h="16838" w:orient="portrait"/>
          <w:cols w:equalWidth="0" w:num="1">
            <w:col w:w="11240"/>
          </w:cols>
          <w:pgMar w:left="320" w:top="143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3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3580 Carmel Mountain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-107315</wp:posOffset>
            </wp:positionV>
            <wp:extent cx="706755" cy="891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706755" cy="891540"/>
                    </a:xfrm>
                    <a:prstGeom prst="rect">
                      <a:avLst/>
                    </a:prstGeom>
                    <a:noFill/>
                  </pic:spPr>
                </pic:pic>
              </a:graphicData>
            </a:graphic>
          </wp:anchor>
        </w:drawing>
      </w:r>
    </w:p>
    <w:p>
      <w:pPr>
        <w:jc w:val="right"/>
        <w:ind w:right="20"/>
        <w:spacing w:after="0" w:line="232" w:lineRule="auto"/>
        <w:rPr>
          <w:sz w:val="20"/>
          <w:szCs w:val="20"/>
          <w:color w:val="auto"/>
        </w:rPr>
      </w:pPr>
      <w:r>
        <w:rPr>
          <w:rFonts w:ascii="Times New Roman" w:cs="Times New Roman" w:eastAsia="Times New Roman" w:hAnsi="Times New Roman"/>
          <w:sz w:val="16"/>
          <w:szCs w:val="16"/>
          <w:color w:val="auto"/>
        </w:rPr>
        <w:t>Suite 300</w:t>
      </w:r>
    </w:p>
    <w:p>
      <w:pPr>
        <w:jc w:val="right"/>
        <w:ind w:right="20"/>
        <w:spacing w:after="0" w:line="225" w:lineRule="auto"/>
        <w:rPr>
          <w:sz w:val="20"/>
          <w:szCs w:val="20"/>
          <w:color w:val="auto"/>
        </w:rPr>
      </w:pPr>
      <w:r>
        <w:rPr>
          <w:rFonts w:ascii="Times New Roman" w:cs="Times New Roman" w:eastAsia="Times New Roman" w:hAnsi="Times New Roman"/>
          <w:sz w:val="16"/>
          <w:szCs w:val="16"/>
          <w:color w:val="auto"/>
        </w:rPr>
        <w:t>San Diego, CA 92130</w:t>
      </w:r>
    </w:p>
    <w:p>
      <w:pPr>
        <w:jc w:val="right"/>
        <w:ind w:right="20"/>
        <w:spacing w:after="0"/>
        <w:rPr>
          <w:sz w:val="20"/>
          <w:szCs w:val="20"/>
          <w:color w:val="auto"/>
        </w:rPr>
      </w:pPr>
      <w:r>
        <w:rPr>
          <w:rFonts w:ascii="Times New Roman" w:cs="Times New Roman" w:eastAsia="Times New Roman" w:hAnsi="Times New Roman"/>
          <w:sz w:val="16"/>
          <w:szCs w:val="16"/>
          <w:color w:val="auto"/>
        </w:rPr>
        <w:t>858 314 1500</w:t>
      </w:r>
    </w:p>
    <w:p>
      <w:pPr>
        <w:spacing w:after="0" w:line="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May 12,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Exagen Inc.</w:t>
      </w:r>
    </w:p>
    <w:p>
      <w:pPr>
        <w:spacing w:after="0" w:line="218" w:lineRule="auto"/>
        <w:rPr>
          <w:sz w:val="20"/>
          <w:szCs w:val="20"/>
          <w:color w:val="auto"/>
        </w:rPr>
      </w:pPr>
      <w:r>
        <w:rPr>
          <w:rFonts w:ascii="Times New Roman" w:cs="Times New Roman" w:eastAsia="Times New Roman" w:hAnsi="Times New Roman"/>
          <w:sz w:val="19"/>
          <w:szCs w:val="19"/>
          <w:color w:val="auto"/>
        </w:rPr>
        <w:t>1261 Liberty Way</w:t>
      </w:r>
    </w:p>
    <w:p>
      <w:pPr>
        <w:spacing w:after="0"/>
        <w:rPr>
          <w:sz w:val="20"/>
          <w:szCs w:val="20"/>
          <w:color w:val="auto"/>
        </w:rPr>
      </w:pPr>
      <w:r>
        <w:rPr>
          <w:rFonts w:ascii="Times New Roman" w:cs="Times New Roman" w:eastAsia="Times New Roman" w:hAnsi="Times New Roman"/>
          <w:sz w:val="19"/>
          <w:szCs w:val="19"/>
          <w:color w:val="auto"/>
        </w:rPr>
        <w:t>Vista, CA 92081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19" w:lineRule="exact"/>
        <w:rPr>
          <w:sz w:val="20"/>
          <w:szCs w:val="20"/>
          <w:color w:val="auto"/>
        </w:rPr>
      </w:pPr>
    </w:p>
    <w:p>
      <w:pPr>
        <w:jc w:val="both"/>
        <w:ind w:firstLine="831"/>
        <w:spacing w:after="0" w:line="263" w:lineRule="auto"/>
        <w:rPr>
          <w:sz w:val="20"/>
          <w:szCs w:val="20"/>
          <w:color w:val="auto"/>
        </w:rPr>
      </w:pPr>
      <w:r>
        <w:rPr>
          <w:rFonts w:ascii="Times New Roman" w:cs="Times New Roman" w:eastAsia="Times New Roman" w:hAnsi="Times New Roman"/>
          <w:sz w:val="19"/>
          <w:szCs w:val="19"/>
          <w:color w:val="auto"/>
        </w:rPr>
        <w:t>We have acted as legal counsel to Exagen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1,145,578 shares (the “Shares”) of the Company’s common stock, $0.001 par value per share, in accordance with the terms of the Exagen Inc. 2019 Incentive Award Plan and the Exagen Inc. 2019 Employee Stock Purchase Plan (together, the “Plans”). This opinion is being rendered in connection with the filing of the Registration Statement with the Commission.</w:t>
      </w:r>
    </w:p>
    <w:p>
      <w:pPr>
        <w:spacing w:after="0" w:line="180" w:lineRule="exact"/>
        <w:rPr>
          <w:sz w:val="20"/>
          <w:szCs w:val="20"/>
          <w:color w:val="auto"/>
        </w:rPr>
      </w:pPr>
    </w:p>
    <w:p>
      <w:pPr>
        <w:jc w:val="both"/>
        <w:ind w:firstLine="831"/>
        <w:spacing w:after="0" w:line="273" w:lineRule="auto"/>
        <w:rPr>
          <w:sz w:val="20"/>
          <w:szCs w:val="20"/>
          <w:color w:val="auto"/>
        </w:rPr>
      </w:pPr>
      <w:r>
        <w:rPr>
          <w:rFonts w:ascii="Times New Roman" w:cs="Times New Roman" w:eastAsia="Times New Roman" w:hAnsi="Times New Roman"/>
          <w:sz w:val="19"/>
          <w:szCs w:val="19"/>
          <w:color w:val="auto"/>
        </w:rPr>
        <w:t>In connection with this opinion, we have examined the Company’s Amended and Restated Certificate of Incorporation and Amended and Restated Bylaws, as amended, each as currently in effect; such other records of the corporate proceedings of the Company and certificates of the Company’s officers as we have deemed relevant; and the Registration Statement and the exhibits thereto.</w:t>
      </w:r>
    </w:p>
    <w:p>
      <w:pPr>
        <w:spacing w:after="0" w:line="169" w:lineRule="exact"/>
        <w:rPr>
          <w:sz w:val="20"/>
          <w:szCs w:val="20"/>
          <w:color w:val="auto"/>
        </w:rPr>
      </w:pPr>
    </w:p>
    <w:p>
      <w:pPr>
        <w:jc w:val="both"/>
        <w:ind w:firstLine="831"/>
        <w:spacing w:after="0" w:line="264" w:lineRule="auto"/>
        <w:rPr>
          <w:sz w:val="20"/>
          <w:szCs w:val="20"/>
          <w:color w:val="auto"/>
        </w:rPr>
      </w:pPr>
      <w:r>
        <w:rPr>
          <w:rFonts w:ascii="Times New Roman" w:cs="Times New Roman" w:eastAsia="Times New Roman" w:hAnsi="Times New Roman"/>
          <w:sz w:val="19"/>
          <w:szCs w:val="19"/>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Plans.</w:t>
      </w:r>
    </w:p>
    <w:p>
      <w:pPr>
        <w:spacing w:after="0" w:line="178" w:lineRule="exact"/>
        <w:rPr>
          <w:sz w:val="20"/>
          <w:szCs w:val="20"/>
          <w:color w:val="auto"/>
        </w:rPr>
      </w:pPr>
    </w:p>
    <w:p>
      <w:pPr>
        <w:jc w:val="both"/>
        <w:ind w:firstLine="831"/>
        <w:spacing w:after="0" w:line="273" w:lineRule="auto"/>
        <w:rPr>
          <w:sz w:val="20"/>
          <w:szCs w:val="20"/>
          <w:color w:val="auto"/>
        </w:rPr>
      </w:pPr>
      <w:r>
        <w:rPr>
          <w:rFonts w:ascii="Times New Roman" w:cs="Times New Roman" w:eastAsia="Times New Roman" w:hAnsi="Times New Roman"/>
          <w:sz w:val="19"/>
          <w:szCs w:val="19"/>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69" w:lineRule="exact"/>
        <w:rPr>
          <w:sz w:val="20"/>
          <w:szCs w:val="20"/>
          <w:color w:val="auto"/>
        </w:rPr>
      </w:pPr>
    </w:p>
    <w:p>
      <w:pPr>
        <w:jc w:val="both"/>
        <w:ind w:firstLine="831"/>
        <w:spacing w:after="0" w:line="269" w:lineRule="auto"/>
        <w:rPr>
          <w:sz w:val="20"/>
          <w:szCs w:val="20"/>
          <w:color w:val="auto"/>
        </w:rPr>
      </w:pPr>
      <w:r>
        <w:rPr>
          <w:rFonts w:ascii="Times New Roman" w:cs="Times New Roman" w:eastAsia="Times New Roman" w:hAnsi="Times New Roman"/>
          <w:sz w:val="19"/>
          <w:szCs w:val="19"/>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721995</wp:posOffset>
            </wp:positionV>
            <wp:extent cx="7101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7101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BOSTON LOS ANGELES MIAMI NEW YORK SAN DIEGO SAN FRANCISCO TORONTO WASHINGTON</w:t>
      </w:r>
    </w:p>
    <w:p>
      <w:pPr>
        <w:spacing w:after="0" w:line="74" w:lineRule="exact"/>
        <w:rPr>
          <w:sz w:val="20"/>
          <w:szCs w:val="20"/>
          <w:color w:val="auto"/>
        </w:rPr>
      </w:pPr>
    </w:p>
    <w:p>
      <w:pPr>
        <w:jc w:val="center"/>
        <w:ind w:right="60"/>
        <w:spacing w:after="0"/>
        <w:rPr>
          <w:sz w:val="20"/>
          <w:szCs w:val="20"/>
          <w:color w:val="auto"/>
        </w:rPr>
      </w:pPr>
      <w:r>
        <w:rPr>
          <w:rFonts w:ascii="Arial" w:cs="Arial" w:eastAsia="Arial" w:hAnsi="Arial"/>
          <w:sz w:val="11"/>
          <w:szCs w:val="11"/>
          <w:color w:val="auto"/>
        </w:rPr>
        <w:t>MINTZ, LEVIN, COHN, FERRIS, GLOVSKY AND POPEO, P.C.</w:t>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MINTZ</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12,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6776720</wp:posOffset>
            </wp:positionH>
            <wp:positionV relativeFrom="paragraph">
              <wp:posOffset>-3175</wp:posOffset>
            </wp:positionV>
            <wp:extent cx="36195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3619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831"/>
        <w:spacing w:after="0" w:line="300" w:lineRule="auto"/>
        <w:rPr>
          <w:sz w:val="20"/>
          <w:szCs w:val="20"/>
          <w:color w:val="auto"/>
        </w:rPr>
      </w:pPr>
      <w:r>
        <w:rPr>
          <w:rFonts w:ascii="Times New Roman" w:cs="Times New Roman" w:eastAsia="Times New Roman" w:hAnsi="Times New Roman"/>
          <w:sz w:val="19"/>
          <w:szCs w:val="19"/>
          <w:color w:val="auto"/>
        </w:rPr>
        <w:t>Based upon the foregoing, we are of the opinion that the Shares, when issued and delivered in accordance with the terms of the Plans, will be validly issued, fully paid and non-assessable.</w:t>
      </w:r>
    </w:p>
    <w:p>
      <w:pPr>
        <w:spacing w:after="0" w:line="130" w:lineRule="exact"/>
        <w:rPr>
          <w:sz w:val="20"/>
          <w:szCs w:val="20"/>
          <w:color w:val="auto"/>
        </w:rPr>
      </w:pPr>
    </w:p>
    <w:p>
      <w:pPr>
        <w:jc w:val="both"/>
        <w:ind w:firstLine="831"/>
        <w:spacing w:after="0" w:line="269" w:lineRule="auto"/>
        <w:rPr>
          <w:sz w:val="20"/>
          <w:szCs w:val="20"/>
          <w:color w:val="auto"/>
        </w:rPr>
      </w:pPr>
      <w:r>
        <w:rPr>
          <w:rFonts w:ascii="Times New Roman" w:cs="Times New Roman" w:eastAsia="Times New Roman" w:hAnsi="Times New Roman"/>
          <w:sz w:val="19"/>
          <w:szCs w:val="19"/>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1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9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9"/>
          <w:szCs w:val="19"/>
          <w:color w:val="auto"/>
        </w:rPr>
        <w:t>/s/ Mintz, Levin, Cohn, Ferris, Glovsky and Popeo, P.C.</w:t>
      </w:r>
    </w:p>
    <w:p>
      <w:pPr>
        <w:spacing w:after="0" w:line="17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9"/>
          <w:szCs w:val="19"/>
          <w:color w:val="auto"/>
        </w:rPr>
        <w:t>Mintz, Levin, Cohn, Ferris, Glovsky and Popeo, P.C.</w:t>
      </w:r>
    </w:p>
    <w:p>
      <w:pPr>
        <w:sectPr>
          <w:pgSz w:w="11900" w:h="16838" w:orient="portrait"/>
          <w:cols w:equalWidth="0" w:num="1">
            <w:col w:w="11240"/>
          </w:cols>
          <w:pgMar w:left="320" w:top="10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hereby consent to the incorporation by reference in this Registration Statement of our report dated March 10, 2026, relating to the financial statements of Exagen Inc. (the “Company”) appearing in the Company’s Annual Report on Form 10-K for the year ended December 31, 2025.</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/s/ BDO USA, P.C.</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San Diego, California</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May 12, 2026</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jpeg"/><Relationship Id="rId30" Type="http://schemas.openxmlformats.org/officeDocument/2006/relationships/image" Target="media/image7.png"/><Relationship Id="rId31" Type="http://schemas.openxmlformats.org/officeDocument/2006/relationships/image" Target="media/image8.jpeg"/><Relationship Id="rId10" Type="http://schemas.openxmlformats.org/officeDocument/2006/relationships/hyperlink" Target="https://www.sec.gov/ix?doc=/Archives/edgar/data/0001274737/000127473726000009/exdx-20251231.htm" TargetMode="External"/><Relationship Id="rId11" Type="http://schemas.openxmlformats.org/officeDocument/2006/relationships/hyperlink" Target="https://www.sec.gov/ix?doc=/Archives/edgar/data/0001274737/000127473726000020/exdx-20260427.htm" TargetMode="External"/><Relationship Id="rId12" Type="http://schemas.openxmlformats.org/officeDocument/2006/relationships/hyperlink" Target="https://www.sec.gov/ix?doc=/Archives/edgar/data/0001274737/000127473726000029/exdx-20260331.htm" TargetMode="External"/><Relationship Id="rId13" Type="http://schemas.openxmlformats.org/officeDocument/2006/relationships/hyperlink" Target="https://www.sec.gov/ix?doc=/Archives/edgar/data/0001274737/000127473726000003/exdx-20260111.htm" TargetMode="External"/><Relationship Id="rId14" Type="http://schemas.openxmlformats.org/officeDocument/2006/relationships/hyperlink" Target="https://www.sec.gov/ix?doc=/Archives/edgar/data/0001274737/000127473726000007/exdx-20260310.htm" TargetMode="External"/><Relationship Id="rId15" Type="http://schemas.openxmlformats.org/officeDocument/2006/relationships/hyperlink" Target="https://www.sec.gov/ix?doc=/Archives/edgar/data/0001274737/000127473726000015/exdx-20260417.htm" TargetMode="External"/><Relationship Id="rId16" Type="http://schemas.openxmlformats.org/officeDocument/2006/relationships/hyperlink" Target="https://www.sec.gov/ix?doc=/Archives/edgar/data/0001274737/000127473726000027/exdx-20260511.htm" TargetMode="External"/><Relationship Id="rId17" Type="http://schemas.openxmlformats.org/officeDocument/2006/relationships/hyperlink" Target="https://www.sec.gov/Archives/edgar/data/1274737/000119312519244881/d756255d8a12b.htm" TargetMode="External"/><Relationship Id="rId18" Type="http://schemas.openxmlformats.org/officeDocument/2006/relationships/hyperlink" Target="https://www.sec.gov/Archives/edgar/data/1274737/000119312519252366/d769261dex31.htm" TargetMode="External"/><Relationship Id="rId19" Type="http://schemas.openxmlformats.org/officeDocument/2006/relationships/hyperlink" Target="https://www.sec.gov/Archives/edgar/data/1274737/000127473721000017/ex31-amendedandrestatedbyl.htm" TargetMode="External"/><Relationship Id="rId20" Type="http://schemas.openxmlformats.org/officeDocument/2006/relationships/hyperlink" Target="https://www.sec.gov/Archives/edgar/data/1274737/000127473723000004/exhibit-exagenxamendmentto.htm" TargetMode="External"/><Relationship Id="rId21" Type="http://schemas.openxmlformats.org/officeDocument/2006/relationships/hyperlink" Target="https://www.sec.gov/Archives/edgar/data/1274737/000119312519240403/d692844dex41.htm" TargetMode="External"/><Relationship Id="rId22" Type="http://schemas.openxmlformats.org/officeDocument/2006/relationships/hyperlink" Target="https://www.sec.gov/Archives/edgar/data/1274737/000119312519240403/d692844dex103.htm" TargetMode="External"/><Relationship Id="rId23" Type="http://schemas.openxmlformats.org/officeDocument/2006/relationships/hyperlink" Target="https://www.sec.gov/Archives/edgar/data/1274737/000119312519240403/d692844dex104.htm" TargetMode="External"/><Relationship Id="rId24" Type="http://schemas.openxmlformats.org/officeDocument/2006/relationships/hyperlink" Target="https://www.sec.gov/Archives/edgar/data/1274737/000127473721000015/ex105-formofrsuagreement20.htm" TargetMode="External"/><Relationship Id="rId25" Type="http://schemas.openxmlformats.org/officeDocument/2006/relationships/hyperlink" Target="https://www.sec.gov/Archives/edgar/data/1274737/000119312519240403/d692844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2026-05-12T15:11:30Z</dcterms:created>
  <dcterms:modified xsi:type="dcterms:W3CDTF">2026-05-12T15:11:30Z</dcterms:modified>
</cp:coreProperties>
</file>