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2" w:lineRule="exact"/>
        <w:rPr>
          <w:rFonts w:ascii="MS PGothic" w:cs="MS PGothic" w:eastAsia="MS PGothic" w:hAnsi="MS PGothic"/>
          <w:sz w:val="22"/>
          <w:szCs w:val="22"/>
          <w:color w:val="auto"/>
          <w:highlight w:val="black"/>
        </w:rPr>
      </w:pPr>
    </w:p>
    <w:p>
      <w:pPr>
        <w:ind w:left="356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September 30, 2022</w:t>
      </w:r>
    </w:p>
    <w:p>
      <w:pPr>
        <w:spacing w:after="0" w:line="56"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0"/>
                <w:szCs w:val="20"/>
                <w:color w:val="auto"/>
              </w:rPr>
            </w:pPr>
          </w:p>
        </w:tc>
      </w:tr>
      <w:tr>
        <w:trPr>
          <w:trHeight w:val="702"/>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6"/>
                <w:szCs w:val="16"/>
                <w:color w:val="auto"/>
              </w:rPr>
            </w:pPr>
          </w:p>
        </w:tc>
      </w:tr>
      <w:tr>
        <w:trPr>
          <w:trHeight w:val="216"/>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61"/>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ind w:left="168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California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2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97"/>
        </w:trPr>
        <w:tc>
          <w:tcPr>
            <w:tcW w:w="3740" w:type="dxa"/>
            <w:vAlign w:val="bottom"/>
            <w:gridSpan w:val="2"/>
          </w:tcPr>
          <w:p>
            <w:pPr>
              <w:jc w:val="right"/>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5"/>
        </w:trPr>
        <w:tc>
          <w:tcPr>
            <w:tcW w:w="30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0"/>
        </w:trPr>
        <w:tc>
          <w:tcPr>
            <w:tcW w:w="3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73"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3"/>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300"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72" w:lineRule="exact"/>
        <w:rPr>
          <w:sz w:val="24"/>
          <w:szCs w:val="24"/>
          <w:color w:val="auto"/>
        </w:rPr>
      </w:pPr>
    </w:p>
    <w:p>
      <w:pPr>
        <w:ind w:right="320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November 18, 2022 was 16,319,488.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60" w:type="dxa"/>
            <w:vAlign w:val="bottom"/>
            <w:gridSpan w:val="9"/>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6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1300" w:type="dxa"/>
            <w:vAlign w:val="bottom"/>
            <w:vMerge w:val="continue"/>
          </w:tcPr>
          <w:p>
            <w:pPr>
              <w:spacing w:after="0"/>
              <w:rPr>
                <w:sz w:val="19"/>
                <w:szCs w:val="19"/>
                <w:color w:val="auto"/>
              </w:rPr>
            </w:pPr>
          </w:p>
        </w:tc>
        <w:tc>
          <w:tcPr>
            <w:tcW w:w="8640" w:type="dxa"/>
            <w:vAlign w:val="bottom"/>
            <w:gridSpan w:val="16"/>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3520" w:type="dxa"/>
            <w:vAlign w:val="bottom"/>
            <w:gridSpan w:val="8"/>
          </w:tcPr>
          <w:p>
            <w:pPr>
              <w:spacing w:after="0" w:line="189" w:lineRule="exact"/>
              <w:rPr>
                <w:sz w:val="20"/>
                <w:szCs w:val="20"/>
                <w:color w:val="auto"/>
              </w:rPr>
            </w:pPr>
            <w:r>
              <w:rPr>
                <w:rFonts w:ascii="Arial" w:cs="Arial" w:eastAsia="Arial" w:hAnsi="Arial"/>
                <w:sz w:val="18"/>
                <w:szCs w:val="18"/>
                <w:color w:val="0000FF"/>
                <w:w w:val="99"/>
              </w:rPr>
              <w:t>Unaudited Condensed Financial Statements</w:t>
            </w:r>
          </w:p>
        </w:tc>
        <w:tc>
          <w:tcPr>
            <w:tcW w:w="5120" w:type="dxa"/>
            <w:vAlign w:val="bottom"/>
            <w:gridSpan w:val="8"/>
          </w:tcPr>
          <w:p>
            <w:pPr>
              <w:spacing w:after="0"/>
              <w:rPr>
                <w:sz w:val="16"/>
                <w:szCs w:val="16"/>
                <w:color w:val="auto"/>
              </w:rPr>
            </w:pPr>
          </w:p>
        </w:tc>
        <w:tc>
          <w:tcPr>
            <w:tcW w:w="140" w:type="dxa"/>
            <w:vAlign w:val="bottom"/>
            <w:gridSpan w:val="2"/>
          </w:tcPr>
          <w:p>
            <w:pPr>
              <w:ind w:left="40"/>
              <w:spacing w:after="0" w:line="189"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7200" w:type="dxa"/>
            <w:vAlign w:val="bottom"/>
            <w:gridSpan w:val="12"/>
          </w:tcPr>
          <w:p>
            <w:pPr>
              <w:spacing w:after="0"/>
              <w:rPr>
                <w:sz w:val="20"/>
                <w:szCs w:val="20"/>
                <w:color w:val="auto"/>
              </w:rPr>
            </w:pPr>
            <w:r>
              <w:rPr>
                <w:rFonts w:ascii="Arial" w:cs="Arial" w:eastAsia="Arial" w:hAnsi="Arial"/>
                <w:sz w:val="18"/>
                <w:szCs w:val="18"/>
                <w:color w:val="0000FF"/>
                <w:w w:val="99"/>
              </w:rPr>
              <w:t>Unaudited Condensed Balance Sheets as of September 30, 2022 and December 31, 2021</w:t>
            </w:r>
          </w:p>
        </w:tc>
        <w:tc>
          <w:tcPr>
            <w:tcW w:w="1440" w:type="dxa"/>
            <w:vAlign w:val="bottom"/>
            <w:gridSpan w:val="4"/>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0000FF"/>
              </w:rPr>
              <w:t>Unaudited Condensed Statements of Operations for the Three and Nine Months ended September 30, 2022</w:t>
            </w: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62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and 2021</w:t>
            </w:r>
          </w:p>
        </w:tc>
        <w:tc>
          <w:tcPr>
            <w:tcW w:w="2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8640" w:type="dxa"/>
            <w:vAlign w:val="bottom"/>
            <w:gridSpan w:val="16"/>
          </w:tcPr>
          <w:p>
            <w:pPr>
              <w:spacing w:after="0" w:line="203" w:lineRule="exact"/>
              <w:rPr>
                <w:sz w:val="20"/>
                <w:szCs w:val="20"/>
                <w:color w:val="auto"/>
              </w:rPr>
            </w:pPr>
            <w:r>
              <w:rPr>
                <w:rFonts w:ascii="Arial" w:cs="Arial" w:eastAsia="Arial" w:hAnsi="Arial"/>
                <w:sz w:val="18"/>
                <w:szCs w:val="18"/>
                <w:color w:val="0000FF"/>
              </w:rPr>
              <w:t>Unaudited Condensed Statements of Stockholders' Equity for the Three and Nine Months ended September</w:t>
            </w: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5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30, 2022 and 2021</w:t>
            </w:r>
          </w:p>
        </w:tc>
        <w:tc>
          <w:tcPr>
            <w:tcW w:w="48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gridSpan w:val="2"/>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2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00" w:type="dxa"/>
            <w:vAlign w:val="bottom"/>
            <w:gridSpan w:val="4"/>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0000FF"/>
              </w:rPr>
              <w:t>Unaudited Condensed Statements of Cash Flows for the Nine Months ended September 30, 2022 and 2021 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4240" w:type="dxa"/>
            <w:vAlign w:val="bottom"/>
            <w:gridSpan w:val="9"/>
          </w:tcPr>
          <w:p>
            <w:pPr>
              <w:spacing w:after="0"/>
              <w:rPr>
                <w:sz w:val="20"/>
                <w:szCs w:val="20"/>
                <w:color w:val="auto"/>
              </w:rPr>
            </w:pPr>
            <w:r>
              <w:rPr>
                <w:rFonts w:ascii="Arial" w:cs="Arial" w:eastAsia="Arial" w:hAnsi="Arial"/>
                <w:sz w:val="18"/>
                <w:szCs w:val="18"/>
                <w:color w:val="0000FF"/>
                <w:w w:val="99"/>
              </w:rPr>
              <w:t>Notes to Unaudited Condensed Financial Statements</w:t>
            </w:r>
          </w:p>
        </w:tc>
        <w:tc>
          <w:tcPr>
            <w:tcW w:w="434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1"/>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560" w:type="dxa"/>
            <w:vAlign w:val="bottom"/>
            <w:gridSpan w:val="5"/>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24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60" w:type="dxa"/>
            <w:vAlign w:val="bottom"/>
            <w:gridSpan w:val="5"/>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0"/>
          </w:tcPr>
          <w:p>
            <w:pPr>
              <w:spacing w:after="0"/>
              <w:rPr>
                <w:sz w:val="20"/>
                <w:szCs w:val="20"/>
                <w:color w:val="auto"/>
              </w:rPr>
            </w:pPr>
            <w:r>
              <w:rPr>
                <w:rFonts w:ascii="Arial" w:cs="Arial" w:eastAsia="Arial" w:hAnsi="Arial"/>
                <w:sz w:val="18"/>
                <w:szCs w:val="18"/>
                <w:color w:val="0000FF"/>
              </w:rPr>
              <w:t>Controls and Procedures</w:t>
            </w:r>
          </w:p>
        </w:tc>
        <w:tc>
          <w:tcPr>
            <w:tcW w:w="3940" w:type="dxa"/>
            <w:vAlign w:val="bottom"/>
            <w:gridSpan w:val="6"/>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507"/>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666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640" w:type="dxa"/>
            <w:vAlign w:val="bottom"/>
            <w:gridSpan w:val="16"/>
          </w:tcPr>
          <w:p>
            <w:pPr>
              <w:spacing w:after="0" w:line="189" w:lineRule="exact"/>
              <w:rPr>
                <w:sz w:val="20"/>
                <w:szCs w:val="20"/>
                <w:color w:val="auto"/>
              </w:rPr>
            </w:pPr>
            <w:r>
              <w:rPr>
                <w:rFonts w:ascii="Arial" w:cs="Arial" w:eastAsia="Arial" w:hAnsi="Arial"/>
                <w:sz w:val="18"/>
                <w:szCs w:val="18"/>
                <w:color w:val="0000FF"/>
              </w:rPr>
              <w:t>Legal Proceedings</w:t>
            </w:r>
          </w:p>
        </w:tc>
        <w:tc>
          <w:tcPr>
            <w:tcW w:w="1300" w:type="dxa"/>
            <w:vAlign w:val="bottom"/>
            <w:gridSpan w:val="4"/>
          </w:tcPr>
          <w:p>
            <w:pPr>
              <w:ind w:left="40"/>
              <w:spacing w:after="0" w:line="189" w:lineRule="exact"/>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Pr>
          <w:p>
            <w:pPr>
              <w:spacing w:after="0"/>
              <w:rPr>
                <w:sz w:val="18"/>
                <w:szCs w:val="18"/>
                <w:color w:val="auto"/>
              </w:rPr>
            </w:pPr>
          </w:p>
        </w:tc>
        <w:tc>
          <w:tcPr>
            <w:tcW w:w="7160" w:type="dxa"/>
            <w:vAlign w:val="bottom"/>
            <w:gridSpan w:val="11"/>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0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7640" w:type="dxa"/>
            <w:vAlign w:val="bottom"/>
            <w:gridSpan w:val="12"/>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7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0000FF"/>
              </w:rPr>
              <w:t>Signatures</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99,442</w:t>
            </w:r>
          </w:p>
        </w:tc>
        <w:tc>
          <w:tcPr>
            <w:tcW w:w="0" w:type="dxa"/>
            <w:vAlign w:val="bottom"/>
          </w:tcPr>
          <w:p>
            <w:pPr>
              <w:spacing w:after="0"/>
              <w:rPr>
                <w:sz w:val="1"/>
                <w:szCs w:val="1"/>
                <w:color w:val="auto"/>
              </w:rPr>
            </w:pPr>
          </w:p>
        </w:tc>
      </w:tr>
      <w:tr>
        <w:trPr>
          <w:trHeight w:val="196"/>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9,654</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0"/>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82,060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112,734</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101,597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6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3,669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28,008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27,478</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90"/>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45,411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38,509</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6)</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 $0.001 par value; 10,000,000 shares authorized, no shares issued or outstanding as of September 30, 2022 and</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December 31, 2021</w:t>
            </w:r>
          </w:p>
        </w:tc>
        <w:tc>
          <w:tcPr>
            <w:tcW w:w="12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80" w:type="dxa"/>
            <w:vAlign w:val="bottom"/>
          </w:tcPr>
          <w:p>
            <w:pPr>
              <w:ind w:left="360"/>
              <w:spacing w:after="0"/>
              <w:rPr>
                <w:sz w:val="20"/>
                <w:szCs w:val="20"/>
                <w:color w:val="auto"/>
              </w:rPr>
            </w:pPr>
            <w:r>
              <w:rPr>
                <w:rFonts w:ascii="Arial" w:cs="Arial" w:eastAsia="Arial" w:hAnsi="Arial"/>
                <w:sz w:val="14"/>
                <w:szCs w:val="14"/>
                <w:color w:val="auto"/>
              </w:rPr>
              <w:t>Common stock, $0.001 par value; 200,000,000 shares authorized as of September 30, 2022 and December 31, 2021;</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1"/>
        </w:trPr>
        <w:tc>
          <w:tcPr>
            <w:tcW w:w="8680" w:type="dxa"/>
            <w:vAlign w:val="bottom"/>
          </w:tcPr>
          <w:p>
            <w:pPr>
              <w:ind w:left="360"/>
              <w:spacing w:after="0"/>
              <w:rPr>
                <w:sz w:val="20"/>
                <w:szCs w:val="20"/>
                <w:color w:val="auto"/>
              </w:rPr>
            </w:pPr>
            <w:r>
              <w:rPr>
                <w:rFonts w:ascii="Arial" w:cs="Arial" w:eastAsia="Arial" w:hAnsi="Arial"/>
                <w:sz w:val="14"/>
                <w:szCs w:val="14"/>
                <w:color w:val="auto"/>
              </w:rPr>
              <w:t>16,305,475 and 16,164,994 shares issued and outstanding as of September 30, 2022 and December 31, 2021, respectively</w:t>
            </w: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293,060</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(241,173)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56,186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90"/>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101,597</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290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35,610</w:t>
            </w:r>
          </w:p>
        </w:tc>
        <w:tc>
          <w:tcPr>
            <w:tcW w:w="0" w:type="dxa"/>
            <w:vAlign w:val="bottom"/>
          </w:tcPr>
          <w:p>
            <w:pPr>
              <w:spacing w:after="0"/>
              <w:rPr>
                <w:sz w:val="1"/>
                <w:szCs w:val="1"/>
                <w:color w:val="auto"/>
              </w:rPr>
            </w:pPr>
          </w:p>
        </w:tc>
      </w:tr>
      <w:tr>
        <w:trPr>
          <w:trHeight w:val="197"/>
        </w:trPr>
        <w:tc>
          <w:tcPr>
            <w:tcW w:w="4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 of revenue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15,649</w:t>
            </w:r>
          </w:p>
        </w:tc>
        <w:tc>
          <w:tcPr>
            <w:tcW w:w="0" w:type="dxa"/>
            <w:vAlign w:val="bottom"/>
          </w:tcPr>
          <w:p>
            <w:pPr>
              <w:spacing w:after="0"/>
              <w:rPr>
                <w:sz w:val="1"/>
                <w:szCs w:val="1"/>
                <w:color w:val="auto"/>
              </w:rPr>
            </w:pPr>
          </w:p>
        </w:tc>
      </w:tr>
      <w:tr>
        <w:trPr>
          <w:trHeight w:val="197"/>
        </w:trPr>
        <w:tc>
          <w:tcPr>
            <w:tcW w:w="476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0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14,151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39,206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32,739</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 expenses</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190"/>
        </w:trPr>
        <w:tc>
          <w:tcPr>
            <w:tcW w:w="476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22,543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64,286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53,423</w:t>
            </w:r>
          </w:p>
        </w:tc>
        <w:tc>
          <w:tcPr>
            <w:tcW w:w="0" w:type="dxa"/>
            <w:vAlign w:val="bottom"/>
          </w:tcPr>
          <w:p>
            <w:pPr>
              <w:spacing w:after="0"/>
              <w:rPr>
                <w:sz w:val="1"/>
                <w:szCs w:val="1"/>
                <w:color w:val="auto"/>
              </w:rPr>
            </w:pPr>
          </w:p>
        </w:tc>
      </w:tr>
      <w:tr>
        <w:trPr>
          <w:trHeight w:val="20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(17,813)</w:t>
            </w:r>
          </w:p>
        </w:tc>
        <w:tc>
          <w:tcPr>
            <w:tcW w:w="0" w:type="dxa"/>
            <w:vAlign w:val="bottom"/>
          </w:tcPr>
          <w:p>
            <w:pPr>
              <w:spacing w:after="0"/>
              <w:rPr>
                <w:sz w:val="1"/>
                <w:szCs w:val="1"/>
                <w:color w:val="auto"/>
              </w:rPr>
            </w:pPr>
          </w:p>
        </w:tc>
      </w:tr>
      <w:tr>
        <w:trPr>
          <w:trHeight w:val="197"/>
        </w:trPr>
        <w:tc>
          <w:tcPr>
            <w:tcW w:w="47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4760" w:type="dxa"/>
            <w:vAlign w:val="bottom"/>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(7,179)</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(33,033)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(19,798)</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6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per share, basic and diluted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4"/>
                <w:szCs w:val="14"/>
                <w:color w:val="auto"/>
              </w:rPr>
              <w:t>Weighted-average number of shares used to compute net loss per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17,080,959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16,945,591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17,044,623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15,636,150</w:t>
            </w:r>
          </w:p>
        </w:tc>
        <w:tc>
          <w:tcPr>
            <w:tcW w:w="0" w:type="dxa"/>
            <w:vAlign w:val="bottom"/>
          </w:tcPr>
          <w:p>
            <w:pPr>
              <w:spacing w:after="0"/>
              <w:rPr>
                <w:sz w:val="1"/>
                <w:szCs w:val="1"/>
                <w:color w:val="auto"/>
              </w:rPr>
            </w:pPr>
          </w:p>
        </w:tc>
      </w:tr>
      <w:tr>
        <w:trPr>
          <w:trHeight w:val="144"/>
        </w:trPr>
        <w:tc>
          <w:tcPr>
            <w:tcW w:w="4760" w:type="dxa"/>
            <w:vAlign w:val="bottom"/>
          </w:tcPr>
          <w:p>
            <w:pPr>
              <w:ind w:left="20"/>
              <w:spacing w:after="0" w:line="144" w:lineRule="exact"/>
              <w:rPr>
                <w:sz w:val="20"/>
                <w:szCs w:val="20"/>
                <w:color w:val="auto"/>
              </w:rPr>
            </w:pPr>
            <w:r>
              <w:rPr>
                <w:rFonts w:ascii="Arial" w:cs="Arial" w:eastAsia="Arial" w:hAnsi="Arial"/>
                <w:sz w:val="14"/>
                <w:szCs w:val="14"/>
                <w:color w:val="auto"/>
              </w:rPr>
              <w:t>share, basic and diluted</w:t>
            </w: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886" w:right="39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420" w:type="dxa"/>
            <w:vAlign w:val="bottom"/>
            <w:gridSpan w:val="4"/>
            <w:vMerge w:val="restart"/>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128"/>
              <w:spacing w:after="0" w:line="14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24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320"/>
              <w:spacing w:after="0" w:line="116" w:lineRule="exact"/>
              <w:rPr>
                <w:sz w:val="20"/>
                <w:szCs w:val="20"/>
                <w:color w:val="auto"/>
              </w:rPr>
            </w:pPr>
            <w:r>
              <w:rPr>
                <w:rFonts w:ascii="Arial" w:cs="Arial" w:eastAsia="Arial" w:hAnsi="Arial"/>
                <w:sz w:val="13"/>
                <w:szCs w:val="13"/>
                <w:b w:val="1"/>
                <w:bCs w:val="1"/>
                <w:color w:val="auto"/>
              </w:rPr>
              <w:t>Paid-In</w:t>
            </w:r>
          </w:p>
        </w:tc>
        <w:tc>
          <w:tcPr>
            <w:tcW w:w="240" w:type="dxa"/>
            <w:vAlign w:val="bottom"/>
          </w:tcPr>
          <w:p>
            <w:pPr>
              <w:spacing w:after="0"/>
              <w:rPr>
                <w:sz w:val="10"/>
                <w:szCs w:val="10"/>
                <w:color w:val="auto"/>
              </w:rPr>
            </w:pPr>
          </w:p>
        </w:tc>
        <w:tc>
          <w:tcPr>
            <w:tcW w:w="1580" w:type="dxa"/>
            <w:vAlign w:val="bottom"/>
            <w:gridSpan w:val="2"/>
          </w:tcPr>
          <w:p>
            <w:pPr>
              <w:jc w:val="center"/>
              <w:ind w:right="340"/>
              <w:spacing w:after="0" w:line="116"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0"/>
                <w:szCs w:val="10"/>
                <w:color w:val="auto"/>
              </w:rPr>
            </w:pPr>
          </w:p>
        </w:tc>
        <w:tc>
          <w:tcPr>
            <w:tcW w:w="1420" w:type="dxa"/>
            <w:vAlign w:val="bottom"/>
          </w:tcPr>
          <w:p>
            <w:pPr>
              <w:jc w:val="center"/>
              <w:ind w:right="148"/>
              <w:spacing w:after="0" w:line="116"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(As Restated)</w:t>
            </w:r>
          </w:p>
        </w:tc>
        <w:tc>
          <w:tcPr>
            <w:tcW w:w="220" w:type="dxa"/>
            <w:vAlign w:val="bottom"/>
          </w:tcPr>
          <w:p>
            <w:pPr>
              <w:spacing w:after="0"/>
              <w:rPr>
                <w:sz w:val="17"/>
                <w:szCs w:val="17"/>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2021</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16,164,994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293,060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(208,140)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67"/>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30,523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vMerge w:val="restart"/>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and payment of employees' taxes</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35,681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0" w:type="dxa"/>
            <w:vAlign w:val="bottom"/>
          </w:tcPr>
          <w:p>
            <w:pPr>
              <w:spacing w:after="0"/>
              <w:rPr>
                <w:sz w:val="1"/>
                <w:szCs w:val="1"/>
                <w:color w:val="auto"/>
              </w:rPr>
            </w:pPr>
          </w:p>
        </w:tc>
      </w:tr>
      <w:tr>
        <w:trPr>
          <w:trHeight w:val="19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March 31, 2022</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16,231,198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294,552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(218,412)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76,156</w:t>
            </w:r>
          </w:p>
        </w:tc>
        <w:tc>
          <w:tcPr>
            <w:tcW w:w="0" w:type="dxa"/>
            <w:vAlign w:val="bottom"/>
          </w:tcPr>
          <w:p>
            <w:pPr>
              <w:spacing w:after="0"/>
              <w:rPr>
                <w:sz w:val="1"/>
                <w:szCs w:val="1"/>
                <w:color w:val="auto"/>
              </w:rPr>
            </w:pPr>
          </w:p>
        </w:tc>
      </w:tr>
      <w:tr>
        <w:trPr>
          <w:trHeight w:val="17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27,609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payment of employees' taxes</w:t>
            </w: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 (As Restated)</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(14,665)</w:t>
            </w:r>
          </w:p>
        </w:tc>
        <w:tc>
          <w:tcPr>
            <w:tcW w:w="0" w:type="dxa"/>
            <w:vAlign w:val="bottom"/>
          </w:tcPr>
          <w:p>
            <w:pPr>
              <w:spacing w:after="0"/>
              <w:rPr>
                <w:sz w:val="1"/>
                <w:szCs w:val="1"/>
                <w:color w:val="auto"/>
              </w:rPr>
            </w:pPr>
          </w:p>
        </w:tc>
      </w:tr>
      <w:tr>
        <w:trPr>
          <w:trHeight w:val="19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June 30, 2022 (As Restated)</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16,258,807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295,885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(233,077)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62,824</w:t>
            </w:r>
          </w:p>
        </w:tc>
        <w:tc>
          <w:tcPr>
            <w:tcW w:w="0" w:type="dxa"/>
            <w:vAlign w:val="bottom"/>
          </w:tcPr>
          <w:p>
            <w:pPr>
              <w:spacing w:after="0"/>
              <w:rPr>
                <w:sz w:val="1"/>
                <w:szCs w:val="1"/>
                <w:color w:val="auto"/>
              </w:rPr>
            </w:pPr>
          </w:p>
        </w:tc>
      </w:tr>
      <w:tr>
        <w:trPr>
          <w:trHeight w:val="17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payment of employees' taxes</w:t>
            </w: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580" w:type="dxa"/>
            <w:vAlign w:val="bottom"/>
            <w:gridSpan w:val="2"/>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40,059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(8,096)</w:t>
            </w:r>
          </w:p>
        </w:tc>
        <w:tc>
          <w:tcPr>
            <w:tcW w:w="0" w:type="dxa"/>
            <w:vAlign w:val="bottom"/>
          </w:tcPr>
          <w:p>
            <w:pPr>
              <w:spacing w:after="0"/>
              <w:rPr>
                <w:sz w:val="1"/>
                <w:szCs w:val="1"/>
                <w:color w:val="auto"/>
              </w:rPr>
            </w:pPr>
          </w:p>
        </w:tc>
      </w:tr>
      <w:tr>
        <w:trPr>
          <w:trHeight w:val="202"/>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September 30, 2022</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16,305,475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297,343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(241,173)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56,186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420" w:type="dxa"/>
            <w:vAlign w:val="bottom"/>
            <w:gridSpan w:val="4"/>
            <w:vMerge w:val="restart"/>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0"/>
        </w:trPr>
        <w:tc>
          <w:tcPr>
            <w:tcW w:w="3740" w:type="dxa"/>
            <w:vAlign w:val="bottom"/>
          </w:tcPr>
          <w:p>
            <w:pPr>
              <w:spacing w:after="0"/>
              <w:rPr>
                <w:sz w:val="10"/>
                <w:szCs w:val="10"/>
                <w:color w:val="auto"/>
              </w:rPr>
            </w:pPr>
          </w:p>
        </w:tc>
        <w:tc>
          <w:tcPr>
            <w:tcW w:w="24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320"/>
              <w:spacing w:after="0" w:line="116"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0"/>
                <w:szCs w:val="10"/>
                <w:color w:val="auto"/>
              </w:rPr>
            </w:pPr>
          </w:p>
        </w:tc>
        <w:tc>
          <w:tcPr>
            <w:tcW w:w="1560" w:type="dxa"/>
            <w:vAlign w:val="bottom"/>
            <w:gridSpan w:val="2"/>
          </w:tcPr>
          <w:p>
            <w:pPr>
              <w:ind w:left="140"/>
              <w:spacing w:after="0" w:line="116"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1420" w:type="dxa"/>
            <w:vAlign w:val="bottom"/>
          </w:tcPr>
          <w:p>
            <w:pPr>
              <w:jc w:val="center"/>
              <w:ind w:right="128"/>
              <w:spacing w:after="0" w:line="116"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7"/>
                <w:szCs w:val="17"/>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2020</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12,652,308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223,115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67"/>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in public offering, net of issuance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4,255,000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64,705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64,709</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costs of $4,435</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7"/>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97"/>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02"/>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2021</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16,925,680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288,951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(187,498)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101,470</w:t>
            </w:r>
          </w:p>
        </w:tc>
        <w:tc>
          <w:tcPr>
            <w:tcW w:w="0" w:type="dxa"/>
            <w:vAlign w:val="bottom"/>
          </w:tcPr>
          <w:p>
            <w:pPr>
              <w:spacing w:after="0"/>
              <w:rPr>
                <w:sz w:val="1"/>
                <w:szCs w:val="1"/>
                <w:color w:val="auto"/>
              </w:rPr>
            </w:pPr>
          </w:p>
        </w:tc>
      </w:tr>
      <w:tr>
        <w:trPr>
          <w:trHeight w:val="167"/>
        </w:trPr>
        <w:tc>
          <w:tcPr>
            <w:tcW w:w="3740" w:type="dxa"/>
            <w:vAlign w:val="bottom"/>
          </w:tcPr>
          <w:p>
            <w:pPr>
              <w:ind w:left="360"/>
              <w:spacing w:after="0"/>
              <w:rPr>
                <w:sz w:val="20"/>
                <w:szCs w:val="20"/>
                <w:color w:val="auto"/>
              </w:rPr>
            </w:pPr>
            <w:r>
              <w:rPr>
                <w:rFonts w:ascii="Arial" w:cs="Arial" w:eastAsia="Arial" w:hAnsi="Arial"/>
                <w:sz w:val="14"/>
                <w:szCs w:val="14"/>
                <w:color w:val="auto"/>
              </w:rPr>
              <w:t>Retirement of common stock in exchange for</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(804,951)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(12,774)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common stock warrant</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common stock warrant in exchange for</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12,775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retirement of common stock</w:t>
            </w:r>
          </w:p>
        </w:tc>
        <w:tc>
          <w:tcPr>
            <w:tcW w:w="15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6,055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97"/>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(6,410)</w:t>
            </w:r>
          </w:p>
        </w:tc>
        <w:tc>
          <w:tcPr>
            <w:tcW w:w="0" w:type="dxa"/>
            <w:vAlign w:val="bottom"/>
          </w:tcPr>
          <w:p>
            <w:pPr>
              <w:spacing w:after="0"/>
              <w:rPr>
                <w:sz w:val="1"/>
                <w:szCs w:val="1"/>
                <w:color w:val="auto"/>
              </w:rPr>
            </w:pPr>
          </w:p>
        </w:tc>
      </w:tr>
      <w:tr>
        <w:trPr>
          <w:trHeight w:val="202"/>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2021</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16,126,784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290,272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(193,908)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96,380</w:t>
            </w:r>
          </w:p>
        </w:tc>
        <w:tc>
          <w:tcPr>
            <w:tcW w:w="0" w:type="dxa"/>
            <w:vAlign w:val="bottom"/>
          </w:tcPr>
          <w:p>
            <w:pPr>
              <w:spacing w:after="0"/>
              <w:rPr>
                <w:sz w:val="1"/>
                <w:szCs w:val="1"/>
                <w:color w:val="auto"/>
              </w:rPr>
            </w:pPr>
          </w:p>
        </w:tc>
      </w:tr>
      <w:tr>
        <w:trPr>
          <w:trHeight w:val="196"/>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1,752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17,977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common stock warrants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7"/>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(7,179)</w:t>
            </w:r>
          </w:p>
        </w:tc>
        <w:tc>
          <w:tcPr>
            <w:tcW w:w="0" w:type="dxa"/>
            <w:vAlign w:val="bottom"/>
          </w:tcPr>
          <w:p>
            <w:pPr>
              <w:spacing w:after="0"/>
              <w:rPr>
                <w:sz w:val="1"/>
                <w:szCs w:val="1"/>
                <w:color w:val="auto"/>
              </w:rPr>
            </w:pPr>
          </w:p>
        </w:tc>
      </w:tr>
      <w:tr>
        <w:trPr>
          <w:trHeight w:val="221"/>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September 30, 2021</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16,164,232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291,874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90,803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 w:name="page7"/>
    <w:bookmarkEnd w:id="6"/>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Nine Months Ended September</w:t>
      </w:r>
    </w:p>
    <w:p>
      <w:pPr>
        <w:spacing w:after="0" w:line="6"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9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5"/>
        </w:trPr>
        <w:tc>
          <w:tcPr>
            <w:tcW w:w="8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(33,033)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(19,798)</w:t>
            </w: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discount and debt issuance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96"/>
        </w:trPr>
        <w:tc>
          <w:tcPr>
            <w:tcW w:w="890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Non-cash lease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90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4,122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3,551</w:t>
            </w: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900" w:type="dxa"/>
            <w:vAlign w:val="bottom"/>
          </w:tcPr>
          <w:p>
            <w:pPr>
              <w:ind w:left="360"/>
              <w:spacing w:after="0"/>
              <w:rPr>
                <w:sz w:val="20"/>
                <w:szCs w:val="20"/>
                <w:color w:val="auto"/>
              </w:rPr>
            </w:pPr>
            <w:r>
              <w:rPr>
                <w:rFonts w:ascii="Arial" w:cs="Arial" w:eastAsia="Arial" w:hAnsi="Arial"/>
                <w:sz w:val="14"/>
                <w:szCs w:val="14"/>
                <w:color w:val="auto"/>
              </w:rPr>
              <w:t>Changes in assets and 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6"/>
        </w:trPr>
        <w:tc>
          <w:tcPr>
            <w:tcW w:w="8900" w:type="dxa"/>
            <w:vAlign w:val="bottom"/>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96"/>
        </w:trPr>
        <w:tc>
          <w:tcPr>
            <w:tcW w:w="8900" w:type="dxa"/>
            <w:vAlign w:val="bottom"/>
          </w:tcPr>
          <w:p>
            <w:pPr>
              <w:ind w:left="68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96"/>
        </w:trPr>
        <w:tc>
          <w:tcPr>
            <w:tcW w:w="89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Accrued and other current liabilities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(14,222)</w:t>
            </w:r>
          </w:p>
        </w:tc>
        <w:tc>
          <w:tcPr>
            <w:tcW w:w="0" w:type="dxa"/>
            <w:vAlign w:val="bottom"/>
          </w:tcPr>
          <w:p>
            <w:pPr>
              <w:spacing w:after="0"/>
              <w:rPr>
                <w:sz w:val="1"/>
                <w:szCs w:val="1"/>
                <w:color w:val="auto"/>
              </w:rPr>
            </w:pPr>
          </w:p>
        </w:tc>
      </w:tr>
      <w:tr>
        <w:trPr>
          <w:trHeight w:val="197"/>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197"/>
        </w:trPr>
        <w:tc>
          <w:tcPr>
            <w:tcW w:w="8900" w:type="dxa"/>
            <w:vAlign w:val="bottom"/>
          </w:tcPr>
          <w:p>
            <w:pPr>
              <w:ind w:left="20"/>
              <w:spacing w:after="0"/>
              <w:rPr>
                <w:sz w:val="20"/>
                <w:szCs w:val="20"/>
                <w:color w:val="auto"/>
              </w:rPr>
            </w:pPr>
            <w:r>
              <w:rPr>
                <w:rFonts w:ascii="Arial" w:cs="Arial" w:eastAsia="Arial" w:hAnsi="Arial"/>
                <w:sz w:val="14"/>
                <w:szCs w:val="14"/>
                <w:color w:val="auto"/>
              </w:rPr>
              <w:t>Purchase of other assets</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2"/>
        </w:trPr>
        <w:tc>
          <w:tcPr>
            <w:tcW w:w="8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96"/>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7"/>
        </w:trPr>
        <w:tc>
          <w:tcPr>
            <w:tcW w:w="8900" w:type="dxa"/>
            <w:vAlign w:val="bottom"/>
          </w:tcPr>
          <w:p>
            <w:pPr>
              <w:ind w:left="20"/>
              <w:spacing w:after="0"/>
              <w:rPr>
                <w:sz w:val="20"/>
                <w:szCs w:val="20"/>
                <w:color w:val="auto"/>
              </w:rPr>
            </w:pPr>
            <w:r>
              <w:rPr>
                <w:rFonts w:ascii="Arial" w:cs="Arial" w:eastAsia="Arial" w:hAnsi="Arial"/>
                <w:sz w:val="14"/>
                <w:szCs w:val="14"/>
                <w:color w:val="auto"/>
              </w:rPr>
              <w:t>Payments of taxes withheld on vested restricted stock units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97"/>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97"/>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the issuance of common stock in public offering</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69,144</w:t>
            </w: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issuance costs related to public offering</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(4,407)</w:t>
            </w:r>
          </w:p>
        </w:tc>
        <w:tc>
          <w:tcPr>
            <w:tcW w:w="0" w:type="dxa"/>
            <w:vAlign w:val="bottom"/>
          </w:tcPr>
          <w:p>
            <w:pPr>
              <w:spacing w:after="0"/>
              <w:rPr>
                <w:sz w:val="1"/>
                <w:szCs w:val="1"/>
                <w:color w:val="auto"/>
              </w:rPr>
            </w:pPr>
          </w:p>
        </w:tc>
      </w:tr>
      <w:tr>
        <w:trPr>
          <w:trHeight w:val="190"/>
        </w:trPr>
        <w:tc>
          <w:tcPr>
            <w:tcW w:w="89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64,896</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49,318</w:t>
            </w:r>
          </w:p>
        </w:tc>
        <w:tc>
          <w:tcPr>
            <w:tcW w:w="0" w:type="dxa"/>
            <w:vAlign w:val="bottom"/>
          </w:tcPr>
          <w:p>
            <w:pPr>
              <w:spacing w:after="0"/>
              <w:rPr>
                <w:sz w:val="1"/>
                <w:szCs w:val="1"/>
                <w:color w:val="auto"/>
              </w:rPr>
            </w:pPr>
          </w:p>
        </w:tc>
      </w:tr>
      <w:tr>
        <w:trPr>
          <w:trHeight w:val="196"/>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99,542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57,548</w:t>
            </w:r>
          </w:p>
        </w:tc>
        <w:tc>
          <w:tcPr>
            <w:tcW w:w="0" w:type="dxa"/>
            <w:vAlign w:val="bottom"/>
          </w:tcPr>
          <w:p>
            <w:pPr>
              <w:spacing w:after="0"/>
              <w:rPr>
                <w:sz w:val="1"/>
                <w:szCs w:val="1"/>
                <w:color w:val="auto"/>
              </w:rPr>
            </w:pPr>
          </w:p>
        </w:tc>
      </w:tr>
      <w:tr>
        <w:trPr>
          <w:trHeight w:val="221"/>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68,904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106,866</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197"/>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purchased under finance lease obligations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97"/>
        </w:trPr>
        <w:tc>
          <w:tcPr>
            <w:tcW w:w="890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offering costs reclassified to equity</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Exagen Inc. (the Company) is dedicated to transforming the care continuum for patients suffering from debilitating and chronic autoimmune diseases by enabling timely differential diagnosis and optimizing therapeutic intervention.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 will continue to incur net losses into the foreseeable future. As of September 30, 2022, the Company had cash and cash equivalents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$68.7 million and had an accumulated deficit of $241.2 million. Since inception, the Company has financed its operations primarily through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equity financings of common stock and private placements of preferred securities, debt financing arrangements, and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sales of the Company's products. Based on the Company's current business plan, management believes that its existing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resources will be sufficient to fund the Company's obligations for at least twelve months following the issuance of these condensed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1A. Restatement of Previously Issued Financial Statements</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has restated previously issued financial statements and related disclosures as of and for the three and six months ended June 30, 2022 included in our Quarterly Report on Form 10-Q, filed with the Securities and Exchange Commission (the SEC) on August 4, 2022 (the Original Quarterly Report), in order to correct misstatements resulting from erroneous and duplicate billings included in revenue. The applicable Notes to Condensed Financial Statements were also updated to reflect the restatement.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Restatement</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2022 management determined that the Company made certain errors in revenue resulting from erroneous and duplicate billings related to changes in billing practices. The errors were due to the inadequate design and implementation and precision of internal controls and procedures to evaluate and monitor the accounting for revenue recognition. As a result, the Company determined that there were material errors in the financial statements that required a restatement of the financial statements for the three and six months ended June 30, 2022 in the Original Quarterly Report. The effect of these errors was a $1.4 million overstatement of revenue for the three and six months ended June 30, 2022; in addition to, a $0.9 million overstatement of accounts receivable and a $0.5 million understatement of other liabilities as of June 30, 2022.</w:t>
      </w:r>
    </w:p>
    <w:p>
      <w:pPr>
        <w:spacing w:after="0" w:line="193"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following tables reflect the impact of the restatement adjustments to the specific line items presented in our previously reported financial statements for the periods indicated. The amounts originally reported were derived from the Original Quarterly Report (in thousands, except per share amounts):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Condensed Balance Sheet</w:t>
            </w: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2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6"/>
                <w:szCs w:val="16"/>
                <w:color w:val="auto"/>
              </w:rPr>
            </w:pPr>
          </w:p>
        </w:tc>
        <w:tc>
          <w:tcPr>
            <w:tcW w:w="1400" w:type="dxa"/>
            <w:vAlign w:val="bottom"/>
          </w:tcPr>
          <w:p>
            <w:pPr>
              <w:jc w:val="right"/>
              <w:ind w:right="328"/>
              <w:spacing w:after="0"/>
              <w:rPr>
                <w:sz w:val="20"/>
                <w:szCs w:val="20"/>
                <w:color w:val="auto"/>
              </w:rPr>
            </w:pPr>
            <w:r>
              <w:rPr>
                <w:rFonts w:ascii="Arial" w:cs="Arial" w:eastAsia="Arial" w:hAnsi="Arial"/>
                <w:sz w:val="14"/>
                <w:szCs w:val="14"/>
                <w:b w:val="1"/>
                <w:bCs w:val="1"/>
                <w:color w:val="auto"/>
              </w:rPr>
              <w:t>As Restated</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6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5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9,590</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8,715</w:t>
            </w:r>
          </w:p>
        </w:tc>
      </w:tr>
      <w:tr>
        <w:trPr>
          <w:trHeight w:val="209"/>
        </w:trPr>
        <w:tc>
          <w:tcPr>
            <w:tcW w:w="20" w:type="dxa"/>
            <w:vAlign w:val="bottom"/>
            <w:shd w:val="clear" w:color="auto" w:fill="CCEEFF"/>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88,164</w:t>
            </w:r>
          </w:p>
        </w:tc>
      </w:tr>
      <w:tr>
        <w:trPr>
          <w:trHeight w:val="196"/>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107,724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106,849</w:t>
            </w:r>
          </w:p>
        </w:tc>
      </w:tr>
      <w:tr>
        <w:trPr>
          <w:trHeight w:val="276"/>
        </w:trPr>
        <w:tc>
          <w:tcPr>
            <w:tcW w:w="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4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and other current liabilities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w:t>
            </w:r>
          </w:p>
        </w:tc>
      </w:tr>
      <w:tr>
        <w:trPr>
          <w:trHeight w:val="197"/>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9,573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10,054</w:t>
            </w:r>
          </w:p>
        </w:tc>
      </w:tr>
      <w:tr>
        <w:trPr>
          <w:trHeight w:val="208"/>
        </w:trPr>
        <w:tc>
          <w:tcPr>
            <w:tcW w:w="20" w:type="dxa"/>
            <w:vAlign w:val="bottom"/>
            <w:shd w:val="clear" w:color="auto" w:fill="CCEEFF"/>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44,025</w:t>
            </w:r>
          </w:p>
        </w:tc>
      </w:tr>
      <w:tr>
        <w:trPr>
          <w:trHeight w:val="197"/>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(231,721)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(233,077)</w:t>
            </w:r>
          </w:p>
        </w:tc>
      </w:tr>
      <w:tr>
        <w:trPr>
          <w:trHeight w:val="208"/>
        </w:trPr>
        <w:tc>
          <w:tcPr>
            <w:tcW w:w="20" w:type="dxa"/>
            <w:vAlign w:val="bottom"/>
            <w:shd w:val="clear" w:color="auto" w:fill="CCEEFF"/>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stockholders' equity</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62,824</w:t>
            </w:r>
          </w:p>
        </w:tc>
      </w:tr>
      <w:tr>
        <w:trPr>
          <w:trHeight w:val="191"/>
        </w:trPr>
        <w:tc>
          <w:tcPr>
            <w:tcW w:w="20" w:type="dxa"/>
            <w:vAlign w:val="bottom"/>
          </w:tcPr>
          <w:p>
            <w:pPr>
              <w:spacing w:after="0"/>
              <w:rPr>
                <w:sz w:val="16"/>
                <w:szCs w:val="16"/>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Total liabilities and stockholders' equity</w:t>
            </w: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107,724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106,849</w:t>
            </w: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Condensed Statement of Operations</w:t>
            </w:r>
          </w:p>
        </w:tc>
        <w:tc>
          <w:tcPr>
            <w:tcW w:w="600" w:type="dxa"/>
            <w:vAlign w:val="bottom"/>
          </w:tcPr>
          <w:p>
            <w:pPr>
              <w:spacing w:after="0"/>
              <w:rPr>
                <w:sz w:val="14"/>
                <w:szCs w:val="14"/>
                <w:color w:val="auto"/>
              </w:rPr>
            </w:pPr>
          </w:p>
        </w:tc>
        <w:tc>
          <w:tcPr>
            <w:tcW w:w="3260" w:type="dxa"/>
            <w:vAlign w:val="bottom"/>
            <w:gridSpan w:val="6"/>
          </w:tcPr>
          <w:p>
            <w:pPr>
              <w:jc w:val="center"/>
              <w:ind w:left="628"/>
              <w:spacing w:after="0"/>
              <w:rPr>
                <w:sz w:val="20"/>
                <w:szCs w:val="20"/>
                <w:color w:val="auto"/>
              </w:rPr>
            </w:pPr>
            <w:r>
              <w:rPr>
                <w:rFonts w:ascii="Arial" w:cs="Arial" w:eastAsia="Arial" w:hAnsi="Arial"/>
                <w:sz w:val="14"/>
                <w:szCs w:val="14"/>
                <w:b w:val="1"/>
                <w:bCs w:val="1"/>
                <w:color w:val="auto"/>
              </w:rPr>
              <w:t>Three Months Ended June 30, 2022</w:t>
            </w:r>
          </w:p>
        </w:tc>
        <w:tc>
          <w:tcPr>
            <w:tcW w:w="13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6"/>
                <w:szCs w:val="16"/>
                <w:color w:val="auto"/>
              </w:rPr>
            </w:pPr>
          </w:p>
        </w:tc>
        <w:tc>
          <w:tcPr>
            <w:tcW w:w="1300" w:type="dxa"/>
            <w:vAlign w:val="bottom"/>
          </w:tcPr>
          <w:p>
            <w:pPr>
              <w:jc w:val="right"/>
              <w:ind w:right="328"/>
              <w:spacing w:after="0"/>
              <w:rPr>
                <w:sz w:val="20"/>
                <w:szCs w:val="20"/>
                <w:color w:val="auto"/>
              </w:rPr>
            </w:pPr>
            <w:r>
              <w:rPr>
                <w:rFonts w:ascii="Arial" w:cs="Arial" w:eastAsia="Arial" w:hAnsi="Arial"/>
                <w:sz w:val="14"/>
                <w:szCs w:val="14"/>
                <w:b w:val="1"/>
                <w:bCs w:val="1"/>
                <w:color w:val="auto"/>
              </w:rPr>
              <w:t>As Restated</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600" w:type="dxa"/>
            <w:vAlign w:val="bottom"/>
            <w:tcBorders>
              <w:top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7,606</w:t>
            </w:r>
          </w:p>
        </w:tc>
      </w:tr>
      <w:tr>
        <w:trPr>
          <w:trHeight w:val="196"/>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(14,064)</w:t>
            </w:r>
          </w:p>
        </w:tc>
      </w:tr>
      <w:tr>
        <w:trPr>
          <w:trHeight w:val="209"/>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(14,665)</w:t>
            </w:r>
          </w:p>
        </w:tc>
      </w:tr>
      <w:tr>
        <w:trPr>
          <w:trHeight w:val="190"/>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loss per share, basic and diluted</w:t>
            </w:r>
          </w:p>
        </w:tc>
        <w:tc>
          <w:tcPr>
            <w:tcW w:w="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(0.86)</w:t>
            </w: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Condensed Statement of Operations</w:t>
            </w:r>
          </w:p>
        </w:tc>
        <w:tc>
          <w:tcPr>
            <w:tcW w:w="600" w:type="dxa"/>
            <w:vAlign w:val="bottom"/>
          </w:tcPr>
          <w:p>
            <w:pPr>
              <w:spacing w:after="0"/>
              <w:rPr>
                <w:sz w:val="14"/>
                <w:szCs w:val="14"/>
                <w:color w:val="auto"/>
              </w:rPr>
            </w:pPr>
          </w:p>
        </w:tc>
        <w:tc>
          <w:tcPr>
            <w:tcW w:w="3200" w:type="dxa"/>
            <w:vAlign w:val="bottom"/>
            <w:gridSpan w:val="6"/>
          </w:tcPr>
          <w:p>
            <w:pPr>
              <w:jc w:val="center"/>
              <w:ind w:left="708"/>
              <w:spacing w:after="0"/>
              <w:rPr>
                <w:sz w:val="20"/>
                <w:szCs w:val="20"/>
                <w:color w:val="auto"/>
              </w:rPr>
            </w:pPr>
            <w:r>
              <w:rPr>
                <w:rFonts w:ascii="Arial" w:cs="Arial" w:eastAsia="Arial" w:hAnsi="Arial"/>
                <w:sz w:val="14"/>
                <w:szCs w:val="14"/>
                <w:b w:val="1"/>
                <w:bCs w:val="1"/>
                <w:color w:val="auto"/>
              </w:rPr>
              <w:t>Six Months Ended June 30, 2022</w:t>
            </w:r>
          </w:p>
        </w:tc>
        <w:tc>
          <w:tcPr>
            <w:tcW w:w="13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6"/>
                <w:szCs w:val="16"/>
                <w:color w:val="auto"/>
              </w:rPr>
            </w:pPr>
          </w:p>
        </w:tc>
        <w:tc>
          <w:tcPr>
            <w:tcW w:w="1360" w:type="dxa"/>
            <w:vAlign w:val="bottom"/>
          </w:tcPr>
          <w:p>
            <w:pPr>
              <w:jc w:val="right"/>
              <w:ind w:right="328"/>
              <w:spacing w:after="0"/>
              <w:rPr>
                <w:sz w:val="20"/>
                <w:szCs w:val="20"/>
                <w:color w:val="auto"/>
              </w:rPr>
            </w:pPr>
            <w:r>
              <w:rPr>
                <w:rFonts w:ascii="Arial" w:cs="Arial" w:eastAsia="Arial" w:hAnsi="Arial"/>
                <w:sz w:val="14"/>
                <w:szCs w:val="14"/>
                <w:b w:val="1"/>
                <w:bCs w:val="1"/>
                <w:color w:val="auto"/>
              </w:rPr>
              <w:t>As Restated</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600" w:type="dxa"/>
            <w:vAlign w:val="bottom"/>
            <w:tcBorders>
              <w:top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19,356</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18,000</w:t>
            </w:r>
          </w:p>
        </w:tc>
      </w:tr>
      <w:tr>
        <w:trPr>
          <w:trHeight w:val="197"/>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(22,387)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(23,743)</w:t>
            </w:r>
          </w:p>
        </w:tc>
      </w:tr>
      <w:tr>
        <w:trPr>
          <w:trHeight w:val="208"/>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(24,937)</w:t>
            </w:r>
          </w:p>
        </w:tc>
      </w:tr>
      <w:tr>
        <w:trPr>
          <w:trHeight w:val="191"/>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loss per share, basic and diluted</w:t>
            </w:r>
          </w:p>
        </w:tc>
        <w:tc>
          <w:tcPr>
            <w:tcW w:w="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(1.46)</w:t>
            </w: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Condensed Statement of Cash Flows</w:t>
            </w:r>
          </w:p>
        </w:tc>
        <w:tc>
          <w:tcPr>
            <w:tcW w:w="600" w:type="dxa"/>
            <w:vAlign w:val="bottom"/>
          </w:tcPr>
          <w:p>
            <w:pPr>
              <w:spacing w:after="0"/>
              <w:rPr>
                <w:sz w:val="14"/>
                <w:szCs w:val="14"/>
                <w:color w:val="auto"/>
              </w:rPr>
            </w:pPr>
          </w:p>
        </w:tc>
        <w:tc>
          <w:tcPr>
            <w:tcW w:w="3200" w:type="dxa"/>
            <w:vAlign w:val="bottom"/>
            <w:gridSpan w:val="6"/>
          </w:tcPr>
          <w:p>
            <w:pPr>
              <w:jc w:val="center"/>
              <w:ind w:left="708"/>
              <w:spacing w:after="0"/>
              <w:rPr>
                <w:sz w:val="20"/>
                <w:szCs w:val="20"/>
                <w:color w:val="auto"/>
              </w:rPr>
            </w:pPr>
            <w:r>
              <w:rPr>
                <w:rFonts w:ascii="Arial" w:cs="Arial" w:eastAsia="Arial" w:hAnsi="Arial"/>
                <w:sz w:val="14"/>
                <w:szCs w:val="14"/>
                <w:b w:val="1"/>
                <w:bCs w:val="1"/>
                <w:color w:val="auto"/>
              </w:rPr>
              <w:t>Six Months Ended June 30, 2022</w:t>
            </w:r>
          </w:p>
        </w:tc>
        <w:tc>
          <w:tcPr>
            <w:tcW w:w="1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6"/>
                <w:szCs w:val="16"/>
                <w:color w:val="auto"/>
              </w:rPr>
            </w:pPr>
          </w:p>
        </w:tc>
        <w:tc>
          <w:tcPr>
            <w:tcW w:w="1360" w:type="dxa"/>
            <w:vAlign w:val="bottom"/>
          </w:tcPr>
          <w:p>
            <w:pPr>
              <w:jc w:val="right"/>
              <w:ind w:right="328"/>
              <w:spacing w:after="0"/>
              <w:rPr>
                <w:sz w:val="20"/>
                <w:szCs w:val="20"/>
                <w:color w:val="auto"/>
              </w:rPr>
            </w:pPr>
            <w:r>
              <w:rPr>
                <w:rFonts w:ascii="Arial" w:cs="Arial" w:eastAsia="Arial" w:hAnsi="Arial"/>
                <w:sz w:val="14"/>
                <w:szCs w:val="14"/>
                <w:b w:val="1"/>
                <w:bCs w:val="1"/>
                <w:color w:val="auto"/>
              </w:rPr>
              <w:t>As Restated</w:t>
            </w: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6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(23,581)</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(24,937)</w:t>
            </w:r>
          </w:p>
        </w:tc>
      </w:tr>
      <w:tr>
        <w:trPr>
          <w:trHeight w:val="208"/>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Changes in assets and liabilities: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939</w:t>
            </w:r>
          </w:p>
        </w:tc>
      </w:tr>
      <w:tr>
        <w:trPr>
          <w:trHeight w:val="208"/>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and other current liabilities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r>
      <w:tr>
        <w:trPr>
          <w:trHeight w:val="190"/>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cash used in operating activities</w:t>
            </w:r>
          </w:p>
        </w:tc>
        <w:tc>
          <w:tcPr>
            <w:tcW w:w="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(19,728)</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accompanying interim condensed balance sheet as of September 30, 2022, the condensed statements of operations and the condensed statements of stockholders' equity for the three and nine months ended September 30, 2022 and 2021, cash flows for the nine months ended September 30, 2022 and 2021 and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9" w:name="page10"/>
    <w:bookmarkEnd w:id="9"/>
    <w:p>
      <w:pPr>
        <w:ind w:right="80"/>
        <w:spacing w:after="0" w:line="251" w:lineRule="auto"/>
        <w:rPr>
          <w:sz w:val="20"/>
          <w:szCs w:val="20"/>
          <w:color w:val="auto"/>
        </w:rPr>
      </w:pPr>
      <w:r>
        <w:rPr>
          <w:rFonts w:ascii="Arial" w:cs="Arial" w:eastAsia="Arial" w:hAnsi="Arial"/>
          <w:sz w:val="18"/>
          <w:szCs w:val="18"/>
          <w:color w:val="auto"/>
        </w:rPr>
        <w:t>related footnote disclosures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normal adjustments, necessary for the fair presentation of the Company's financial position as of September 30, 2022 and its results of operations for the three and nine month periods presented. The results for the nine months ended September 30, 2022 are not necessarily indicative of the results expected for the full fiscal year or any other interim period. The year-end condensed balance sheet data was derived from audited financial statements, but does not include all disclosures required by GAAP. These unaudited condensed financial statements should be read in conjunction with the Company’s audited financial statements for the year ended December 31, 2021, included in its Annual Report on Form 10-K filed with the SEC on March 22, 2022.</w:t>
      </w:r>
    </w:p>
    <w:p>
      <w:pPr>
        <w:spacing w:after="0" w:line="21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2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estimated incremental borrowing rate for the determination of the Company's operating lease right-of-use (ROU) assets, the 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Revenue</w:t>
            </w: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48"/>
        </w:trPr>
        <w:tc>
          <w:tcPr>
            <w:tcW w:w="10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80" w:type="dxa"/>
            <w:vAlign w:val="bottom"/>
            <w:gridSpan w:val="4"/>
          </w:tcPr>
          <w:p>
            <w:pPr>
              <w:jc w:val="center"/>
              <w:ind w:left="348"/>
              <w:spacing w:after="0" w:line="149"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gridSpan w:val="4"/>
          </w:tcPr>
          <w:p>
            <w:pPr>
              <w:jc w:val="center"/>
              <w:ind w:right="308"/>
              <w:spacing w:after="0" w:line="149" w:lineRule="exact"/>
              <w:rPr>
                <w:sz w:val="20"/>
                <w:szCs w:val="20"/>
                <w:color w:val="auto"/>
              </w:rPr>
            </w:pPr>
            <w:r>
              <w:rPr>
                <w:rFonts w:ascii="Arial" w:cs="Arial" w:eastAsia="Arial" w:hAnsi="Arial"/>
                <w:sz w:val="14"/>
                <w:szCs w:val="14"/>
                <w:b w:val="1"/>
                <w:bCs w:val="1"/>
                <w:color w:val="auto"/>
              </w:rPr>
              <w:t>Nine Months Ended</w:t>
            </w:r>
          </w:p>
        </w:tc>
      </w:tr>
      <w:tr>
        <w:trPr>
          <w:trHeight w:val="189"/>
        </w:trPr>
        <w:tc>
          <w:tcPr>
            <w:tcW w:w="10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32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0"/>
        </w:trPr>
        <w:tc>
          <w:tcPr>
            <w:tcW w:w="5700" w:type="dxa"/>
            <w:vAlign w:val="bottom"/>
            <w:tcBorders>
              <w:bottom w:val="single" w:sz="8" w:color="CCEEFF"/>
            </w:tcBorders>
            <w:gridSpan w:val="2"/>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202"/>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97"/>
        </w:trPr>
        <w:tc>
          <w:tcPr>
            <w:tcW w:w="6520" w:type="dxa"/>
            <w:vAlign w:val="bottom"/>
            <w:gridSpan w:val="3"/>
          </w:tcPr>
          <w:p>
            <w:pPr>
              <w:ind w:left="20"/>
              <w:spacing w:after="0"/>
              <w:rPr>
                <w:sz w:val="20"/>
                <w:szCs w:val="20"/>
                <w:color w:val="auto"/>
              </w:rPr>
            </w:pPr>
            <w:r>
              <w:rPr>
                <w:rFonts w:ascii="Arial" w:cs="Arial" w:eastAsia="Arial" w:hAnsi="Arial"/>
                <w:sz w:val="14"/>
                <w:szCs w:val="14"/>
                <w:color w:val="auto"/>
              </w:rPr>
              <w:t>Medicare Advantage</w:t>
            </w:r>
          </w:p>
        </w:tc>
        <w:tc>
          <w:tcPr>
            <w:tcW w:w="460" w:type="dxa"/>
            <w:vAlign w:val="bottom"/>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208"/>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Blue Shield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76"/>
        </w:trPr>
        <w:tc>
          <w:tcPr>
            <w:tcW w:w="1000" w:type="dxa"/>
            <w:vAlign w:val="bottom"/>
            <w:tcBorders>
              <w:bottom w:val="single" w:sz="8" w:color="auto"/>
            </w:tcBorders>
          </w:tcPr>
          <w:p>
            <w:pPr>
              <w:spacing w:after="0"/>
              <w:rPr>
                <w:sz w:val="15"/>
                <w:szCs w:val="15"/>
                <w:color w:val="auto"/>
              </w:rPr>
            </w:pPr>
          </w:p>
        </w:tc>
        <w:tc>
          <w:tcPr>
            <w:tcW w:w="4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150" w:lineRule="exact"/>
        <w:rPr>
          <w:sz w:val="20"/>
          <w:szCs w:val="20"/>
          <w:color w:val="auto"/>
        </w:rPr>
      </w:pPr>
    </w:p>
    <w:p>
      <w:pPr>
        <w:ind w:left="1020" w:hanging="99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334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Accounts Receivable, Net</w:t>
            </w:r>
          </w:p>
        </w:tc>
      </w:tr>
      <w:tr>
        <w:trPr>
          <w:trHeight w:val="412"/>
        </w:trPr>
        <w:tc>
          <w:tcPr>
            <w:tcW w:w="10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16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 2021</w:t>
            </w:r>
          </w:p>
        </w:tc>
      </w:tr>
      <w:tr>
        <w:trPr>
          <w:trHeight w:val="203"/>
        </w:trPr>
        <w:tc>
          <w:tcPr>
            <w:tcW w:w="7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Blue Shield</w:t>
            </w: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08"/>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Healthcare</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162"/>
        </w:trPr>
        <w:tc>
          <w:tcPr>
            <w:tcW w:w="1000" w:type="dxa"/>
            <w:vAlign w:val="bottom"/>
            <w:tcBorders>
              <w:bottom w:val="single" w:sz="8" w:color="auto"/>
            </w:tcBorders>
          </w:tcPr>
          <w:p>
            <w:pPr>
              <w:spacing w:after="0"/>
              <w:rPr>
                <w:sz w:val="14"/>
                <w:szCs w:val="14"/>
                <w:color w:val="auto"/>
              </w:rPr>
            </w:pPr>
          </w:p>
        </w:tc>
        <w:tc>
          <w:tcPr>
            <w:tcW w:w="6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150" w:lineRule="exact"/>
        <w:rPr>
          <w:sz w:val="20"/>
          <w:szCs w:val="20"/>
          <w:color w:val="auto"/>
        </w:rPr>
      </w:pPr>
    </w:p>
    <w:p>
      <w:pPr>
        <w:ind w:left="1020" w:hanging="99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ind w:right="60"/>
        <w:spacing w:after="0" w:line="234" w:lineRule="auto"/>
        <w:rPr>
          <w:sz w:val="20"/>
          <w:szCs w:val="20"/>
          <w:color w:val="auto"/>
        </w:rPr>
      </w:pPr>
      <w:r>
        <w:rPr>
          <w:rFonts w:ascii="Arial" w:cs="Arial" w:eastAsia="Arial" w:hAnsi="Arial"/>
          <w:sz w:val="18"/>
          <w:szCs w:val="18"/>
          <w:color w:val="auto"/>
        </w:rPr>
        <w:t>For the three months ended September 30, 2022 and 2021, approximately 87% and 81%,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nine months ended September 30, 2022 and 2021, approximately 84% and 81%,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September 30, 2022 and 2021, approximately 97% and 95%, respectively, of the Company's diagnostic testing supplies were purchased from two suppliers. For each of the nine months ended September 30, 2022 and 2021, approximately 96% of the Company's diagnostic testing supplies were purchased from two suppliers. An interruption in the supply of these materials would impact the Company's ability to perform testing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32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8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9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88"/>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7"/>
        </w:trPr>
        <w:tc>
          <w:tcPr>
            <w:tcW w:w="490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3,216</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6,910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14,259</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20,318</w:t>
            </w:r>
          </w:p>
        </w:tc>
      </w:tr>
      <w:tr>
        <w:trPr>
          <w:trHeight w:val="208"/>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6,733</w:t>
            </w:r>
          </w:p>
        </w:tc>
      </w:tr>
      <w:tr>
        <w:trPr>
          <w:trHeight w:val="196"/>
        </w:trPr>
        <w:tc>
          <w:tcPr>
            <w:tcW w:w="4900" w:type="dxa"/>
            <w:vAlign w:val="bottom"/>
          </w:tcPr>
          <w:p>
            <w:pPr>
              <w:ind w:left="20"/>
              <w:spacing w:after="0"/>
              <w:rPr>
                <w:sz w:val="20"/>
                <w:szCs w:val="20"/>
                <w:color w:val="auto"/>
              </w:rPr>
            </w:pPr>
            <w:r>
              <w:rPr>
                <w:rFonts w:ascii="Arial" w:cs="Arial" w:eastAsia="Arial" w:hAnsi="Arial"/>
                <w:sz w:val="14"/>
                <w:szCs w:val="14"/>
                <w:color w:val="auto"/>
              </w:rPr>
              <w:t>Client(1)</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2,346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6,738</w:t>
            </w: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15"/>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6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35,610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11" w:lineRule="exact"/>
        <w:rPr>
          <w:rFonts w:ascii="Arial" w:cs="Arial" w:eastAsia="Arial" w:hAnsi="Arial"/>
          <w:sz w:val="14"/>
          <w:szCs w:val="14"/>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Arial" w:cs="Arial" w:eastAsia="Arial" w:hAnsi="Arial"/>
          <w:sz w:val="17"/>
          <w:szCs w:val="17"/>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carrying value of the Company's cash and cash equivalents approximate fair value due to the short-term nature of these items. The estimated fair value of the Company's long-term borrowings are determined by Level 2 inputs and is based primarily on quoted market prices for the same or similar issues. The recorded value of the Company's long-term borrowings approximates the current fair value as the interest rate and other terms are that which are currently available to the Company.</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100" w:hanging="1295"/>
        <w:spacing w:after="0" w:line="256"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connection with it's corporate credit card program, the Company is required to maintain a certificate of deposit of $ 0.2 million and $0.1 million at September 30, 2022 and December 31, 2021, respectively, as collateral for amounts borrowed on the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consist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106,766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99,442</w:t>
            </w:r>
          </w:p>
        </w:tc>
      </w:tr>
      <w:tr>
        <w:trPr>
          <w:trHeight w:val="19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21"/>
        </w:trPr>
        <w:tc>
          <w:tcPr>
            <w:tcW w:w="5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68,904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106,866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long-lived assets are comprised principally of its property and equipment, finite lived intangible assets, and goodwill.</w:t>
      </w:r>
    </w:p>
    <w:p>
      <w:pPr>
        <w:spacing w:after="0" w:line="22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If the Company identifies a change in the circumstances related to its long-lived assets, such as property and equipment and intangible assets (other than goodwill), that indicates the carrying value of any such asset may not be recoverable, the Company will perform an impairment analysis. A long-lived asset (other than goodwill) is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w:t>
      </w:r>
    </w:p>
    <w:p>
      <w:pPr>
        <w:spacing w:after="0" w:line="20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Goodwill is tested for impairment annually (during the fourth quarter) or more frequently if indicators of impairment exist. As the Company operates in a single operating segment and reporting unit, the Company first assesses qualitative factors to determine whether it is more likely than not that the fair value of the reporting unit is less than its carrying amount as a basis for determining whether it is necessary to perform a quantitative assessment. The Company considered the current and expected future economic and market conditions, the current market capitalization and forecasts. The Company determined that it was not more likely than not that the fair value of the reporting unit was less than the carrying value as of September 30, 2022. Therefore, an interim quantitative impairment test was not performed.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payors) consist of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2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2" w:name="page13"/>
    <w:bookmarkEnd w:id="12"/>
    <w:p>
      <w:pPr>
        <w:ind w:right="80"/>
        <w:spacing w:after="0" w:line="251" w:lineRule="auto"/>
        <w:rPr>
          <w:sz w:val="20"/>
          <w:szCs w:val="20"/>
          <w:color w:val="auto"/>
        </w:rPr>
      </w:pPr>
      <w:r>
        <w:rPr>
          <w:rFonts w:ascii="Arial" w:cs="Arial" w:eastAsia="Arial" w:hAnsi="Arial"/>
          <w:sz w:val="18"/>
          <w:szCs w:val="18"/>
          <w:color w:val="auto"/>
        </w:rPr>
        <w:t>experience, insurance reimbursement policies and other factors, to estimate allowances and implicit price concessions, recording adjustments in the current period as changes in estimates occur. Further adjustments to the allowances, based on actual receipts, are recorded upon settlement. Included in revenues for the three months ended September 30, 2022 was a $ 3.7 million revenue increase for tests delivered in a prior period due to the reassessment of the constraint on variable consideration and a $1.9 million net revenue decrease associated with other changes in estimated variable consideration related to performance obligations satisfied in previous periods. Included in revenues for the three months ended September 30, 2021 was a $0.1 million net revenue increase, associated with changes in estimated variable consideration related to performance obligations satisfied in previous periods. Included in revenues for the nine months ended September 30, 2022 and 2021 was a net revenue decrease of $2.5 million and a net revenue increase of $ 0.2 million, respectively, associated with changes in estimated variable consideration related to performance obligations satisfied in previous periods. The transaction price is estimated using an expected value method on a portfolio basis.</w:t>
      </w:r>
    </w:p>
    <w:p>
      <w:pPr>
        <w:spacing w:after="0" w:line="198"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third-party insurance, Medicare,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w:t>
      </w:r>
    </w:p>
    <w:p>
      <w:pPr>
        <w:spacing w:after="0" w:line="4" w:lineRule="exact"/>
        <w:rPr>
          <w:sz w:val="20"/>
          <w:szCs w:val="20"/>
          <w:color w:val="auto"/>
        </w:rPr>
      </w:pPr>
    </w:p>
    <w:p>
      <w:pPr>
        <w:ind w:right="1100"/>
        <w:spacing w:after="0" w:line="235" w:lineRule="auto"/>
        <w:rPr>
          <w:sz w:val="20"/>
          <w:szCs w:val="20"/>
          <w:color w:val="auto"/>
        </w:rPr>
      </w:pPr>
      <w:r>
        <w:rPr>
          <w:rFonts w:ascii="Arial" w:cs="Arial" w:eastAsia="Arial" w:hAnsi="Arial"/>
          <w:sz w:val="18"/>
          <w:szCs w:val="18"/>
          <w:color w:val="auto"/>
        </w:rPr>
        <w:t>billed in error. Any refunds are accounted for as reductions in revenues in the statement of operations as an element of variable consideration. The estimated expected refunds are accrued as a liability on the Company’s balance sheet.</w:t>
      </w:r>
    </w:p>
    <w:p>
      <w:pPr>
        <w:spacing w:after="0" w:line="2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243"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December 2018, the Company entered into a co-promotion agreement (as amended from time to time, the Janssen Agreement) with Janssen Biotech, Inc. (Janssen)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the Company and Janssen mutually agreed to terminate the Janssen Agreement effective on August 31, 2021.</w:t>
      </w:r>
    </w:p>
    <w:p>
      <w:pPr>
        <w:spacing w:after="0" w:line="21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Pursuant to the Janssen Agreement, as amended, the Company was responsible for the costs associated with its sales force over the course of such co-promotion. Janssen was responsible for all other aspects of the commercialization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was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The Company's obligations relating to sales and co-promotion services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a series of single performance obligations since Janssen simultaneously received and consumed benefits provided by the Company's sales and co-promotional services. The method for measuring progress towards satisfying the performance obligations was based on prescribed units in excess of the contractual baseline at the contractual rate earned per unit. The Company recognized no co-promotion revenue and $0.4 million during the three months ended September 30, 2022 and 2021, respectively. The Company recognized no co-promotion revenue and $1.0 million during the nine months ended September 30, 2022 and 2021, respectively. The related expenses for marketing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Upon the termination of the Janssen Agreement on August 31, 2021, the Company became entitled to receive an aggregate of $0.6 million in consideration, which was earned in the year ended December 31, 2021. Pursuant to the terms of the termination, the Company was restricted until May 31, 2022 from promoting any other biologic or Janus kinase inhibitor used for the treatment of indications covered by the Janssen Agreement without first obtaining Janssen's written consent. The restriction no longer applies.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 categorizes leases at their commencement as either operating or finance leases. Effective January 1, 2022 upon the adoption of Accounting Standards Codification (ASC) 842, the Company recognizes operating lease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 w:name="page14"/>
    <w:bookmarkEnd w:id="13"/>
    <w:p>
      <w:pPr>
        <w:ind w:right="120"/>
        <w:spacing w:after="0" w:line="252" w:lineRule="auto"/>
        <w:rPr>
          <w:sz w:val="20"/>
          <w:szCs w:val="20"/>
          <w:color w:val="auto"/>
        </w:rPr>
      </w:pPr>
      <w:r>
        <w:rPr>
          <w:rFonts w:ascii="Arial" w:cs="Arial" w:eastAsia="Arial" w:hAnsi="Arial"/>
          <w:sz w:val="18"/>
          <w:szCs w:val="18"/>
          <w:color w:val="auto"/>
        </w:rPr>
        <w:t>ROU assets and operating lease liabilities for each lease arrangement identified. Lease liabilities are recorded at the present value of future lease payments discounted using the Company's incremental borrowing rate for the lease established at the commencement date and ROU assets are measured at the amount of the lease liability plus any initial direct costs, less any lease incentives received before commencement. Lease expense is recognized as a single lease cost over the lease term on a straight-line basis. The Company has elected not to apply the recognition requirements to short-term leases and not to separate non-lease components from lease components for its leases. See Note 5 for details on the Company's leases.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$1.3 million and $0.6 million for the three months ended September 30, 2022 and 2021, respectively, and $2.2 million and $1.3 million for the nine months ended September 30, 2022 and 2021, respectively, and are included in selling, general and administrative expenses in the accompanying condensed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$ 0.7 million and $0.6 million for the three months ended September 30, 2022 and 2021, respectively, and $2.1 million and $1.6 million for the nine months ended September 30,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are determined using the Black-Scholes-Merton (BSM) option pricing model, which requires management to make certain assumptions regarding a number of complex and subjective variables. Equity award forfeitures are recorded as they occur.</w:t>
      </w:r>
    </w:p>
    <w:p>
      <w:pPr>
        <w:spacing w:after="0" w:line="20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fair value of each restricted stock unit is determined on the grant date using the closing price of the Company's common stock on the grant date and generally vest from the grant date in four equal annual installments subject to the holder's continued service with the Company. The Company issues new shares to satisfy restricted stock units upon vesting.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in 2022 and 2021 used to compute basic and diluted shares includes shares issuable upon the exercise of pre-funded warrants at a nominal price. Potentially dilutive common stock equivalents are comprised of warrants for the purchase of common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 w:name="page15"/>
    <w:bookmarkEnd w:id="14"/>
    <w:p>
      <w:pPr>
        <w:ind w:right="60"/>
        <w:spacing w:after="0" w:line="254" w:lineRule="auto"/>
        <w:rPr>
          <w:sz w:val="20"/>
          <w:szCs w:val="20"/>
          <w:color w:val="auto"/>
        </w:rPr>
      </w:pPr>
      <w:r>
        <w:rPr>
          <w:rFonts w:ascii="Arial" w:cs="Arial" w:eastAsia="Arial" w:hAnsi="Arial"/>
          <w:sz w:val="18"/>
          <w:szCs w:val="18"/>
          <w:color w:val="auto"/>
        </w:rPr>
        <w:t>stock, options, restricted stock units outstanding under the Company's 2019 Incentive Award Plan (the 2019 Plan) and shares of the Company's common stock pursuant to the ESPP. For the three and nine months ended September 30, 2022 and 2021, there is no difference in the number of shares used to calculate basic and diluted shares outstanding, as the inclusion of the potentially dilutive securities would be antidilutive.</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Pr>
          <w:p>
            <w:pPr>
              <w:spacing w:after="0"/>
              <w:rPr>
                <w:sz w:val="17"/>
                <w:szCs w:val="17"/>
                <w:color w:val="auto"/>
              </w:rPr>
            </w:pPr>
          </w:p>
        </w:tc>
        <w:tc>
          <w:tcPr>
            <w:tcW w:w="21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20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409,108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409,108</w:t>
            </w:r>
          </w:p>
        </w:tc>
      </w:tr>
      <w:tr>
        <w:trPr>
          <w:trHeight w:val="196"/>
        </w:trPr>
        <w:tc>
          <w:tcPr>
            <w:tcW w:w="818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480" w:type="dxa"/>
            <w:vAlign w:val="bottom"/>
          </w:tcPr>
          <w:p>
            <w:pPr>
              <w:jc w:val="right"/>
              <w:spacing w:after="0"/>
              <w:rPr>
                <w:sz w:val="20"/>
                <w:szCs w:val="20"/>
                <w:color w:val="auto"/>
              </w:rPr>
            </w:pPr>
            <w:r>
              <w:rPr>
                <w:rFonts w:ascii="Arial" w:cs="Arial" w:eastAsia="Arial" w:hAnsi="Arial"/>
                <w:sz w:val="14"/>
                <w:szCs w:val="14"/>
                <w:color w:val="auto"/>
              </w:rPr>
              <w:t>1,820,555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2,067,057</w:t>
            </w: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805,496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403,100</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4,130</w:t>
            </w:r>
          </w:p>
        </w:tc>
      </w:tr>
      <w:tr>
        <w:trPr>
          <w:trHeight w:val="22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3,052,363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2,883,395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47"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47" w:lineRule="exact"/>
        <w:rPr>
          <w:sz w:val="20"/>
          <w:szCs w:val="20"/>
          <w:color w:val="auto"/>
        </w:rPr>
      </w:pPr>
    </w:p>
    <w:p>
      <w:pPr>
        <w:ind w:right="460"/>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(EGC).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June 2016, the FASB issued Accounting Standards Update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the measurement of expected credit losses for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carried at amortized cost, such as accounts receivable,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In November 2018, the FASB issued ASU 2018-19, </w:t>
      </w:r>
      <w:r>
        <w:rPr>
          <w:rFonts w:ascii="Arial" w:cs="Arial" w:eastAsia="Arial" w:hAnsi="Arial"/>
          <w:sz w:val="18"/>
          <w:szCs w:val="18"/>
          <w:i w:val="1"/>
          <w:iCs w:val="1"/>
          <w:color w:val="auto"/>
        </w:rPr>
        <w:t>Codification Improvements to Topic 326, Financing Instruments-Credit Losses</w:t>
      </w:r>
      <w:r>
        <w:rPr>
          <w:rFonts w:ascii="Arial" w:cs="Arial" w:eastAsia="Arial" w:hAnsi="Arial"/>
          <w:sz w:val="18"/>
          <w:szCs w:val="18"/>
          <w:color w:val="auto"/>
        </w:rPr>
        <w:t>, which included an amendment of the effective date for nonpublic entities. For non-EGCs, ASU 2016-13 is effective for fiscal years beginning after December 15, 2019. For EGCs, the standard was to be effective for fiscal years beginning after December 15, 2021. However, in November 2019, the FASB issued ASU 2019 -10, which included a one-year deferral of the effective date of ASU 2016-13 for certain entities. As a result, the ASU 2016-13 is now effective for EGCs for fiscal years beginning after December 15, 2022, including interim periods within those fiscal years. The Company is currently evaluating the impact of Topic 326 on its condensed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The new topic supersedes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7"/>
          <w:szCs w:val="17"/>
          <w:i w:val="1"/>
          <w:iCs w:val="1"/>
          <w:color w:val="auto"/>
        </w:rPr>
        <w:t>Codification Improvements to Topic</w:t>
      </w:r>
    </w:p>
    <w:p>
      <w:pPr>
        <w:spacing w:after="0" w:line="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842</w:t>
      </w:r>
      <w:r>
        <w:rPr>
          <w:rFonts w:ascii="Arial" w:cs="Arial" w:eastAsia="Arial" w:hAnsi="Arial"/>
          <w:sz w:val="18"/>
          <w:szCs w:val="18"/>
          <w:color w:val="auto"/>
        </w:rPr>
        <w:t>, which provides narrow amendments to clarify how to apply certain aspects of the new lease standard, and ASU 2018-11,</w:t>
      </w:r>
      <w:r>
        <w:rPr>
          <w:rFonts w:ascii="Arial" w:cs="Arial" w:eastAsia="Arial" w:hAnsi="Arial"/>
          <w:sz w:val="18"/>
          <w:szCs w:val="18"/>
          <w:i w:val="1"/>
          <w:iCs w:val="1"/>
          <w:color w:val="auto"/>
        </w:rPr>
        <w:t xml:space="preserve"> Leases: Targeted Improvements</w:t>
      </w:r>
      <w:r>
        <w:rPr>
          <w:rFonts w:ascii="Arial" w:cs="Arial" w:eastAsia="Arial" w:hAnsi="Arial"/>
          <w:sz w:val="18"/>
          <w:szCs w:val="18"/>
          <w:color w:val="auto"/>
        </w:rPr>
        <w:t>, which was issued to provide relief to companies from restating comparative periods. Pursuant to this ASU,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adoption the Company will not restate comparative periods presented in its condensed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 w:name="page16"/>
    <w:bookmarkEnd w:id="15"/>
    <w:p>
      <w:pPr>
        <w:spacing w:after="0" w:line="252" w:lineRule="auto"/>
        <w:rPr>
          <w:sz w:val="20"/>
          <w:szCs w:val="20"/>
          <w:color w:val="auto"/>
        </w:rPr>
      </w:pPr>
      <w:r>
        <w:rPr>
          <w:rFonts w:ascii="Arial" w:cs="Arial" w:eastAsia="Arial" w:hAnsi="Arial"/>
          <w:sz w:val="18"/>
          <w:szCs w:val="18"/>
          <w:color w:val="auto"/>
        </w:rPr>
        <w:t xml:space="preserve">financial statements. On January 1, 2022, the Company adopted ASU 2016-12 using the modified retrospective transition method. Periods prior to January 1, 2022 have not been restated for the adoption of ASC 842 and continue to reflect the accounting treatment of leases in accordance with the prior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The Company adopted the new lease standard using a cumulative effect to accumulated deficit and there was no impact to accumulated deficit upon adoption. The Company elected the package of practical expedients, which among other things allowed the Company to carry forward its historical lease classification. As part of the adoption, the Company recorded operating lease liabilities of $6.4 million, operating lease ROU assets of $5.9 million, adjusted for deferred rent and lease incentive obligations of $0.5 million previously included in other non-current liabilities and accrued and other current liabilities, pertaining to its office and laboratory space operating leases. See Note 5 for details on the Company's leases.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r>
      <w:tr>
        <w:trPr>
          <w:trHeight w:val="19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4,361</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1,151</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w:t>
            </w: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13,238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8,656</w:t>
            </w:r>
          </w:p>
        </w:tc>
      </w:tr>
      <w:tr>
        <w:trPr>
          <w:trHeight w:val="209"/>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(3,884)</w:t>
            </w: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8,331</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4,772</w:t>
            </w:r>
          </w:p>
        </w:tc>
      </w:tr>
      <w:tr>
        <w:trPr>
          <w:trHeight w:val="27"/>
        </w:trPr>
        <w:tc>
          <w:tcPr>
            <w:tcW w:w="7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Depreciation and amortization expense for the three months ended September 30, 2022 and 2021 was approximately $ 0.4 million and $0.3 million, respectively, and for the nine months ended September 30, 2022 and 2021, was approximately $1.0 million and $0.7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Finance lease obligations, current portion</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Refund liability</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w:t>
            </w: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The 2017 Term Loan was subsequently amended in November 2019 and November 2021. As of September 30, 2022, no additional amounts remain available to borrow under the 2017 Term Loan.</w:t>
      </w:r>
    </w:p>
    <w:p>
      <w:pPr>
        <w:spacing w:after="0" w:line="20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In November 2021, the Company executed the Second Amendment to the Loan and Security Agreement (the 2017 Loan Amendment). The interest rate on all borrowings under the 2017 Loan Amendment is 8.0%, of which 2.0% is paid in-kind in the form of additional term loans (PIK Loans) until December of 2024, after which interest accrues at an annual rate of 8.0%. The Company has estimated the effective interest rate of this loan to be approximately 8.5%. Accrued interest is due and payable monthly, unless the Company elects to pay paid-in-kind interest. The outstanding principal and accrued interest on the 2017 Loan Amendment will be repaid in twenty-four equal monthly installments commencing in December 2024. Upon repayment of the final installment under the 2017 Loan Amendment, the Company is required to pay an additional fee of $1.0 million. This obligation is being accreted into interest expense over the term of the 2017 Loan Amendment using the effective interest method. For each of the three months ended September 30, 2022 and 2021, the Company issued PIK Loans totaling $0.1 million. For each of the nine months ended September 30, 2022 and 2021, the Company issued PIK Loans totaling $0.4 million.</w:t>
      </w:r>
    </w:p>
    <w:p>
      <w:pPr>
        <w:spacing w:after="0" w:line="21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2017 Loan Amendment requires a prepayment premium of 3% of the aggregate outstanding principal. The prepayment premium decreases by 1% on November 1, 2022, 2023 and 2024.</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2017 Loan Amendment is collateralized by a first priority security interest in substantially all of the Company's assets, including intellectual property. The affirmative covenants of the 2017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affirmative covenants require that the Company achieve a specified level of revenue, as measured quarterly on a rolling twelve-month basis, and commencing with the quarter ending December 31, 2022. The consequences of failing to achieve the performance covenant may be cured if, within sixty days of failing to achieve the performance covenant, the Company issues additional equity securities or subordinated debt with net proceeds sufficient to fund any cash flow deficiency generated from operations, as defined. The 2017 Loan Amendment requires that the Company maintain certain levels of minimum liquidity and maintains an unrestricted cash balance of $2.0 million.</w:t>
      </w:r>
    </w:p>
    <w:p>
      <w:pPr>
        <w:spacing w:after="0" w:line="19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17" w:name="page18"/>
    <w:bookmarkEnd w:id="17"/>
    <w:p>
      <w:pPr>
        <w:ind w:right="100"/>
        <w:spacing w:after="0" w:line="252" w:lineRule="auto"/>
        <w:rPr>
          <w:sz w:val="20"/>
          <w:szCs w:val="20"/>
          <w:color w:val="auto"/>
        </w:rPr>
      </w:pPr>
      <w:r>
        <w:rPr>
          <w:rFonts w:ascii="Arial" w:cs="Arial" w:eastAsia="Arial" w:hAnsi="Arial"/>
          <w:sz w:val="18"/>
          <w:szCs w:val="18"/>
          <w:color w:val="auto"/>
        </w:rPr>
        <w:t>acquisitions, incur additional indebtedness or encumber any of the Company's property, pay dividends on the Company's capital stock or make prohibited investments. The 2017 Loan Amendment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Company was in compliance with all covenants of the 2017 Loan Amendment.</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Upon an event of default in any of the 2017 Loan Amendment covenants, the repayment of the 2017 Loan Amendment may be accelerated, and the applicable interest rate will be increased by 4.0% until the default is cured. Although repayment of the 2017 Loan Amendment can be accelerated under certain circumstances, the Company believes acceleration of this loan is not probable as of the date of these condensed financial statements. Accordingly, the Company has reflected the amounts of the 2017 Loan Amendment due beyond twelve months of the balance sheet date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4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As of September 30, 2022, future minimum aggregate payments, including interest, for outstanding borrowings under the 2017 Loan Amendment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(remaining)</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r>
      <w:tr>
        <w:trPr>
          <w:trHeight w:val="196"/>
        </w:trPr>
        <w:tc>
          <w:tcPr>
            <w:tcW w:w="9440" w:type="dxa"/>
            <w:vAlign w:val="bottom"/>
          </w:tcPr>
          <w:p>
            <w:pPr>
              <w:ind w:left="20"/>
              <w:spacing w:after="0"/>
              <w:rPr>
                <w:sz w:val="20"/>
                <w:szCs w:val="20"/>
                <w:color w:val="auto"/>
              </w:rPr>
            </w:pPr>
            <w:r>
              <w:rPr>
                <w:rFonts w:ascii="Arial" w:cs="Arial" w:eastAsia="Arial" w:hAnsi="Arial"/>
                <w:sz w:val="14"/>
                <w:szCs w:val="14"/>
                <w:color w:val="auto"/>
              </w:rPr>
              <w:t>2023</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1,686</w:t>
            </w:r>
          </w:p>
        </w:tc>
      </w:tr>
      <w:tr>
        <w:trPr>
          <w:trHeight w:val="20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w:t>
            </w:r>
          </w:p>
        </w:tc>
      </w:tr>
      <w:tr>
        <w:trPr>
          <w:trHeight w:val="196"/>
        </w:trPr>
        <w:tc>
          <w:tcPr>
            <w:tcW w:w="9440" w:type="dxa"/>
            <w:vAlign w:val="bottom"/>
          </w:tcPr>
          <w:p>
            <w:pPr>
              <w:ind w:left="20"/>
              <w:spacing w:after="0"/>
              <w:rPr>
                <w:sz w:val="20"/>
                <w:szCs w:val="20"/>
                <w:color w:val="auto"/>
              </w:rPr>
            </w:pPr>
            <w:r>
              <w:rPr>
                <w:rFonts w:ascii="Arial" w:cs="Arial" w:eastAsia="Arial" w:hAnsi="Arial"/>
                <w:sz w:val="14"/>
                <w:szCs w:val="14"/>
                <w:color w:val="auto"/>
              </w:rPr>
              <w:t>2025</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16,152</w:t>
            </w:r>
          </w:p>
        </w:tc>
      </w:tr>
      <w:tr>
        <w:trPr>
          <w:trHeight w:val="20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14,786</w:t>
            </w:r>
          </w:p>
        </w:tc>
      </w:tr>
      <w:tr>
        <w:trPr>
          <w:trHeight w:val="190"/>
        </w:trPr>
        <w:tc>
          <w:tcPr>
            <w:tcW w:w="9440" w:type="dxa"/>
            <w:vAlign w:val="bottom"/>
          </w:tcPr>
          <w:p>
            <w:pPr>
              <w:ind w:left="360"/>
              <w:spacing w:after="0"/>
              <w:rPr>
                <w:sz w:val="20"/>
                <w:szCs w:val="20"/>
                <w:color w:val="auto"/>
              </w:rPr>
            </w:pPr>
            <w:r>
              <w:rPr>
                <w:rFonts w:ascii="Arial" w:cs="Arial" w:eastAsia="Arial" w:hAnsi="Arial"/>
                <w:sz w:val="14"/>
                <w:szCs w:val="14"/>
                <w:color w:val="auto"/>
              </w:rPr>
              <w:t>Total</w:t>
            </w: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36,024</w:t>
            </w:r>
          </w:p>
        </w:tc>
      </w:tr>
      <w:tr>
        <w:trPr>
          <w:trHeight w:val="208"/>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7"/>
        </w:trPr>
        <w:tc>
          <w:tcPr>
            <w:tcW w:w="9440" w:type="dxa"/>
            <w:vAlign w:val="bottom"/>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208"/>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7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(7,846)</w:t>
            </w:r>
          </w:p>
        </w:tc>
      </w:tr>
      <w:tr>
        <w:trPr>
          <w:trHeight w:val="190"/>
        </w:trPr>
        <w:tc>
          <w:tcPr>
            <w:tcW w:w="9440" w:type="dxa"/>
            <w:vAlign w:val="bottom"/>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28,008</w:t>
            </w:r>
          </w:p>
        </w:tc>
      </w:tr>
      <w:tr>
        <w:trPr>
          <w:trHeight w:val="26"/>
        </w:trPr>
        <w:tc>
          <w:tcPr>
            <w:tcW w:w="9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2022. Prior period amounts have not been adjusted and continue to be reported in accordance with the Company's historic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Company leases office and laboratory spaces in Vista, California, under leases that expire in April 2027, with an option to extend portions of the leases for additional 5-year periods. The Company has not included the optional renewal periods in the measurement of the lease liabilities because it is not reasonably certain that the Company will exercise these renewal options. The Company's lease payments under each of these leases are subject to escalation clauses.</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on August 23, 2021, the Company entered into a sub-lease agreement for an additional office space in Carlsbad, California. The sub-lease commenced in October 2021 and expires in April 2027. The sub-lease agreement provides for monthly base rent of $66,021 which began on October 1, 2021, and such amount shall increase by approximately 3% annually beginning October 1, 2022. The Company is entitled to base rent abatement for a specified period of time which began on November 1, 2021.</w:t>
      </w:r>
    </w:p>
    <w:p>
      <w:pPr>
        <w:spacing w:after="0" w:line="204"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The Company determines if a contract contains a lease at inception or modification of a contract. The Company discounts their lease obligations using its incremental borrowing rate at the commencement date. The incremental borrowing rate is the rate of interest the Company would have to pay to borrow on a collateralized basis over 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ind w:right="100"/>
        <w:spacing w:after="0" w:line="261" w:lineRule="auto"/>
        <w:rPr>
          <w:sz w:val="20"/>
          <w:szCs w:val="20"/>
          <w:color w:val="auto"/>
        </w:rPr>
      </w:pPr>
      <w:r>
        <w:rPr>
          <w:rFonts w:ascii="Arial" w:cs="Arial" w:eastAsia="Arial" w:hAnsi="Arial"/>
          <w:sz w:val="18"/>
          <w:szCs w:val="18"/>
          <w:color w:val="auto"/>
        </w:rPr>
        <w:t>similar term and amount equal to the lease payments in a similar economic environment. The Company primarily considers industry data, its credit rating and the lease term to determine its incremental borrowing 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Company has entered into various finance lease agreements to obtain laboratory equipment. The terms of the Company's finance leases generally range from three to five years and are typically secured by the underlying equipment. The portion of the future payments designated as principal repayments were classified as finance lease liabilities on the Company's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Finance Leases Balances and Costs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finance leases consist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Lease Balance</w:t>
            </w:r>
          </w:p>
        </w:tc>
        <w:tc>
          <w:tcPr>
            <w:tcW w:w="160" w:type="dxa"/>
            <w:vAlign w:val="bottom"/>
            <w:tcBorders>
              <w:bottom w:val="single" w:sz="8" w:color="CCEEFF"/>
            </w:tcBorders>
          </w:tcPr>
          <w:p>
            <w:pPr>
              <w:spacing w:after="0"/>
              <w:rPr>
                <w:sz w:val="17"/>
                <w:szCs w:val="17"/>
                <w:color w:val="auto"/>
              </w:rPr>
            </w:pPr>
          </w:p>
        </w:tc>
        <w:tc>
          <w:tcPr>
            <w:tcW w:w="576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Classification</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September 30, 2022</w:t>
            </w:r>
          </w:p>
        </w:tc>
      </w:tr>
      <w:tr>
        <w:trPr>
          <w:trHeight w:val="202"/>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Assets</w:t>
            </w:r>
          </w:p>
        </w:tc>
        <w:tc>
          <w:tcPr>
            <w:tcW w:w="5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197"/>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592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5,114</w:t>
            </w:r>
          </w:p>
        </w:tc>
      </w:tr>
      <w:tr>
        <w:trPr>
          <w:trHeight w:val="208"/>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w:t>
            </w:r>
          </w:p>
        </w:tc>
      </w:tr>
      <w:tr>
        <w:trPr>
          <w:trHeight w:val="270"/>
        </w:trPr>
        <w:tc>
          <w:tcPr>
            <w:tcW w:w="2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5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197"/>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5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8"/>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w:t>
            </w: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r>
      <w:tr>
        <w:trPr>
          <w:trHeight w:val="197"/>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Finance</w:t>
            </w:r>
          </w:p>
        </w:tc>
        <w:tc>
          <w:tcPr>
            <w:tcW w:w="5920" w:type="dxa"/>
            <w:vAlign w:val="bottom"/>
            <w:gridSpan w:val="2"/>
          </w:tcPr>
          <w:p>
            <w:pPr>
              <w:ind w:left="2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730</w:t>
            </w:r>
          </w:p>
        </w:tc>
      </w:tr>
      <w:tr>
        <w:trPr>
          <w:trHeight w:val="208"/>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Non-current</w:t>
            </w:r>
          </w:p>
        </w:tc>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197"/>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5920" w:type="dxa"/>
            <w:vAlign w:val="bottom"/>
            <w:gridSpan w:val="2"/>
          </w:tcPr>
          <w:p>
            <w:pPr>
              <w:ind w:left="20"/>
              <w:spacing w:after="0"/>
              <w:rPr>
                <w:sz w:val="20"/>
                <w:szCs w:val="20"/>
                <w:color w:val="auto"/>
              </w:rPr>
            </w:pPr>
            <w:r>
              <w:rPr>
                <w:rFonts w:ascii="Arial" w:cs="Arial" w:eastAsia="Arial" w:hAnsi="Arial"/>
                <w:sz w:val="14"/>
                <w:szCs w:val="14"/>
                <w:color w:val="auto"/>
              </w:rPr>
              <w:t>Non-current operating lease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4,766</w:t>
            </w:r>
          </w:p>
        </w:tc>
      </w:tr>
      <w:tr>
        <w:trPr>
          <w:trHeight w:val="208"/>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 Company's leases were included in the statements of operations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Cost</w:t>
            </w:r>
          </w:p>
        </w:tc>
        <w:tc>
          <w:tcPr>
            <w:tcW w:w="200" w:type="dxa"/>
            <w:vAlign w:val="bottom"/>
            <w:vMerge w:val="restart"/>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 September</w:t>
            </w:r>
          </w:p>
        </w:tc>
        <w:tc>
          <w:tcPr>
            <w:tcW w:w="0" w:type="dxa"/>
            <w:vAlign w:val="bottom"/>
          </w:tcPr>
          <w:p>
            <w:pPr>
              <w:spacing w:after="0"/>
              <w:rPr>
                <w:sz w:val="1"/>
                <w:szCs w:val="1"/>
                <w:color w:val="auto"/>
              </w:rPr>
            </w:pPr>
          </w:p>
        </w:tc>
      </w:tr>
      <w:tr>
        <w:trPr>
          <w:trHeight w:val="189"/>
        </w:trPr>
        <w:tc>
          <w:tcPr>
            <w:tcW w:w="63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September 30, 2022</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30, 2022</w:t>
            </w: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Operating lease cost</w:t>
            </w:r>
            <w:r>
              <w:rPr>
                <w:rFonts w:ascii="Arial" w:cs="Arial" w:eastAsia="Arial" w:hAnsi="Arial"/>
                <w:sz w:val="18"/>
                <w:szCs w:val="18"/>
                <w:color w:val="auto"/>
                <w:vertAlign w:val="superscript"/>
              </w:rPr>
              <w:t>(1)</w:t>
            </w:r>
          </w:p>
        </w:tc>
        <w:tc>
          <w:tcPr>
            <w:tcW w:w="1880" w:type="dxa"/>
            <w:vAlign w:val="bottom"/>
          </w:tcPr>
          <w:p>
            <w:pPr>
              <w:jc w:val="right"/>
              <w:ind w:right="170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2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1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ind w:left="240"/>
              <w:spacing w:after="0"/>
              <w:rPr>
                <w:sz w:val="20"/>
                <w:szCs w:val="20"/>
                <w:color w:val="auto"/>
              </w:rPr>
            </w:pPr>
            <w:r>
              <w:rPr>
                <w:rFonts w:ascii="Arial" w:cs="Arial" w:eastAsia="Arial" w:hAnsi="Arial"/>
                <w:sz w:val="14"/>
                <w:szCs w:val="14"/>
                <w:color w:val="auto"/>
              </w:rPr>
              <w:t>Amortization of lease assets</w:t>
            </w:r>
          </w:p>
        </w:tc>
        <w:tc>
          <w:tcPr>
            <w:tcW w:w="188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on finance lease liabilities</w:t>
            </w:r>
          </w:p>
        </w:tc>
        <w:tc>
          <w:tcPr>
            <w:tcW w:w="18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2"/>
        </w:trPr>
        <w:tc>
          <w:tcPr>
            <w:tcW w:w="6560" w:type="dxa"/>
            <w:vAlign w:val="bottom"/>
            <w:gridSpan w:val="2"/>
          </w:tcPr>
          <w:p>
            <w:pPr>
              <w:ind w:left="240"/>
              <w:spacing w:after="0"/>
              <w:rPr>
                <w:sz w:val="20"/>
                <w:szCs w:val="20"/>
                <w:color w:val="auto"/>
              </w:rPr>
            </w:pPr>
            <w:r>
              <w:rPr>
                <w:rFonts w:ascii="Arial" w:cs="Arial" w:eastAsia="Arial" w:hAnsi="Arial"/>
                <w:sz w:val="14"/>
                <w:szCs w:val="14"/>
                <w:color w:val="auto"/>
              </w:rPr>
              <w:t>Total lease cost</w:t>
            </w:r>
          </w:p>
        </w:tc>
        <w:tc>
          <w:tcPr>
            <w:tcW w:w="1880" w:type="dxa"/>
            <w:vAlign w:val="bottom"/>
            <w:tcBorders>
              <w:bottom w:val="single" w:sz="8" w:color="auto"/>
            </w:tcBorders>
          </w:tcPr>
          <w:p>
            <w:pPr>
              <w:jc w:val="right"/>
              <w:ind w:right="1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578</w:t>
            </w:r>
          </w:p>
        </w:tc>
        <w:tc>
          <w:tcPr>
            <w:tcW w:w="2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(1) Includes variable lease cost of $41,000 and $124,000 for the three and nine months ended September 30, 2022,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on leases is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Nine months ended September 30, 2022</w:t>
            </w:r>
          </w:p>
        </w:tc>
      </w:tr>
      <w:tr>
        <w:trPr>
          <w:trHeight w:val="202"/>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cash out flows from operating leases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r>
      <w:tr>
        <w:trPr>
          <w:trHeight w:val="197"/>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Operating cash out flows from interest paid on finance leases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3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cash out flows from finance leases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weighted-average lease term and weighted average discount rate are as follows: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7480" w:type="dxa"/>
            <w:vAlign w:val="bottom"/>
            <w:tcBorders>
              <w:bottom w:val="single" w:sz="8" w:color="CCEEFF"/>
            </w:tcBorders>
          </w:tcPr>
          <w:p>
            <w:pPr>
              <w:spacing w:after="0"/>
              <w:rPr>
                <w:sz w:val="17"/>
                <w:szCs w:val="17"/>
                <w:color w:val="auto"/>
              </w:rPr>
            </w:pPr>
          </w:p>
        </w:tc>
        <w:tc>
          <w:tcPr>
            <w:tcW w:w="376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rPr>
              <w:t>September 30, 2022</w:t>
            </w:r>
          </w:p>
        </w:tc>
      </w:tr>
      <w:tr>
        <w:trPr>
          <w:trHeight w:val="189"/>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3760" w:type="dxa"/>
            <w:vAlign w:val="bottom"/>
            <w:shd w:val="clear" w:color="auto" w:fill="CCEEFF"/>
          </w:tcPr>
          <w:p>
            <w:pPr>
              <w:spacing w:after="0"/>
              <w:rPr>
                <w:sz w:val="16"/>
                <w:szCs w:val="16"/>
                <w:color w:val="auto"/>
              </w:rPr>
            </w:pPr>
          </w:p>
        </w:tc>
      </w:tr>
      <w:tr>
        <w:trPr>
          <w:trHeight w:val="196"/>
        </w:trPr>
        <w:tc>
          <w:tcPr>
            <w:tcW w:w="7480" w:type="dxa"/>
            <w:vAlign w:val="bottom"/>
          </w:tcPr>
          <w:p>
            <w:pPr>
              <w:ind w:left="240"/>
              <w:spacing w:after="0"/>
              <w:rPr>
                <w:sz w:val="20"/>
                <w:szCs w:val="20"/>
                <w:color w:val="auto"/>
              </w:rPr>
            </w:pPr>
            <w:r>
              <w:rPr>
                <w:rFonts w:ascii="Arial" w:cs="Arial" w:eastAsia="Arial" w:hAnsi="Arial"/>
                <w:sz w:val="14"/>
                <w:szCs w:val="14"/>
                <w:color w:val="auto"/>
              </w:rPr>
              <w:t>Operating leases</w:t>
            </w:r>
          </w:p>
        </w:tc>
        <w:tc>
          <w:tcPr>
            <w:tcW w:w="37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8"/>
        </w:trPr>
        <w:tc>
          <w:tcPr>
            <w:tcW w:w="7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Finance leases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r>
      <w:tr>
        <w:trPr>
          <w:trHeight w:val="197"/>
        </w:trPr>
        <w:tc>
          <w:tcPr>
            <w:tcW w:w="748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3760" w:type="dxa"/>
            <w:vAlign w:val="bottom"/>
          </w:tcPr>
          <w:p>
            <w:pPr>
              <w:spacing w:after="0"/>
              <w:rPr>
                <w:sz w:val="17"/>
                <w:szCs w:val="17"/>
                <w:color w:val="auto"/>
              </w:rPr>
            </w:pPr>
          </w:p>
        </w:tc>
      </w:tr>
      <w:tr>
        <w:trPr>
          <w:trHeight w:val="208"/>
        </w:trPr>
        <w:tc>
          <w:tcPr>
            <w:tcW w:w="7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191"/>
        </w:trPr>
        <w:tc>
          <w:tcPr>
            <w:tcW w:w="7480" w:type="dxa"/>
            <w:vAlign w:val="bottom"/>
          </w:tcPr>
          <w:p>
            <w:pPr>
              <w:ind w:left="240"/>
              <w:spacing w:after="0"/>
              <w:rPr>
                <w:sz w:val="20"/>
                <w:szCs w:val="20"/>
                <w:color w:val="auto"/>
              </w:rPr>
            </w:pPr>
            <w:r>
              <w:rPr>
                <w:rFonts w:ascii="Arial" w:cs="Arial" w:eastAsia="Arial" w:hAnsi="Arial"/>
                <w:sz w:val="14"/>
                <w:szCs w:val="14"/>
                <w:color w:val="auto"/>
              </w:rPr>
              <w:t>Finance leases</w:t>
            </w:r>
          </w:p>
        </w:tc>
        <w:tc>
          <w:tcPr>
            <w:tcW w:w="3760" w:type="dxa"/>
            <w:vAlign w:val="bottom"/>
          </w:tcPr>
          <w:p>
            <w:pPr>
              <w:jc w:val="right"/>
              <w:spacing w:after="0"/>
              <w:rPr>
                <w:sz w:val="20"/>
                <w:szCs w:val="20"/>
                <w:color w:val="auto"/>
              </w:rPr>
            </w:pPr>
            <w:r>
              <w:rPr>
                <w:rFonts w:ascii="Arial" w:cs="Arial" w:eastAsia="Arial" w:hAnsi="Arial"/>
                <w:sz w:val="14"/>
                <w:szCs w:val="14"/>
                <w:color w:val="auto"/>
              </w:rPr>
              <w:t>5.3 %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under operating and finance leases as of September 30, 2022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Finance Leases</w:t>
            </w:r>
          </w:p>
        </w:tc>
      </w:tr>
      <w:tr>
        <w:trPr>
          <w:trHeight w:val="202"/>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(remaining)</w:t>
            </w:r>
          </w:p>
        </w:tc>
        <w:tc>
          <w:tcPr>
            <w:tcW w:w="1740" w:type="dxa"/>
            <w:vAlign w:val="bottom"/>
            <w:shd w:val="clear" w:color="auto" w:fill="CCEEFF"/>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r>
      <w:tr>
        <w:trPr>
          <w:trHeight w:val="196"/>
        </w:trPr>
        <w:tc>
          <w:tcPr>
            <w:tcW w:w="6560" w:type="dxa"/>
            <w:vAlign w:val="bottom"/>
          </w:tcPr>
          <w:p>
            <w:pPr>
              <w:ind w:left="20"/>
              <w:spacing w:after="0"/>
              <w:rPr>
                <w:sz w:val="20"/>
                <w:szCs w:val="20"/>
                <w:color w:val="auto"/>
              </w:rPr>
            </w:pPr>
            <w:r>
              <w:rPr>
                <w:rFonts w:ascii="Arial" w:cs="Arial" w:eastAsia="Arial" w:hAnsi="Arial"/>
                <w:sz w:val="14"/>
                <w:szCs w:val="14"/>
                <w:color w:val="auto"/>
              </w:rPr>
              <w:t>2023</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1,446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827</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r>
      <w:tr>
        <w:trPr>
          <w:trHeight w:val="196"/>
        </w:trPr>
        <w:tc>
          <w:tcPr>
            <w:tcW w:w="6560" w:type="dxa"/>
            <w:vAlign w:val="bottom"/>
          </w:tcPr>
          <w:p>
            <w:pPr>
              <w:ind w:left="20"/>
              <w:spacing w:after="0"/>
              <w:rPr>
                <w:sz w:val="20"/>
                <w:szCs w:val="20"/>
                <w:color w:val="auto"/>
              </w:rPr>
            </w:pPr>
            <w:r>
              <w:rPr>
                <w:rFonts w:ascii="Arial" w:cs="Arial" w:eastAsia="Arial" w:hAnsi="Arial"/>
                <w:sz w:val="14"/>
                <w:szCs w:val="14"/>
                <w:color w:val="auto"/>
              </w:rPr>
              <w:t>2025</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1,533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19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02"/>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r>
      <w:tr>
        <w:trPr>
          <w:trHeight w:val="197"/>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imputed interest</w:t>
            </w:r>
          </w:p>
        </w:tc>
        <w:tc>
          <w:tcPr>
            <w:tcW w:w="1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(1,172)</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r>
      <w:tr>
        <w:trPr>
          <w:trHeight w:val="202"/>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lease liabilities</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5,775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r>
      <w:tr>
        <w:trPr>
          <w:trHeight w:val="197"/>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current portion</w:t>
            </w:r>
          </w:p>
        </w:tc>
        <w:tc>
          <w:tcPr>
            <w:tcW w:w="1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(1,009)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r>
      <w:tr>
        <w:trPr>
          <w:trHeight w:val="227"/>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Lease obligations, net of current portion</w:t>
            </w:r>
          </w:p>
        </w:tc>
        <w:tc>
          <w:tcPr>
            <w:tcW w:w="1740" w:type="dxa"/>
            <w:vAlign w:val="bottom"/>
            <w:tcBorders>
              <w:bottom w:val="single" w:sz="8" w:color="auto"/>
            </w:tcBorders>
            <w:shd w:val="clear" w:color="auto" w:fill="CCEEFF"/>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4,766</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Under ASC 840</w:t>
      </w:r>
    </w:p>
    <w:p>
      <w:pPr>
        <w:spacing w:after="0" w:line="247"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Minimum annual lease payments under non-cancelable operating lease arrangements as of December 31, 2021 are as follows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8"/>
                <w:szCs w:val="18"/>
                <w:color w:val="auto"/>
              </w:rPr>
            </w:pPr>
          </w:p>
        </w:tc>
        <w:tc>
          <w:tcPr>
            <w:tcW w:w="1940" w:type="dxa"/>
            <w:vAlign w:val="bottom"/>
          </w:tcPr>
          <w:p>
            <w:pPr>
              <w:jc w:val="right"/>
              <w:ind w:right="448"/>
              <w:spacing w:after="0"/>
              <w:rPr>
                <w:sz w:val="20"/>
                <w:szCs w:val="20"/>
                <w:color w:val="auto"/>
              </w:rPr>
            </w:pPr>
            <w:r>
              <w:rPr>
                <w:rFonts w:ascii="Arial" w:cs="Arial" w:eastAsia="Arial" w:hAnsi="Arial"/>
                <w:sz w:val="14"/>
                <w:szCs w:val="14"/>
                <w:b w:val="1"/>
                <w:bCs w:val="1"/>
                <w:color w:val="auto"/>
              </w:rPr>
              <w:t>Operating Leases</w:t>
            </w:r>
          </w:p>
        </w:tc>
      </w:tr>
      <w:tr>
        <w:trPr>
          <w:trHeight w:val="202"/>
        </w:trPr>
        <w:tc>
          <w:tcPr>
            <w:tcW w:w="8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1,337</w:t>
            </w:r>
          </w:p>
        </w:tc>
      </w:tr>
      <w:tr>
        <w:trPr>
          <w:trHeight w:val="197"/>
        </w:trPr>
        <w:tc>
          <w:tcPr>
            <w:tcW w:w="8760" w:type="dxa"/>
            <w:vAlign w:val="bottom"/>
          </w:tcPr>
          <w:p>
            <w:pPr>
              <w:ind w:left="20"/>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1,445</w:t>
            </w:r>
          </w:p>
        </w:tc>
      </w:tr>
      <w:tr>
        <w:trPr>
          <w:trHeight w:val="208"/>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r>
      <w:tr>
        <w:trPr>
          <w:trHeight w:val="197"/>
        </w:trPr>
        <w:tc>
          <w:tcPr>
            <w:tcW w:w="8760" w:type="dxa"/>
            <w:vAlign w:val="bottom"/>
          </w:tcPr>
          <w:p>
            <w:pPr>
              <w:ind w:left="20"/>
              <w:spacing w:after="0"/>
              <w:rPr>
                <w:sz w:val="20"/>
                <w:szCs w:val="20"/>
                <w:color w:val="auto"/>
              </w:rPr>
            </w:pPr>
            <w:r>
              <w:rPr>
                <w:rFonts w:ascii="Arial" w:cs="Arial" w:eastAsia="Arial" w:hAnsi="Arial"/>
                <w:sz w:val="14"/>
                <w:szCs w:val="14"/>
                <w:color w:val="auto"/>
              </w:rPr>
              <w:t>2025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1,533</w:t>
            </w:r>
          </w:p>
        </w:tc>
      </w:tr>
      <w:tr>
        <w:trPr>
          <w:trHeight w:val="208"/>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w:t>
            </w:r>
          </w:p>
        </w:tc>
      </w:tr>
      <w:tr>
        <w:trPr>
          <w:trHeight w:val="197"/>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r>
      <w:tr>
        <w:trPr>
          <w:trHeight w:val="227"/>
        </w:trPr>
        <w:tc>
          <w:tcPr>
            <w:tcW w:w="9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7,927</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2021, rent expense was $0.2 million and $0.5 million, respectively.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47"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In connection with the acquisition of the medical diagnostics division of Royalty Pharma Collection Trust (Royalty Pharma) (formerly known as Cypress Bioscience, Inc.) in 2010, the Company was required to pay certain amounts in the event that certain revenue milestones were achieved and upon the first commercial sale of a product associated with this acquisition, for which the obligations no longer exist.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0" w:name="page21"/>
    <w:bookmarkEnd w:id="20"/>
    <w:p>
      <w:pPr>
        <w:jc w:val="both"/>
        <w:ind w:right="100"/>
        <w:spacing w:after="0" w:line="256" w:lineRule="auto"/>
        <w:rPr>
          <w:sz w:val="20"/>
          <w:szCs w:val="20"/>
          <w:color w:val="auto"/>
        </w:rPr>
      </w:pPr>
      <w:r>
        <w:rPr>
          <w:rFonts w:ascii="Arial" w:cs="Arial" w:eastAsia="Arial" w:hAnsi="Arial"/>
          <w:sz w:val="18"/>
          <w:szCs w:val="18"/>
          <w:color w:val="auto"/>
        </w:rPr>
        <w:t>In addition, the Company has ongoing royalty payment obligations with Royalty Pharma of 2.5% on net sales of products which incorporate certain acquired technologies. Future royalties payable under these arrangements are limited to the lesser of (i) an aggregate of $1.2 million (including an upfront payment of $0.1 million) and (ii)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ranging from 1.5% to 7.0% on net sales of products which incorporate licensed technology, as defined in such agreements. Royalties are accrued when earned and recorded in costs of revenue in the accompanying condensed statements of operations.</w:t>
      </w:r>
    </w:p>
    <w:p>
      <w:pPr>
        <w:spacing w:after="0" w:line="2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May 2021, the Company entered into an exclusive license agreement with Allegheny Health Network Research Institute (AHN), to obtain an exclusive license to AHN's patent rights in certain inventions, pursuant to which the Company paid AHN an initial license fee of $0.4 million. In addition, under the terms of the exclusive license agreement, the Company is required to pay the greater of royalties in the low single digits on net sales of diagnostic tests using the assigned patents or a flat annual minimum royalty amount, pending approvals and commercialization.</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November 2021, the Company entered into an exclusive license agreement with Queen Mary University of London (QMUL), to obtain an exclusive license to QMUL's patent rights in certain inventions, pursuant to which the Company paid QMUL an initial license fee of $0.4 million. The Company is obligated to make a one-time payment of $0.1 million relating to the first commercial sale of the licensed products. In addition, after the first 18 months of commercial sales under the terms of the exclusive license agreement, the Company is required to pay royalties in the high single-digits on net sales of testing products using the assigned patents, pending approvals and commercialization.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December 2021, the Company entered into an amended supply agreement with one supplier for reagents which includes minimum annual purchase commitments of $6.0 million and $6.9 million for the years ending December 31, 2022 and 2023, respectively, with a 15% annual increase thereafter for unconditional minimum purchase commitments through the year ending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2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May 2021, the Company entered into a master research collaboration agreement with AHN, pursuant to which the Company is required to pay AHN a collaboration fee of $0.4 million for each year during the initial term of the agreement. Collaboration expenses under the master research collaboration agreement were $0.1 million for each of the three months ended September 30, 2022 and 2021. Collaboration expenses under the master research collaboration agreement were $ 0.3 million and $0.2 million, for the nine months ended September 30, 2022 and 2021, respectively. Collaboration expenses under the AHN collaboration are included in research and development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payors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1" w:name="page22"/>
    <w:bookmarkEnd w:id="21"/>
    <w:p>
      <w:pPr>
        <w:ind w:right="440"/>
        <w:spacing w:after="0" w:line="291" w:lineRule="auto"/>
        <w:rPr>
          <w:sz w:val="20"/>
          <w:szCs w:val="20"/>
          <w:color w:val="auto"/>
        </w:rPr>
      </w:pPr>
      <w:r>
        <w:rPr>
          <w:rFonts w:ascii="Arial" w:cs="Arial" w:eastAsia="Arial" w:hAnsi="Arial"/>
          <w:sz w:val="17"/>
          <w:szCs w:val="17"/>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9"/>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190"/>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35,328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35,328</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695"/>
        </w:trPr>
        <w:tc>
          <w:tcPr>
            <w:tcW w:w="6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9"/>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190"/>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95,761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95,761</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bl>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24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November 10, 2020, the Company filed a registration statement on Form S-3 (the Shelf Registration Statement), covering the offering, from time to time, of up to $150.0 million of common stock, preferred stock, debt securities, warrants and units, which Shelf Registration Statement became effective on November 19, 2020.</w:t>
      </w:r>
    </w:p>
    <w:p>
      <w:pPr>
        <w:spacing w:after="0" w:line="202"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On March 25, 2021, the Company completed a public offering of 4,255,000 shares of its common stock at a public offering price of $16.25 per share. Net proceeds from the offering were approximately $64.7 million, after deducting underwriting discounts, commissions and other offering expenses of $4.4 million. The shares were registered pursuant to the Company's Shelf Registration Statement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230"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On September 15, 2022, the Company entered into a sales agreement (the Sales Agreement) with Cowen and Company, LLC (the Sales Agent), pursuant to which the Company may offer and sell, from time to time, shares of Company common stock having an aggregate offering price of up to $50.0 million. The Company is not obligated to sell any shares of Company common stock in the offering. As of September 30, 2022, the Company has not sold any shares of its common stock pursuant to the Sales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230"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On June 22, 2021, the Company entered into an exchange agreement (the Exchange Agreement) with an Investor and its affiliates (the Exchanging Stockholders), pursuant to which the Company exchanged an aggregate of 804,951 shares of the Company's common stock owned by the Exchanging Stockholders for pre-funded warrants (the Exchange Warrants) to purchase an aggregate of 804,951 shares of common stock (subject to adjustment in the event of any stock dividends and splits, reverse stock split, recapitalization, reorganization or similar transaction, as described in the Exchange Warrants), with an exercise price of $0.001 per share. The Exchange Warrants do not expire and are exercisable at any time except that the Exchange Warrants cannot be exercised by the Exchanging Stockholders if, after giving effect thereto, the Exchanging Stockholders would beneficially own more than 4.99% of the Company's common stock, which percentage may change at the Exchanging Stockholder's election to any other</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22" w:name="page23"/>
    <w:bookmarkEnd w:id="22"/>
    <w:p>
      <w:pPr>
        <w:ind w:right="20"/>
        <w:spacing w:after="0" w:line="252" w:lineRule="auto"/>
        <w:rPr>
          <w:sz w:val="20"/>
          <w:szCs w:val="20"/>
          <w:color w:val="auto"/>
        </w:rPr>
      </w:pPr>
      <w:r>
        <w:rPr>
          <w:rFonts w:ascii="Arial" w:cs="Arial" w:eastAsia="Arial" w:hAnsi="Arial"/>
          <w:sz w:val="18"/>
          <w:szCs w:val="18"/>
          <w:color w:val="auto"/>
        </w:rPr>
        <w:t>percentage upon 61 days' notice to the Company. The Company recorded the retirement of common stock exchanged as a reduction of common shares outstanding and additional paid-in-capital at the fair value of the Exchange Warrants on the issuance date. The Exchange Warrants are classified as equity and the fair value of the Exchange Warrants was recorded as an increase to additional paid-in-capital and is not subject to remeasurement. The Company determined that the fair value of the Exchange Warrants is substantially similar to the fair value of the retired shares on the issuance date due to the negligible exercise price for the Exchange Warrants. As of September 30, 2022, none of the Exchange Warrants have been exercised.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September 30,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20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7"/>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97"/>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20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97"/>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202"/>
        </w:trPr>
        <w:tc>
          <w:tcPr>
            <w:tcW w:w="3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2022, no warrants to purchase common stock were exercised.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8"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In September 2019, the Company's Board of Directors adopted, and the Company's stockholders approved, the 2019 Plan. Under the 2019 Plan, which expires in September 2029, the Company may grant stock options, stock appreciation rights, restricted stock, restricted stock</w:t>
      </w:r>
    </w:p>
    <w:p>
      <w:pPr>
        <w:spacing w:after="0" w:line="1"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units and other awards to individuals who are then employees, officers, non-employee directors or consultants of the Company or its subsidiaries. The options generally expire ten years after the date of grant and are exercisable to the extent vested. Vesting is established by</w:t>
      </w:r>
    </w:p>
    <w:p>
      <w:pPr>
        <w:ind w:right="320"/>
        <w:spacing w:after="0" w:line="251" w:lineRule="auto"/>
        <w:rPr>
          <w:sz w:val="20"/>
          <w:szCs w:val="20"/>
          <w:color w:val="auto"/>
        </w:rPr>
      </w:pPr>
      <w:r>
        <w:rPr>
          <w:rFonts w:ascii="Arial" w:cs="Arial" w:eastAsia="Arial" w:hAnsi="Arial"/>
          <w:sz w:val="18"/>
          <w:szCs w:val="18"/>
          <w:color w:val="auto"/>
        </w:rPr>
        <w:t xml:space="preserve">the Board of Directors and is generally four years from the </w:t>
      </w:r>
      <w:r>
        <w:rPr>
          <w:rFonts w:ascii="Arial" w:cs="Arial" w:eastAsia="Arial" w:hAnsi="Arial"/>
          <w:sz w:val="19"/>
          <w:szCs w:val="19"/>
          <w:color w:val="auto"/>
        </w:rPr>
        <w:t>date of grant or, for grants to new hires, date of hire</w:t>
      </w:r>
      <w:r>
        <w:rPr>
          <w:rFonts w:ascii="Arial" w:cs="Arial" w:eastAsia="Arial" w:hAnsi="Arial"/>
          <w:sz w:val="18"/>
          <w:szCs w:val="18"/>
          <w:color w:val="auto"/>
        </w:rPr>
        <w:t>. As of September 30, 2022, 1,528,877 shares of common stock remained available for future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September 2019, the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As of September 30, 2022, 413,425 shares of common stock remained available for issuance under the ESPP.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line="148"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2,014,330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197"/>
        </w:trPr>
        <w:tc>
          <w:tcPr>
            <w:tcW w:w="52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63,000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2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00" w:type="dxa"/>
            <w:vAlign w:val="bottom"/>
          </w:tcPr>
          <w:p>
            <w:pPr>
              <w:jc w:val="right"/>
              <w:spacing w:after="0"/>
              <w:rPr>
                <w:sz w:val="20"/>
                <w:szCs w:val="20"/>
                <w:color w:val="auto"/>
              </w:rPr>
            </w:pPr>
            <w:r>
              <w:rPr>
                <w:rFonts w:ascii="Arial" w:cs="Arial" w:eastAsia="Arial" w:hAnsi="Arial"/>
                <w:sz w:val="14"/>
                <w:szCs w:val="14"/>
                <w:color w:val="auto"/>
              </w:rPr>
              <w:t>(114,182)</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Outstanding, September 30,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1,820,555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September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1,820,555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September 30, 2022</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1,321,485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 As of September 30, 2022, total unrecognized compensation cost related to option awards was $3.5 million, which is expected to be recognized over a remaining weighted-average vesting period of 1.36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the Company's 2019 Plan is set forth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520" w:type="dxa"/>
            <w:vAlign w:val="bottom"/>
          </w:tcPr>
          <w:p>
            <w:pPr>
              <w:jc w:val="center"/>
              <w:ind w:right="4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388"/>
              <w:spacing w:after="0" w:line="148" w:lineRule="exact"/>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 (in thousands)</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415,325</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4,830</w:t>
            </w:r>
          </w:p>
        </w:tc>
        <w:tc>
          <w:tcPr>
            <w:tcW w:w="0" w:type="dxa"/>
            <w:vAlign w:val="bottom"/>
          </w:tcPr>
          <w:p>
            <w:pPr>
              <w:spacing w:after="0"/>
              <w:rPr>
                <w:sz w:val="1"/>
                <w:szCs w:val="1"/>
                <w:color w:val="auto"/>
              </w:rPr>
            </w:pPr>
          </w:p>
        </w:tc>
      </w:tr>
      <w:tr>
        <w:trPr>
          <w:trHeight w:val="197"/>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604,100</w:t>
            </w:r>
          </w:p>
        </w:tc>
        <w:tc>
          <w:tcPr>
            <w:tcW w:w="11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(99,624)</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(114,305)</w:t>
            </w:r>
          </w:p>
        </w:tc>
        <w:tc>
          <w:tcPr>
            <w:tcW w:w="1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September 30,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805,496</w:t>
            </w:r>
          </w:p>
        </w:tc>
        <w:tc>
          <w:tcPr>
            <w:tcW w:w="1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September 30, 2022, total unrecognized compensation cost related to restricted stock units was $7.7 million, which is expected to be recognized over a remaining weighted-average vesting period of 3.1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322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3120" w:type="dxa"/>
            <w:vAlign w:val="bottom"/>
            <w:gridSpan w:val="3"/>
          </w:tcPr>
          <w:p>
            <w:pPr>
              <w:ind w:lef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9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0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86%</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83%-86%</w:t>
            </w:r>
          </w:p>
        </w:tc>
      </w:tr>
      <w:tr>
        <w:trPr>
          <w:trHeight w:val="196"/>
        </w:trPr>
        <w:tc>
          <w:tcPr>
            <w:tcW w:w="49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tcPr>
          <w:p>
            <w:pPr>
              <w:jc w:val="center"/>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0.8%-1.1%</w:t>
            </w: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490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500" w:type="dxa"/>
            <w:vAlign w:val="bottom"/>
          </w:tcPr>
          <w:p>
            <w:pPr>
              <w:jc w:val="center"/>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5.50-6.08</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in the three months ended September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stock-based compensation for each stock purchase right granted under the ESPP: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320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140" w:type="dxa"/>
            <w:vAlign w:val="bottom"/>
            <w:gridSpan w:val="3"/>
          </w:tcPr>
          <w:p>
            <w:pPr>
              <w:ind w:left="40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9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0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45%</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45%-57%</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45%-60%</w:t>
            </w:r>
          </w:p>
        </w:tc>
      </w:tr>
      <w:tr>
        <w:trPr>
          <w:trHeight w:val="196"/>
        </w:trPr>
        <w:tc>
          <w:tcPr>
            <w:tcW w:w="49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500" w:type="dxa"/>
            <w:vAlign w:val="bottom"/>
          </w:tcPr>
          <w:p>
            <w:pPr>
              <w:jc w:val="center"/>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0.6%-3.3%</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0.1%</w:t>
            </w: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490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500" w:type="dxa"/>
            <w:vAlign w:val="bottom"/>
          </w:tcPr>
          <w:p>
            <w:pPr>
              <w:jc w:val="center"/>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0.50</w:t>
            </w:r>
          </w:p>
        </w:tc>
      </w:tr>
    </w:tbl>
    <w:p>
      <w:pPr>
        <w:spacing w:after="0" w:line="32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Stock-based compensation expense for the ESPP was less than $0.1 million for the three and nine months ended September 30, 2022 and 2021. As of September 30, 2022, total unrecognized compensation cost related to stock purchase rights granted under the ESPP was less than $0.1 million, which is expected to be recognized over a remaining weighted-average vesting period of 0.41 years.</w:t>
      </w:r>
    </w:p>
    <w:p>
      <w:pPr>
        <w:spacing w:after="0" w:line="20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Total non-cash stock-based compensation expense recorded related to options granted, restricted stock units granted and stock purchase rights granted under the ESPP in the condensed statements of operations is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32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8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9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20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97"/>
        </w:trPr>
        <w:tc>
          <w:tcPr>
            <w:tcW w:w="49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1,085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2,955</w:t>
            </w:r>
          </w:p>
        </w:tc>
      </w:tr>
      <w:tr>
        <w:trPr>
          <w:trHeight w:val="208"/>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r>
      <w:tr>
        <w:trPr>
          <w:trHeight w:val="190"/>
        </w:trPr>
        <w:tc>
          <w:tcPr>
            <w:tcW w:w="4900" w:type="dxa"/>
            <w:vAlign w:val="bottom"/>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4,122</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3,551</w:t>
            </w:r>
          </w:p>
        </w:tc>
      </w:tr>
      <w:tr>
        <w:trPr>
          <w:trHeight w:val="27"/>
        </w:trPr>
        <w:tc>
          <w:tcPr>
            <w:tcW w:w="4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3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October 2022, in connection with the appointment of its new Chief Executive Officer, the Company granted 350,000 restricted stock units which will vest in equal annual installments over four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5" w:name="page26"/>
    <w:bookmarkEnd w:id="25"/>
    <w:p>
      <w:pPr>
        <w:jc w:val="center"/>
        <w:ind w:right="-1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2021 included in our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(Exchange Act). All statements other than statements of historical facts contained in this quarterly report, including statements regarding our future results of operations and financial position, business strategy, the impact of the COVID-19 pandemic, current and future product offerings, reimbursement and coverage, the expected benefits from our partnerships or promotion arrangements with third-parties, evaluations and interpretation of study results,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Cell-Bound Complement Activation Products (CB-CAPs) technology. Our goal is to enable healthcare providers to improve care for patients through the differential diagnosis, prognosis and monitoring of complex autoimmune and autoimmune-related diseases, including systemic lupus erythematosus (SLE), and rheumatoid arthritis (RA). Our business model of integrating testing products and therapeutics positions us to offer targeted solutions to rheumatologists and, ultimately, better serve patients.</w:t>
      </w:r>
    </w:p>
    <w:p>
      <w:pPr>
        <w:spacing w:after="0" w:line="20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84% and 81% of our revenue for the nine months ended September 30, 2022 and 2021,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21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We also have agreements with GlaxoSmithKline plc. (GSK), Labcorp Drug Development, Parexel International, LLC and IMVT Corporation (Immunovant), among others, that leverage our testing products and/or the information generated from such tests. We provide GSK, a leader in lupus therapeutics, our test result data to provide market insight into and help increase awareness of the benefits of early and accurate diagnosis of SLE and lupus nephritis, and monitoring disease activity. We partner with academic research centers and patient advocacy organizations, such as Brigham and Women's Hospital, Hospital for Special Surgery, Duke University and Emory University as well as the Lupus Foundation of America, to help improve the quality of life for people affected by autoimmune diseases through programs of research, education,</w:t>
      </w: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6"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support and advocacy. We plan to pursue additional strategic partnerships that are synergistic with our evolving portfolio of testing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10,000 square foot clinical laboratory, which is certified under the Clinical Laboratory Improvement Amendments of 1988 (CLIA), by the Centers for Medicare and Medicaid Services (CMS), and accredited by the College of American Pathologists (CAP), and located in Vista, California. Our laboratory is certified for performance of high-complexity testing by CMS in accordance with CLIA and is licensed by all states requiring out-of-state licensure.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 In the second half of 2021, we began the conversion of approximately 8,000 square feet of warehouse space into additional clinical laboratory space and approximately 6,000 square feet of warehouse space into additional research and development facility space. In the second quarter of 2022, we completed the clinical laboratory space conversion, which is currently being utilized for both clinical laboratory and research and development purposes. The conversion of the research and development facility space was substantially completed in the third quarter of 2022 and will be placed into service in the fourth quarter of 2022. The expansion of our clinical laboratory and research and development facility is expected to allow us to enhance our testing capacity and improve efficiencies as well as allow us to develop molecular and multiomic capabilities and advance our product pipeline, including support of development of tests for fibromyalgia, RA, and lupus nephritis.</w:t>
      </w:r>
    </w:p>
    <w:p>
      <w:pPr>
        <w:spacing w:after="0" w:line="20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As of September 30, 2022, we have a sales force of 54 representatives covering a total of 63 territories. Unlike many diagnostic sales forces that are trained only to understand the comparative benefits of their tests, the specialized backgrounds of our sales force coupled with our comprehensive training enable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payors, such as insurance companies and health maintenance organizations, government payors, such as Medicare, and patients. Reimbursement rates vary by product and payor. We continue to focus on expanding coverage among existing contracted institutions and to achieve coverage with commercial payors, laboratory benefit managers and evidence review organizations.</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Since inception we have devoted substantially all of our efforts to developing and marketing products for the diagnosis, prognosis and monitoring of autoimmune diseases. We have never been profitable and, as of September 30, 2022, we had an accumulated deficit of $241.2 million. We incurred net losses of $33.0 million and $19.8 million for the nine months ended September 30, 2022 and 2021,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We completed our initial public offering (IPO), in September 2019, raising net proceeds from the offering of approximately $50.4 million, net of underwriting discounts, commissions and other offering expenses, for aggregate expenses of approximately $7.5 million. In March 2021, we completed a public offering of 4,255,000 shares of our common stock at a public offering price of $16.25 per share. Net proceeds from the offering were approximately $64.7 million, net of underwriting discounts and commissions and offering costs of $4.4 million. As of September 30, 2022, we had $68.7 million of cash and cash equivalents.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September 15, 2022, the Company entered into a sales agreement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and, as of September 30, 2022, the Company had not sold any shares of its common stock pursuant to the Sales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1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March 2022, we entered into an agreement with Centene Corporation, pursuant to which, effective June 1, 2022,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offerings became an in-network, covered benefit with Centene Corporation, including its subsidiary WellCare Health Plans, providing enhanced care to over 22.7 million members.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 June 2022, we entered into an agreement with MediNcrease Health Plans, LLC's national provider network, pursuant to which, effective</w:t>
      </w:r>
    </w:p>
    <w:p>
      <w:pPr>
        <w:spacing w:after="0" w:line="204" w:lineRule="auto"/>
        <w:rPr>
          <w:sz w:val="20"/>
          <w:szCs w:val="20"/>
          <w:color w:val="auto"/>
        </w:rPr>
      </w:pPr>
      <w:r>
        <w:rPr>
          <w:rFonts w:ascii="Arial" w:cs="Arial" w:eastAsia="Arial" w:hAnsi="Arial"/>
          <w:sz w:val="18"/>
          <w:szCs w:val="18"/>
          <w:color w:val="auto"/>
        </w:rPr>
        <w:t>July 1, 2022,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offerings became an in-network, covered benefit to its approximately 7.5 million commercial lives. As a result,</w:t>
      </w:r>
    </w:p>
    <w:p>
      <w:pPr>
        <w:spacing w:after="0"/>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will surpass 99 million lives as an in-network benefit for patients.</w:t>
      </w:r>
    </w:p>
    <w:p>
      <w:pPr>
        <w:spacing w:after="0" w:line="15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the quarter ended March 31, 2022 we disclosed that the CMS agreed, effective April 1, 2022, to recognize a new Proprietary Laboratory Analyses (PLA) code for our protein-based test, AVISE® Lupus, and that Noridian Healthcare Solutions, LLC (Noridian), our Medicare Administrative Contractor, priced this PLA code at $1,085 per test. To determine pricing beyond 2022, the CMS pricing process resulted in a recommendation that AVISE Lupus (0312U) be crosswalked to Vectra (81490), at a rate of $840.65 per test. We expect pricing to be finalized on the Clinical Laboratory Fee Schedule by the end of 2022 and that such new pricing for the AVISE Lupus PLA code would be effective from January 1st, 2023 through the end of 2025, in light of the current reporting timelines under the Protecting Access to Medicare Act of 2014.</w:t>
      </w:r>
    </w:p>
    <w:p>
      <w:pPr>
        <w:spacing w:after="0" w:line="3"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The process for obtaining and maintaining consistent reimbursement for new tests (particularly for protein-based tests) can be uncertain, lengthy and time consuming. A pricing determination is not synonymous with a coverage determination. Having a price associated with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 code for any particular test does not secure coverage or reimbursement for that PLA code from Medicare or any other third-party payor.</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the second quarter 2022, we deemed variable consideration with respect to unpaid AVISE Lupus Medicare claims fully constrained due to uncertainty in the outcome of such claims arising from claims processing issues, including an unexpectedly high number of denied claims and claims made subject to requests from Noridian for additional information (such as medical records). We have been working with Noridian to resubmit claims and respond to its requests for information. Medicare has since resumed its reimbursement of our claims, including claims originally made in the second quarter of 2022, at the PLA Code price of $1,085 per test. Accordingly, we have reassessed the constraint on variable consideration related to claims from the second and third quarters of 2022 and recognized $3.7 million in additional revenue and $3.6 million accounts receivable from the second quarter period in the third quarter of 2022.</w:t>
      </w:r>
    </w:p>
    <w:p>
      <w:pPr>
        <w:spacing w:after="0" w:line="230" w:lineRule="exact"/>
        <w:rPr>
          <w:sz w:val="20"/>
          <w:szCs w:val="20"/>
          <w:color w:val="auto"/>
        </w:rPr>
      </w:pPr>
    </w:p>
    <w:p>
      <w:pPr>
        <w:jc w:val="both"/>
        <w:ind w:right="120"/>
        <w:spacing w:after="0" w:line="248" w:lineRule="auto"/>
        <w:rPr>
          <w:sz w:val="20"/>
          <w:szCs w:val="20"/>
          <w:color w:val="auto"/>
        </w:rPr>
      </w:pPr>
      <w:r>
        <w:rPr>
          <w:rFonts w:ascii="Arial" w:cs="Arial" w:eastAsia="Arial" w:hAnsi="Arial"/>
          <w:sz w:val="17"/>
          <w:szCs w:val="17"/>
          <w:color w:val="auto"/>
        </w:rPr>
        <w:t>We continue to see headwinds relating to commercial payor claim processing and revenue. Now that we are billing under our PLA code, we are experiencing an increase in denials due to unfavorable medical policy with certain plans, and we expect this to persist. This has resulted in net revenue decreases of $1.9 million and $2.5 million, respectively, during the three and nine months ended September 30, 2022</w:t>
      </w:r>
    </w:p>
    <w:p>
      <w:pPr>
        <w:spacing w:after="0" w:line="2"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associated with changes in estimated variable consideration related to performance obligations with these payors that were satisfied in previous periods.</w:t>
      </w:r>
    </w:p>
    <w:p>
      <w:pPr>
        <w:spacing w:after="0" w:line="22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an effort to improve transparency regarding Medicare support of AVISE Lupus, on July 29, 2022, we submitted a formal request to Noridian for coverage of our AVISE</w:t>
      </w:r>
      <w:r>
        <w:rPr>
          <w:rFonts w:ascii="Arial" w:cs="Arial" w:eastAsia="Arial" w:hAnsi="Arial"/>
          <w:sz w:val="11"/>
          <w:szCs w:val="11"/>
          <w:color w:val="auto"/>
        </w:rPr>
        <w:t>®</w:t>
      </w:r>
      <w:r>
        <w:rPr>
          <w:rFonts w:ascii="Arial" w:cs="Arial" w:eastAsia="Arial" w:hAnsi="Arial"/>
          <w:sz w:val="18"/>
          <w:szCs w:val="18"/>
          <w:color w:val="auto"/>
        </w:rPr>
        <w:t xml:space="preserve"> Lupus test under the new PLA Code. On September 27, 2022 we received notice that Noridian has deemed our application for a Local Coverage Determination (LCD) to be valid. Ultimately receiving a favorable LCD is uncertain and may be time-consuming, resource intensive and require multiple quarterly or annual periods to complete. In the meantime, we will continue to submit Medicare claims for AVISE</w:t>
      </w:r>
      <w:r>
        <w:rPr>
          <w:rFonts w:ascii="Arial" w:cs="Arial" w:eastAsia="Arial" w:hAnsi="Arial"/>
          <w:sz w:val="11"/>
          <w:szCs w:val="11"/>
          <w:color w:val="auto"/>
        </w:rPr>
        <w:t>®</w:t>
      </w:r>
      <w:r>
        <w:rPr>
          <w:rFonts w:ascii="Arial" w:cs="Arial" w:eastAsia="Arial" w:hAnsi="Arial"/>
          <w:sz w:val="18"/>
          <w:szCs w:val="18"/>
          <w:color w:val="auto"/>
        </w:rPr>
        <w:t xml:space="preserve"> Lupus, appeal denials and respond to requests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Publications</w:t>
      </w:r>
    </w:p>
    <w:p>
      <w:pPr>
        <w:spacing w:after="0" w:line="233"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In July 2022, we announced new, real-world evidence illustrating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enables decisive clinical action in the differential diagnosis of lupus. The "Complement Activation Products vs Standard ANA Testing: Treatment Outcomes, Diagnosis, and Economic Impact in Systemic Lupus Erythematosus" (CAPSTONE) study was the largest comparative utility study in lupus diagnostics and was published in the Journal of Managed Care &amp; Specialty Pharmacy. The study leveraged multiple databases encompassing electronic health records and linked insurance claims data on nearly 50,000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standard of care labs from hundreds of rheumatologists across the United States, comparing diagnosis, treatment, and cost of care outcomes for new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those tested with a traditional ANA (tANA) approach, including specific autoantibodies. The CAPSTONE study supports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more clinically effective, both for patients who test positive and those who test negative, as compared to the current standard of care. Important key findings of the CAPSTONE study included, among other things, a: (i) 2x decrease in diagnostic testing costs in the first six-month follow-up period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(ii) 3.5x less frequent repeat testing overall when using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tANA; (iii) 6x increased odds of establishing a new SLE diagnosis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and (iv) 3x increased odds of initiating one or more SLE treatments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The CAPSTONE study exemplifies the advantages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for patients, providers, and payors. Delayed diagnosis leads to increased disease burden and diminished quality of life for the patient relative to the current standard of care. By receiving conclusive results, providers are able to initiate treatment early, reducing the need for more aggressive approaches down the road that can lead to irreversible consequences for the patient. Additionally, a</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8" w:name="page29"/>
    <w:bookmarkEnd w:id="28"/>
    <w:p>
      <w:pPr>
        <w:ind w:right="680"/>
        <w:spacing w:after="0" w:line="261" w:lineRule="auto"/>
        <w:rPr>
          <w:sz w:val="20"/>
          <w:szCs w:val="20"/>
          <w:color w:val="auto"/>
        </w:rPr>
      </w:pPr>
      <w:r>
        <w:rPr>
          <w:rFonts w:ascii="Arial" w:cs="Arial" w:eastAsia="Arial" w:hAnsi="Arial"/>
          <w:sz w:val="18"/>
          <w:szCs w:val="18"/>
          <w:color w:val="auto"/>
        </w:rPr>
        <w:t>conclusive negative test allows providers to lower the number of repeat tests and follow-up visits which is a critical step for achieving diagnostic clarity for the patient.</w:t>
      </w:r>
    </w:p>
    <w:p>
      <w:pPr>
        <w:spacing w:after="0" w:line="1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September 2022, we announced that our collaboration with Dr. Iñaki Sanz at Emory University has led to a publication in Nature. Our clinical test offerings, run on samples from severe COVID-19 patients, helped researchers from Emory characterize the autoimmune profiles induced by SARS-CoV-2 infection. In addition, these retrospective analyses laid the groundwork for recent longitudinal studies of so-called post-acute COVID syndrome (PACS), as well as other post-severe pulmonary infection sequelae, including the incorporation of Exagen’s proprietary CB-CAPs technology. These efforts will assess the importance of long-term autoimmune monitoring in those patients experiencing lasting symptoms following acute pulmonary infection, including those caused by SARS-CoV-2.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Hurricane Ian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Hurricane Ian made landfall at the Southwestern Florida coast in late September 2022, causing significant damage within the state. Historically, a significant number of orders for our tests have come from clinicians and healthcare providers based in Florida. Demand for our tests was impacted during the last week of the quarter ended September 30, 2022 and continued through the first weeks of the subsequent quarter. We are unable to predict the extent to which our future test report volumes, and our results of operations, financial condition and cash flows, will ultimately be impacted by Hurricane Ian.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full extent to which the COVID-19 pandemic may directly or indirectly continue to impact our business, results of operations and financial condition will depend on future developments that are highly uncertain. We have implemented business continuity plans designed to address the COVID-19 pandemic and minimize disruptions to ongoing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97" w:lineRule="exact"/>
        <w:rPr>
          <w:sz w:val="20"/>
          <w:szCs w:val="20"/>
          <w:color w:val="auto"/>
        </w:rPr>
      </w:pPr>
    </w:p>
    <w:p>
      <w:pPr>
        <w:ind w:left="660" w:right="140" w:hanging="328"/>
        <w:spacing w:after="0" w:line="238" w:lineRule="auto"/>
        <w:tabs>
          <w:tab w:leader="none" w:pos="656"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September 30, 2022,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delivered over 700,000 of these tests. Through the third quarter of 2022, 101,391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7.7% growth over the same period in 2021. The number of ordering healthcare providers in the third quarter of 2022 was a record 2,287, representing an approximate 4% increase over the same period in 2021, and we had 772 adopting healthcare providers (defined as those who previously prescribed at least 11 diagnostic tests in the corresponding period) compared to 714 in the same period in 2021. A high percentage of adopting healthcare providers continue to order tests in subsequent quarters, as approximately 99% of adopting healthcare providers from the second quarter of 2022 ordered at least one diagnostic test in the third quarter of 2022. Revenue growth for our testing products will depend on our ability to continue to expand our base of ordering healthcare providers and increase our penetration with existing healthcare providers.</w:t>
      </w:r>
    </w:p>
    <w:p>
      <w:pPr>
        <w:spacing w:after="0" w:line="90" w:lineRule="exact"/>
        <w:rPr>
          <w:rFonts w:ascii="Arial" w:cs="Arial" w:eastAsia="Arial" w:hAnsi="Arial"/>
          <w:sz w:val="18"/>
          <w:szCs w:val="18"/>
          <w:b w:val="1"/>
          <w:bCs w:val="1"/>
          <w:i w:val="1"/>
          <w:iCs w:val="1"/>
          <w:color w:val="auto"/>
        </w:rPr>
      </w:pPr>
    </w:p>
    <w:p>
      <w:pPr>
        <w:ind w:left="660" w:right="60" w:hanging="328"/>
        <w:spacing w:after="0" w:line="253"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and government payors such as Medicare. Payment from third-party payors differs depending on whether we have entered into a contract with the payors as a "participating provider" or do not have a contract and are considered a "non-participating provider." Payors will often reimburse non-participating providers, if at all, at a lower amount than participating providers. We have received a substantial portion of our revenue from a limited number of third-party commercial payors, most of which have not contracted with us to be a participating provider. In addition to the challenges described under the heading "Overview - Recent Developments" above,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29" w:name="page30"/>
    <w:bookmarkEnd w:id="29"/>
    <w:p>
      <w:pPr>
        <w:ind w:left="660" w:right="680"/>
        <w:spacing w:after="0" w:line="291" w:lineRule="auto"/>
        <w:rPr>
          <w:sz w:val="20"/>
          <w:szCs w:val="20"/>
          <w:color w:val="auto"/>
        </w:rPr>
      </w:pPr>
      <w:r>
        <w:rPr>
          <w:rFonts w:ascii="Arial" w:cs="Arial" w:eastAsia="Arial" w:hAnsi="Arial"/>
          <w:sz w:val="17"/>
          <w:szCs w:val="17"/>
          <w:color w:val="auto"/>
        </w:rPr>
        <w:t>from third-party payors, we may not be able to effectively increase our testing volume and revenue as expected. Additionally, retrospective reimbursement adjustments can negatively impact our revenue and cause our financial results to fluctuate.</w:t>
      </w:r>
    </w:p>
    <w:p>
      <w:pPr>
        <w:spacing w:after="0" w:line="44" w:lineRule="exact"/>
        <w:rPr>
          <w:sz w:val="20"/>
          <w:szCs w:val="20"/>
          <w:color w:val="auto"/>
        </w:rPr>
      </w:pPr>
    </w:p>
    <w:p>
      <w:pPr>
        <w:ind w:left="660" w:right="60" w:hanging="328"/>
        <w:spacing w:after="0"/>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Synergistic Partnerships</w:t>
      </w:r>
      <w:r>
        <w:rPr>
          <w:rFonts w:ascii="Arial" w:cs="Arial" w:eastAsia="Arial" w:hAnsi="Arial"/>
          <w:sz w:val="18"/>
          <w:szCs w:val="18"/>
          <w:color w:val="auto"/>
        </w:rPr>
        <w:t>. In August 2021, we mutually agreed to terminate the Janssen Agreement regarding our promotion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efforts with SIMPONI</w:t>
      </w:r>
      <w:r>
        <w:rPr>
          <w:rFonts w:ascii="Arial" w:cs="Arial" w:eastAsia="Arial" w:hAnsi="Arial"/>
          <w:sz w:val="23"/>
          <w:szCs w:val="23"/>
          <w:color w:val="auto"/>
          <w:vertAlign w:val="superscript"/>
        </w:rPr>
        <w:t>®</w:t>
      </w:r>
      <w:r>
        <w:rPr>
          <w:rFonts w:ascii="Arial" w:cs="Arial" w:eastAsia="Arial" w:hAnsi="Arial"/>
          <w:sz w:val="18"/>
          <w:szCs w:val="18"/>
          <w:color w:val="auto"/>
        </w:rPr>
        <w:t>, effective August 31, 2021.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no co-promotion revenue and approximately $1.0 million in revenue during the nine months ended September 30, 2022 and 2021, respectively. We will continue to rely on our existing testing products to drive revenue growth.</w:t>
      </w:r>
    </w:p>
    <w:p>
      <w:pPr>
        <w:spacing w:after="0" w:line="86" w:lineRule="exact"/>
        <w:rPr>
          <w:rFonts w:ascii="Arial" w:cs="Arial" w:eastAsia="Arial" w:hAnsi="Arial"/>
          <w:sz w:val="18"/>
          <w:szCs w:val="18"/>
          <w:color w:val="auto"/>
        </w:rPr>
      </w:pPr>
    </w:p>
    <w:p>
      <w:pPr>
        <w:ind w:left="660" w:right="140" w:hanging="328"/>
        <w:spacing w:after="0"/>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may continue to invest in research and development in order to develop additional testing products and, if so, we expect these costs to increase. Our success in developing new testing products will be important in our efforts to grow our business by expanding the potential market for our testing products and diversifying our sources of revenue.</w:t>
      </w:r>
    </w:p>
    <w:p>
      <w:pPr>
        <w:spacing w:after="0" w:line="86" w:lineRule="exact"/>
        <w:rPr>
          <w:rFonts w:ascii="Arial" w:cs="Arial" w:eastAsia="Arial" w:hAnsi="Arial"/>
          <w:sz w:val="18"/>
          <w:szCs w:val="18"/>
          <w:color w:val="auto"/>
        </w:rPr>
      </w:pPr>
    </w:p>
    <w:p>
      <w:pPr>
        <w:ind w:left="660" w:right="120" w:hanging="328"/>
        <w:spacing w:after="0" w:line="282" w:lineRule="auto"/>
        <w:tabs>
          <w:tab w:leader="none" w:pos="65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Maintain Meaningful Margin</w:t>
      </w:r>
      <w:r>
        <w:rPr>
          <w:rFonts w:ascii="Arial" w:cs="Arial" w:eastAsia="Arial" w:hAnsi="Arial"/>
          <w:sz w:val="17"/>
          <w:szCs w:val="17"/>
          <w:color w:val="auto"/>
        </w:rPr>
        <w:t>. We believe we are well positioned to maintain meaningful margin through a continued focus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w:t>
      </w:r>
    </w:p>
    <w:p>
      <w:pPr>
        <w:spacing w:after="0" w:line="53" w:lineRule="exact"/>
        <w:rPr>
          <w:rFonts w:ascii="Arial" w:cs="Arial" w:eastAsia="Arial" w:hAnsi="Arial"/>
          <w:sz w:val="17"/>
          <w:szCs w:val="17"/>
          <w:color w:val="auto"/>
        </w:rPr>
      </w:pPr>
    </w:p>
    <w:p>
      <w:pPr>
        <w:ind w:left="660" w:right="20" w:hanging="328"/>
        <w:spacing w:after="0" w:line="246"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79" w:lineRule="exact"/>
        <w:rPr>
          <w:rFonts w:ascii="Arial" w:cs="Arial" w:eastAsia="Arial" w:hAnsi="Arial"/>
          <w:sz w:val="18"/>
          <w:szCs w:val="18"/>
          <w:color w:val="auto"/>
        </w:rPr>
      </w:pPr>
    </w:p>
    <w:p>
      <w:pPr>
        <w:ind w:left="660" w:right="80" w:hanging="328"/>
        <w:spacing w:after="0" w:line="268"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a payor and other factors. Changes to such estimates may increase or decrease revenue recognized in future periods.</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While each of these areas presents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including for example influenza outbreaks that may reduce the percentage of patients that can be seen, and other factors relating to the timing of patient benefit changes, as well as patient deductibles and co-insurance limits.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0" w:name="page31"/>
    <w:bookmarkEnd w:id="30"/>
    <w:p>
      <w:pPr>
        <w:ind w:right="520"/>
        <w:spacing w:after="0" w:line="254" w:lineRule="auto"/>
        <w:rPr>
          <w:sz w:val="20"/>
          <w:szCs w:val="20"/>
          <w:color w:val="auto"/>
        </w:rPr>
      </w:pPr>
      <w:r>
        <w:rPr>
          <w:rFonts w:ascii="Arial" w:cs="Arial" w:eastAsia="Arial" w:hAnsi="Arial"/>
          <w:sz w:val="18"/>
          <w:szCs w:val="18"/>
          <w:color w:val="auto"/>
        </w:rPr>
        <w:t>rheumatologists who order our testing products and to whom results are reported are generally not responsible for payment for these products. The parties that pay for these services, or payors, consist of healthcare insurers, government payors (primarily Medicare and Medicaid), client payors (e.g. hospitals, other laboratories, etc.), and patient self-pay. Our service is completed upon the delivery of test results to the prescribing rheumatologists which triggers billing for the service.</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payor and other factors. These assessments require significant judgment by management.</w:t>
      </w:r>
    </w:p>
    <w:p>
      <w:pPr>
        <w:spacing w:after="0" w:line="18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As more fully described under the heading "Overview - Recent Developments" above, we experienced a disruption in our revenue recognition and cash collection during the quarter ended June 30, 2022 in relation to Medicare Part B reimbursements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As Medicare payments have now resumed, we have reassessed the constraint on variable consideration related to claims from the second and third quarter of 2022 and recognized $3.7 million in additional revenue and $3.6 million in additional accounts receivable from the second quarter period in the third quarter of 2022 when the uncertainty was resolved.</w:t>
      </w:r>
    </w:p>
    <w:p>
      <w:pPr>
        <w:spacing w:after="0" w:line="21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4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Each payor, whether a commercial third-party,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expect that our costs of revenue will increase in absolute dollars as the number of tests we perform increases. However, we expect that the cost per test will decrease over time due to volume discounts on materials and other volume efficiencies we may gain as the number of tests we perform increases. The decrease in cost per test may be partially offset due to increased depreciation and allocated overhead associated with our clinical laboratory expansion as well as increased labor, material and shipping costs (including as a result of inflation) associated with the commercialization of our portfolio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ind w:right="50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and security agreement with Innovatus.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primarily of interest income earned on our cash and cash equivalents.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32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8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6"/>
        </w:trPr>
        <w:tc>
          <w:tcPr>
            <w:tcW w:w="6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w:t>
            </w:r>
          </w:p>
        </w:tc>
      </w:tr>
      <w:tr>
        <w:trPr>
          <w:trHeight w:val="197"/>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r>
      <w:tr>
        <w:trPr>
          <w:trHeight w:val="197"/>
        </w:trPr>
        <w:tc>
          <w:tcPr>
            <w:tcW w:w="682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2,623</w:t>
            </w:r>
          </w:p>
        </w:tc>
      </w:tr>
      <w:tr>
        <w:trPr>
          <w:trHeight w:val="208"/>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w:t>
            </w:r>
          </w:p>
        </w:tc>
      </w:tr>
      <w:tr>
        <w:trPr>
          <w:trHeight w:val="19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3,788</w:t>
            </w:r>
          </w:p>
        </w:tc>
      </w:tr>
      <w:tr>
        <w:trPr>
          <w:trHeight w:val="20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w:t>
            </w:r>
          </w:p>
        </w:tc>
      </w:tr>
      <w:tr>
        <w:trPr>
          <w:trHeight w:val="196"/>
        </w:trPr>
        <w:tc>
          <w:tcPr>
            <w:tcW w:w="6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r>
      <w:tr>
        <w:trPr>
          <w:trHeight w:val="190"/>
        </w:trPr>
        <w:tc>
          <w:tcPr>
            <w:tcW w:w="6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w:t>
            </w:r>
          </w:p>
        </w:tc>
      </w:tr>
      <w:tr>
        <w:trPr>
          <w:trHeight w:val="26"/>
        </w:trPr>
        <w:tc>
          <w:tcPr>
            <w:tcW w:w="68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Revenue increased $ 2.5 million, or 20.2%, for the three months ended September 30, 2022 compared to the three months ended September 30, 2021, primarily due to an increase of $3.7 million from the reassessment of the constraint on variable consideration related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Medicare claims from the second quarter of 2022, partially offset by a net revenue decrease of $1.9 million associated with changes in estimated variable consideration related to performance obligations satisfied in previous periods.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87% of revenue in each of the three months ended September 30, 2022 and 2021, increased to 35,569 tests delivered in the three months ended September 30, 2022 compared to 31,742 tests delivered in the same 2021 period.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ordering healthcare providers increased to 2,287 for the three months ended September 30, 2022 as compared to 1,969 ordering healthcare providers in the same 2021 period. Revenue resulting from the Janssen Agreement contributed no revenue for the three months ended September 30, 2022 compared to $0.4 million for the three months ended September 30,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34"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color w:val="auto"/>
        </w:rPr>
        <w:t>Costs of revenue increased $0.5 million, or 9.5%, for the three months ended September 30, 2022 compared to the three months ended September 30, 2021. This increase was primarily due to increased direct costs, such as labor and shipping and handling; and allocated overhead. Gross margin as a percentage of revenue increased to 59.2% for the three months ended September 30, 2022, compared to</w:t>
      </w:r>
    </w:p>
    <w:p>
      <w:pPr>
        <w:spacing w:after="0" w:line="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55.2% for the three months ended September 30, 2021. This was primarily attributable to increased revenues and increased volume partially offset by decreases in Simponi revenue and increased direct costs, such as labor and shipping and handling; and allocated overhead.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Selling, general and administrative expenses increased $2.6 million, or 22.8%, for the three months ended September 30, 2022 compared to the three months ended September 30, 2021. This increase was primarily due to a net increase of $1.0 million of employee related expenses, including stock-based compensation and recruitment expenses, increases related to marketing expenses of $0.7 million, audit and professional services of $0.4 million, allocated overhead of $0.3 million, legal fees of $0.1 million and third-party billing expenses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Research and development expenses increased $0.6 million for the three months ended September 30, 2022 compared to the three months ended September 30, 2021. This increase was primarily due to increases in expenses related to current and potential future employees, including stock-based compensation and recruitment expenses of $0.3 million, increases related to allocated overhead of $0.2 million and laboratory supplies expense of $0.3 million, partially offset by decreases in clinical trial expenses of $0.1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Interest expense remained substantially consistent for the three months ended September 30, 2022 compared to the three months ended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Other income, net, increased by $0.3 million for the three months ended September 30, 2022 compared to the three months ended September 30, 2021. This increase was primarily due to increases in interest income due to rising interest rates.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324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6"/>
        </w:trPr>
        <w:tc>
          <w:tcPr>
            <w:tcW w:w="6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r>
      <w:tr>
        <w:trPr>
          <w:trHeight w:val="196"/>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r>
      <w:tr>
        <w:trPr>
          <w:trHeight w:val="196"/>
        </w:trPr>
        <w:tc>
          <w:tcPr>
            <w:tcW w:w="682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39,206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32,739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6,467</w:t>
            </w: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w:t>
            </w:r>
          </w:p>
        </w:tc>
      </w:tr>
      <w:tr>
        <w:trPr>
          <w:trHeight w:val="19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64,286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10,863</w:t>
            </w:r>
          </w:p>
        </w:tc>
      </w:tr>
      <w:tr>
        <w:trPr>
          <w:trHeight w:val="20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(13,747)</w:t>
            </w:r>
          </w:p>
        </w:tc>
      </w:tr>
      <w:tr>
        <w:trPr>
          <w:trHeight w:val="196"/>
        </w:trPr>
        <w:tc>
          <w:tcPr>
            <w:tcW w:w="6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r>
      <w:tr>
        <w:trPr>
          <w:trHeight w:val="190"/>
        </w:trPr>
        <w:tc>
          <w:tcPr>
            <w:tcW w:w="6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(33,033)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(19,798)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(13,235)</w:t>
            </w:r>
          </w:p>
        </w:tc>
      </w:tr>
      <w:tr>
        <w:trPr>
          <w:trHeight w:val="26"/>
        </w:trPr>
        <w:tc>
          <w:tcPr>
            <w:tcW w:w="6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$2.9 million, or 8.1%, for the nine months ended September 30, 2022 compared to the nine months ended</w:t>
      </w:r>
    </w:p>
    <w:p>
      <w:pPr>
        <w:spacing w:after="0" w:line="204" w:lineRule="auto"/>
        <w:rPr>
          <w:sz w:val="20"/>
          <w:szCs w:val="20"/>
          <w:color w:val="auto"/>
        </w:rPr>
      </w:pPr>
      <w:r>
        <w:rPr>
          <w:rFonts w:ascii="Arial" w:cs="Arial" w:eastAsia="Arial" w:hAnsi="Arial"/>
          <w:sz w:val="18"/>
          <w:szCs w:val="18"/>
          <w:color w:val="auto"/>
        </w:rPr>
        <w:t>September 30, 2021, primarily due a decrease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revenue of $1.4 million resulting from a decrease in average reimbursement</w:t>
      </w:r>
    </w:p>
    <w:p>
      <w:pPr>
        <w:spacing w:after="0" w:line="196" w:lineRule="auto"/>
        <w:rPr>
          <w:sz w:val="20"/>
          <w:szCs w:val="20"/>
          <w:color w:val="auto"/>
        </w:rPr>
      </w:pPr>
      <w:r>
        <w:rPr>
          <w:rFonts w:ascii="Arial" w:cs="Arial" w:eastAsia="Arial" w:hAnsi="Arial"/>
          <w:sz w:val="18"/>
          <w:szCs w:val="18"/>
          <w:color w:val="auto"/>
        </w:rPr>
        <w:t>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a $1.0 million decrease due to the termination of the SIMPONI agreement and a $0.5 million decrease from other</w:t>
      </w:r>
    </w:p>
    <w:p>
      <w:pPr>
        <w:spacing w:after="0" w:line="196" w:lineRule="auto"/>
        <w:rPr>
          <w:sz w:val="20"/>
          <w:szCs w:val="20"/>
          <w:color w:val="auto"/>
        </w:rPr>
      </w:pPr>
      <w:r>
        <w:rPr>
          <w:rFonts w:ascii="Arial" w:cs="Arial" w:eastAsia="Arial" w:hAnsi="Arial"/>
          <w:sz w:val="18"/>
          <w:szCs w:val="18"/>
          <w:color w:val="auto"/>
        </w:rPr>
        <w:t>testing.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84% and 81% of revenue in the nine months ended September 30,</w:t>
      </w:r>
    </w:p>
    <w:p>
      <w:pPr>
        <w:spacing w:after="0"/>
        <w:rPr>
          <w:sz w:val="20"/>
          <w:szCs w:val="20"/>
          <w:color w:val="auto"/>
        </w:rPr>
      </w:pPr>
      <w:r>
        <w:rPr>
          <w:rFonts w:ascii="Arial" w:cs="Arial" w:eastAsia="Arial" w:hAnsi="Arial"/>
          <w:sz w:val="18"/>
          <w:szCs w:val="18"/>
          <w:color w:val="auto"/>
        </w:rPr>
        <w:t>2022 and 2021, respectively, increased to 101,391 tests delivered in the nine months ended September 30, 2022 compared to 94,099 tests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delivered in the same 2021 period. The number of ordering healthcare providers increased to 3,127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compared to 2,595 in the same 2021 period. Revenue resulting from the Janssen Agreement contributed no revenue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nine months ended September 30, 2022 compared to $1.0 million during the nine months ended September 30,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Costs of revenue increased $2.3 million, or 14.4%, for the nine months ended September 30, 2022 compared to the nine months ended September 30, 2021. This increase was primarily due to increased direct costs such as materials and supplies, labor, shipping and handling and allocated overhead associated with the increase in test volume in 2022 compared to 2021. Gross margin as a percentage of revenue decreased to 45.3% for the nine months ended September 30, 2022, compared to 56.1% for the nine months ended September 30, 2021. This was primarily attributable to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a decrease in revenue from the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Janssen Agreement and increased direct costs, such as labor and shipping and handling; partially offset by increased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Selling, general and administrative expenses increased $6.5 million, or 19.8%, for the nine months ended September 30, 2022 compared to the nine months ended September 30, 2021. This increase was primarily due to an increase of $3.3 million of employee related expenses, including stock-based compensation and recruitment expenses, increases related to allocated overhead of $0.7 million, legal fees of $0.5 million, audit and professional services of $0.6 million, marketing expenses of $0.9 million and third-party billing expenses of $0.2 million.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expenses increased $2.1 million, or 42.5%, for the nine months ended September 30, 2022 compared to the nine months ended September 30, 2021. This increase was primarily due to increases in expenses related to current, former and potential employees, including severance, stock-based compensation and recruitment expenses of $1.4 million, collaboration expenses of $0.1 million, allocated overhead of $0.4 million, laboratory supplies expense of $0.6 million and consulting fees of $0.1 million, partially offset by decreases in clinical trial expenses of $0.5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Interest expense remained substantially consistent for the nine months ended September 30, 2022 compared to the nine months ended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Other income, net, increased by $0.3 million for the nine months ended September 30, 2022 compared to the nine months ended September 30, 2021. This increase was primarily due to increases in interest income due to rising interest rates.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incurred net losses since our inception. For the nine months ended September 30, 2022 and 2021, we incurred a net loss of $33.0 million and $19.8 million, respectively, and we expect to incur additional losses and increased operating expenses in future periods. As of September 30, 2022, we had an accumulated deficit of $241.2 million. To date, we have generated only limited revenue, and we may never achieve revenue sufficient to offset our expenses.</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primary sources of capital have been sales of our common stock and redeemable convertible preferred stock, the sale of our common stock in our IPO, and, to a lesser extent, borrowings under various debt financings. On November 10, 2020, we filed a registration statement on Form S-3 (Shelf Registration Statement), which was declared effective by the SEC on November 19, 2020, covering the offering, from time to time, of up to $150.0 million of common stock, preferred stock, debt securities, warrants and units. In March 2021, we completed a public offering of 4,255,000 shares of our common stock at a public offering price of $16.25 per share, which shares were sold under the Shelf Registration Statement. Net proceeds from the offering were approximately $64.7 million, net of underwriting discounts and commissions and other offering expenses of $4.4 million.</w:t>
      </w:r>
    </w:p>
    <w:p>
      <w:pPr>
        <w:spacing w:after="0" w:line="19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September 2017, we entered into the 2017 Term Loan with Innovatus under which we immediately drew down $20.0 million. In December 2018, we borrowed an additional $5.0 million under the loan agreement. In each of November 2019 and November 2021, we amended the 2017 Term Loan with Innovatus, which we collectively refer to as the Amended Loan Agreement. Pursuant to the Amended Loan Agreement, the loan term is for nine years with a final maturity date of November 2026. The Amended Loan Agreement accrues interest at an annual rate of 8.0%, of which 2.0% will be payable in-kind. Paid in-kind interest is added to the principal balance each period. After December 1, 2024, the entire 8.0% will be paid in cash at the end of each period. On or after November 1, 2022, we may, at our option, prepay the term loan</w:t>
      </w:r>
    </w:p>
    <w:p>
      <w:pPr>
        <w:spacing w:after="0" w:line="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borrowings by paying the lender a prepayment premium. The prepayment premium was 3% as of November 2021 and decreases by 1% on each of November 1, 2022, November 1, 2023 and November 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34" w:name="page35"/>
    <w:bookmarkEnd w:id="34"/>
    <w:p>
      <w:pPr>
        <w:spacing w:after="0" w:line="251"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performance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in the Amended Loan Agreement. As of September 30, 2022, we were in compliance with all covenants of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21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September 15, 2022, the Company entered into the Sales Agreement, pursuant to which the Company may offer and sell, from time to time, shares of Company common stock having an aggregate offering price of up to $50.0 million. The Company is not obligated to sell any shares of Company common stock in the offering. As of September 30, 2022, the Company has not sold any shares of its common stock pursuant to the Sales Agreement.</w:t>
      </w:r>
    </w:p>
    <w:p>
      <w:pPr>
        <w:spacing w:after="0" w:line="204"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As of September 30, 2022, we had $68.7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4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may be increased to support the growth of our business. We expect that our costs of revenue, selling, general and administrative expenses, and research and development expenses may continue to increase to the extent we increase our test volume, expand our marketing efforts and increase our internal sales force to drive increased adoption of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prepare to commercialize new testing products, continue our research and development efforts and further develop our product pipeline. We believe we have sufficient laboratory capacity to support increased test volume. We have made significant investments for laboratory equipment and capital expenditures related to our laboratory facilities and expansion of research capabilities. This includes converting approximately 8,000 square feet of warehouse space into additional clinical laboratory space and approximately 6,000 square feet of warehouse space into additional research and development space. We began such conversion in the second half of 2021 and completed the conversion for the clinical laboratory space in the second quarter of 2022. The conversion of the research and development space was substantially completed in the third quarter of 2022 and will be placed into service in the fourth quarter of 2022. The converted clinical laboratory space is currently being utilized for both clinical laboratory and research and development purposes. The expansion of our clinical laboratory and research and development facilities are expected to allow us to enhance our testing capacity and improve efficiencies. Additionally, we expect that it will enable us to pursue development of molecular and multiomic capabilities and advance our product pipeline, including support of the development of tests for fibromyalgia, RA and lupus nephritis. Cash used to fund operating expenses is impacted by the timing of when we pay expenses, as reflected in the change in our outstanding accounts payable and accrued expenses.</w:t>
      </w:r>
    </w:p>
    <w:p>
      <w:pPr>
        <w:spacing w:after="0" w:line="2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5" w:name="page36"/>
    <w:bookmarkEnd w:id="35"/>
    <w:p>
      <w:pPr>
        <w:ind w:right="52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3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52" w:lineRule="exact"/>
        <w:rPr>
          <w:rFonts w:ascii="Arial" w:cs="Arial" w:eastAsia="Arial" w:hAnsi="Arial"/>
          <w:sz w:val="18"/>
          <w:szCs w:val="18"/>
          <w:color w:val="auto"/>
        </w:rPr>
      </w:pPr>
    </w:p>
    <w:p>
      <w:pPr>
        <w:ind w:left="660" w:right="80" w:hanging="328"/>
        <w:spacing w:after="0" w:line="22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4"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additional costs we may incur as a result of operating as a public company;</w:t>
      </w:r>
    </w:p>
    <w:p>
      <w:pPr>
        <w:spacing w:after="0" w:line="6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 and</w:t>
      </w:r>
    </w:p>
    <w:p>
      <w:pPr>
        <w:spacing w:after="0" w:line="35"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our promotion of other therapeutics, if any, including the expansion of our sales capabilities, and the extent and timing of generating revenue from each such promotion, if any.</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potentially including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314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83"/>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(26,410)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(14,222)</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64,896</w:t>
            </w:r>
          </w:p>
        </w:tc>
      </w:tr>
      <w:tr>
        <w:trPr>
          <w:trHeight w:val="22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49,318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4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2022 was $26.4 million and primarily resulted from (i) our net loss of $33.0 million adjusted for non-cash charges of $6.4 million related to stock-based compensation, depreciation, amortization, non-cash lease expense and non-cash interest and (ii) changes in our net operating assets of $0.2 million primarily related to net decreases in accrued and other current liabilities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ind w:right="460"/>
        <w:spacing w:after="0" w:line="261" w:lineRule="auto"/>
        <w:rPr>
          <w:sz w:val="20"/>
          <w:szCs w:val="20"/>
          <w:color w:val="auto"/>
        </w:rPr>
      </w:pPr>
      <w:r>
        <w:rPr>
          <w:rFonts w:ascii="Arial" w:cs="Arial" w:eastAsia="Arial" w:hAnsi="Arial"/>
          <w:sz w:val="18"/>
          <w:szCs w:val="18"/>
          <w:color w:val="auto"/>
        </w:rPr>
        <w:t>operating lease liabilities, partially offset by net increases in accounts payable and net decreases in prepaid expenses and other current assets.</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2021 was $14.2 million and primarily resulted from (i) our net loss of $19.8 million adjusted for non-cash charges of $4.8 million related to stock-based compensation, depreciation, amortization and non-cash interest and (ii) changes in our net operating assets of $0.7 million primarily related to net decreases in prepaid expenses and other current assets, partially offset by net decreases in accounts payables.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Net cash used in investing activities for the nine months ended September 30, 2022 and 2021 was $3.9 million and $1.4 million, respectively, and was due to net purchases of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Net cash used in financing activities for the nine months ended September 30, 2022 was $0.3 million and primarily resulted from payment on finance lease obligations and payment of taxes withheld on vested restricted stock units, partially offset by proceeds from ESPP purchases.</w:t>
      </w:r>
    </w:p>
    <w:p>
      <w:pPr>
        <w:spacing w:after="0" w:line="19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2021 was $64.9 million primarily resulted from the net proceeds received from our public offering in March 2021 of $64.7 million and proceeds from ESPP purchases, partially offset by principal payments on finance lease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4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GAAP. The year-end condensed balance sheet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a description of our critical accounting policies,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Policies and Significant Management Estimates</w:t>
      </w:r>
      <w:r>
        <w:rPr>
          <w:rFonts w:ascii="Arial" w:cs="Arial" w:eastAsia="Arial" w:hAnsi="Arial"/>
          <w:sz w:val="18"/>
          <w:szCs w:val="18"/>
          <w:color w:val="auto"/>
        </w:rPr>
        <w:t>" contained in our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2021. Except as disclosed in Note 2 to the unaudited condensed financial statements included in this Quarterly Report on Form 10-Q, there have been no significant changes in our critical accounting policies and estimates during the three months ended September 30, 2022 as compared to the critical accounting policies and estimates disclosed in the Management’s Discussion and Analysis of Financial Condition and Operations included in our Annual Report on Form 10-K for the year ended December 31, 2021 filed with the SEC on March 22,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Please see Note 2 to the unaudited condensed financial statements included in this Quarterly Report on Form 10-Q for a summary of changes in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4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Jumpstart Our Business Startups Act of 2012 (the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(ii) affirmatively and irrevocably opt out of the extended transition period provided in the JOBS Act. As a result, our audited financial</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37" w:name="page38"/>
    <w:bookmarkEnd w:id="37"/>
    <w:p>
      <w:pPr>
        <w:ind w:right="460"/>
        <w:spacing w:after="0" w:line="261" w:lineRule="auto"/>
        <w:rPr>
          <w:sz w:val="20"/>
          <w:szCs w:val="20"/>
          <w:color w:val="auto"/>
        </w:rPr>
      </w:pPr>
      <w:r>
        <w:rPr>
          <w:rFonts w:ascii="Arial" w:cs="Arial" w:eastAsia="Arial" w:hAnsi="Arial"/>
          <w:sz w:val="18"/>
          <w:szCs w:val="18"/>
          <w:color w:val="auto"/>
        </w:rPr>
        <w:t>statements may not be comparable to companies that comply with new or revised accounting pronouncements as of public company effective dates.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will remain an emerging growth company until the last day of our fiscal year following the fifth anniversary of the date of the first sale of our common equity securities pursuant to an effective registration statement under the Securities Act of 1933, as amended (the Securities Act), which will occur in 2024. However, if certain events occur prior to the end of this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this anniversary.</w:t>
      </w:r>
    </w:p>
    <w:p>
      <w:pPr>
        <w:spacing w:after="0" w:line="1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24" w:right="5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At the end of the period covered by this Quarterly Report on Form 10-Q, our management, with the participation of our principal executive officer and principal financial officer, evaluated the effectiveness of our disclosure controls and procedures. Disclosure controls and procedures include, without limitation, controls and procedures designed to ensure that information required to be disclosed in our reports that we file or submit under the Exchange Act is recorded, processed, summarized and reported within the time period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November 13, 2022, management and the audit committee of our board of directors determined that we made certain errors in revenue resulting from erroneous and duplicate billings related to changes in billing practices. The errors were due to the inadequate design and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20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have concluded that these were material errors in the financial statements requiring a restatement of the Form 10-Q for the three and six months ended June 30, 2022.</w:t>
      </w:r>
    </w:p>
    <w:p>
      <w:pPr>
        <w:spacing w:after="0" w:line="198"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Accordingly, management has determined that this control deficiency constituted a material weakness and, as a result, management has concluded that, as of September 30, 2022, our internal control over financial reporting was not effective based on the criteria in Internal Control Integrated Framework (2013) issued by the Committee of Sponsoring Organizations of the Treadway Commission (the COSO criteria).</w:t>
      </w:r>
    </w:p>
    <w:p>
      <w:pPr>
        <w:spacing w:after="0" w:line="20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Based on that evaluation, our principal executive officer and principal financial officer concluded that our disclosure controls and procedures were not effective to ensure that the information required to be disclosed by us in reports that we file or submit under the Exchange Act is recorded, processed, summarized and reported within the time periods specified in the SEC’s rules and forms.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to Address the Material Weaknesses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is actively engaged in the planning for, and implementation of, remediation efforts to address the material weakness. The remediation plan includes: (i) evaluating the staffing level, skills and qualification of accounting department personnel, (ii) enhancement of our existing control structure and processes for revenue recognition and (iii) improving the detailed review process of our revenue recognition models. The elements of our remediation plan can only be accomplished over time, and we can offer no assurance that these initiatives will ultimately have the intended effects.</w:t>
      </w:r>
    </w:p>
    <w:p>
      <w:pPr>
        <w:spacing w:after="0" w:line="19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elements of our remediation plan can only be accomplished over time, and we can offer no assurance that these initiatives will ultimately have the intended effects. The weakness will not be considered remediated, however, until the applicable controls operate for a sufficient period of time and management has concluded, through testing, that these controls are operating effectively.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Other than the material weakness and remediation plan discussed above, there were no changes in our internal control over financial reporting (as such term is defined by Rules 13a-15(f) and 15d-15(f) of the Exchange Act)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9" w:name="page40"/>
    <w:bookmarkEnd w:id="39"/>
    <w:p>
      <w:pPr>
        <w:spacing w:after="0" w:line="261" w:lineRule="auto"/>
        <w:rPr>
          <w:sz w:val="20"/>
          <w:szCs w:val="20"/>
          <w:color w:val="auto"/>
        </w:rPr>
      </w:pPr>
      <w:r>
        <w:rPr>
          <w:rFonts w:ascii="Arial" w:cs="Arial" w:eastAsia="Arial" w:hAnsi="Arial"/>
          <w:sz w:val="18"/>
          <w:szCs w:val="18"/>
          <w:color w:val="auto"/>
        </w:rPr>
        <w:t>during the most recent fiscal quarter ended September 30, 2022 that have materially affected, or are reasonably likely to materially affect, our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6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2021, other than those set forth below and in Part II, Item 1A of our Quarterly Report on Form 10-Q for the three and six months ended June 30, 2022, as amended:</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determined that our disclosure controls and procedures were ineffective as of September 30, 2022, in connection with the restatement of our financial statements as of and for the three and six months ended June 30, 2022.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 reporting obligations.</w:t>
      </w:r>
    </w:p>
    <w:p>
      <w:pPr>
        <w:spacing w:after="0" w:line="1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Disclosure controls and procedures include, without limitation, controls and procedures designed to ensure that information required to be disclosed in our reports that we file or submit under the Securities and Exchange Act of 1934, as amended, is recorded, processed, summarized and reported within the time period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November 13, 2022, management and the audit committee of our board of directors determined that we made certain errors in revenue resulting from erroneous and duplicate billings related to changes in billing practices. The errors were due to the inadequate design and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15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then determined that there were material errors in the financial statements requiring a restatement of the Form 10-Q for the three and six months ended June 30, 2022.</w:t>
      </w:r>
    </w:p>
    <w:p>
      <w:pPr>
        <w:spacing w:after="0" w:line="14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Accordingly, management has determined that this control deficiency constituted a material weakness and, as a result, management has concluded that, as of September 30, 2022, our internal control over financial reporting was not effective based on the criteria in Internal Control Integrated Framework (2013) issued by the Committee of Sponsoring Organizations of the Treadway Commission (the COSO criteria).</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is actively engaged in the planning for, and implementation of, remediation efforts to address the material weakness. The remediation plan includes: (i) evaluating the staffing level, skills and qualification of accounting department personnel, (ii) enhancement of our existing control structure and processes for revenue recognition and (iii) improving the detailed review process of our revenue recognition models. The elements of our</w:t>
      </w:r>
    </w:p>
    <w:p>
      <w:pPr>
        <w:sectPr>
          <w:pgSz w:w="11900" w:h="16838" w:orient="portrait"/>
          <w:cols w:equalWidth="0" w:num="1">
            <w:col w:w="11240"/>
          </w:cols>
          <w:pgMar w:left="320" w:top="1129"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41" w:name="page42"/>
    <w:bookmarkEnd w:id="41"/>
    <w:p>
      <w:pPr>
        <w:ind w:right="200"/>
        <w:spacing w:after="0" w:line="261" w:lineRule="auto"/>
        <w:rPr>
          <w:sz w:val="20"/>
          <w:szCs w:val="20"/>
          <w:color w:val="auto"/>
        </w:rPr>
      </w:pPr>
      <w:r>
        <w:rPr>
          <w:rFonts w:ascii="Arial" w:cs="Arial" w:eastAsia="Arial" w:hAnsi="Arial"/>
          <w:sz w:val="18"/>
          <w:szCs w:val="18"/>
          <w:color w:val="auto"/>
        </w:rPr>
        <w:t>remediation plan can only be accomplished over time, and we can offer no assurance that these initiatives will ultimately have the intended effects.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are not able to comply with the applicable requirements of the Sarbanes-Oxley Act of 2002 or if we are unable to maintain effective internal control over financial reporting, we may not be able to produce timely and accurate financial statements or guarantee that information required to be disclosed by us in the reports that we file with the SEC, is recorded, processed, summarized, and reported within the time periods specified in SEC rules and forms. Any failure of our internal control over financial reporting or disclosure controls and procedures could cause our investors to lose confidence in our publicly reported information, cause the market price of our stock to decline, expose us to sanctions or investigations by the SEC or other regulatory authorities, or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3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9"/>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35"/>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tcPr>
          <w:p>
            <w:pPr>
              <w:ind w:left="20"/>
              <w:spacing w:after="0" w:line="155" w:lineRule="exact"/>
              <w:rPr>
                <w:sz w:val="20"/>
                <w:szCs w:val="20"/>
                <w:color w:val="auto"/>
              </w:rPr>
            </w:pPr>
            <w:r>
              <w:rPr>
                <w:rFonts w:ascii="Arial" w:cs="Arial" w:eastAsia="Arial" w:hAnsi="Arial"/>
                <w:sz w:val="14"/>
                <w:szCs w:val="14"/>
                <w:color w:val="auto"/>
              </w:rPr>
              <w:t>3.1</w:t>
            </w:r>
          </w:p>
        </w:tc>
        <w:tc>
          <w:tcPr>
            <w:tcW w:w="3140" w:type="dxa"/>
            <w:vAlign w:val="bottom"/>
            <w:gridSpan w:val="35"/>
          </w:tcPr>
          <w:p>
            <w:pPr>
              <w:spacing w:after="0" w:line="155" w:lineRule="exact"/>
              <w:rPr>
                <w:rFonts w:ascii="Arial" w:cs="Arial" w:eastAsia="Arial" w:hAnsi="Arial"/>
                <w:sz w:val="14"/>
                <w:szCs w:val="14"/>
                <w:color w:val="0000FF"/>
              </w:rPr>
            </w:pPr>
            <w:hyperlink r:id="rId51">
              <w:r>
                <w:rPr>
                  <w:rFonts w:ascii="Arial" w:cs="Arial" w:eastAsia="Arial" w:hAnsi="Arial"/>
                  <w:sz w:val="14"/>
                  <w:szCs w:val="14"/>
                  <w:color w:val="0000FF"/>
                </w:rPr>
                <w:t>Amended and Restated Certificate of</w:t>
              </w:r>
            </w:hyperlink>
          </w:p>
        </w:tc>
        <w:tc>
          <w:tcPr>
            <w:tcW w:w="800" w:type="dxa"/>
            <w:vAlign w:val="bottom"/>
          </w:tcPr>
          <w:p>
            <w:pPr>
              <w:jc w:val="center"/>
              <w:ind w:left="68"/>
              <w:spacing w:after="0" w:line="155" w:lineRule="exact"/>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line="155" w:lineRule="exact"/>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line="155" w:lineRule="exact"/>
              <w:rPr>
                <w:sz w:val="20"/>
                <w:szCs w:val="20"/>
                <w:color w:val="auto"/>
              </w:rPr>
            </w:pPr>
            <w:r>
              <w:rPr>
                <w:rFonts w:ascii="Arial" w:cs="Arial" w:eastAsia="Arial" w:hAnsi="Arial"/>
                <w:sz w:val="14"/>
                <w:szCs w:val="14"/>
                <w:color w:val="auto"/>
              </w:rPr>
              <w:t>3.1</w:t>
            </w:r>
          </w:p>
        </w:tc>
        <w:tc>
          <w:tcPr>
            <w:tcW w:w="1140" w:type="dxa"/>
            <w:vAlign w:val="bottom"/>
          </w:tcPr>
          <w:p>
            <w:pPr>
              <w:jc w:val="center"/>
              <w:spacing w:after="0" w:line="155" w:lineRule="exact"/>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88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51">
              <w:r>
                <w:rPr>
                  <w:rFonts w:ascii="Arial" w:cs="Arial" w:eastAsia="Arial" w:hAnsi="Arial"/>
                  <w:sz w:val="14"/>
                  <w:szCs w:val="14"/>
                  <w:color w:val="0000FF"/>
                </w:rPr>
                <w:t>Incorporation.</w:t>
              </w:r>
            </w:hyperlink>
          </w:p>
        </w:tc>
        <w:tc>
          <w:tcPr>
            <w:tcW w:w="1480" w:type="dxa"/>
            <w:vAlign w:val="bottom"/>
            <w:tcBorders>
              <w:top w:val="single" w:sz="8" w:color="0000FF"/>
            </w:tcBorders>
            <w:gridSpan w:val="7"/>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35"/>
          </w:tcPr>
          <w:p>
            <w:pPr>
              <w:spacing w:after="0"/>
              <w:rPr>
                <w:rFonts w:ascii="Arial" w:cs="Arial" w:eastAsia="Arial" w:hAnsi="Arial"/>
                <w:sz w:val="14"/>
                <w:szCs w:val="14"/>
                <w:color w:val="0000FF"/>
              </w:rPr>
            </w:pPr>
            <w:hyperlink r:id="rId52">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3140" w:type="dxa"/>
            <w:vAlign w:val="bottom"/>
            <w:gridSpan w:val="35"/>
          </w:tcPr>
          <w:p>
            <w:pPr>
              <w:spacing w:after="0"/>
              <w:rPr>
                <w:rFonts w:ascii="Arial" w:cs="Arial" w:eastAsia="Arial" w:hAnsi="Arial"/>
                <w:sz w:val="14"/>
                <w:szCs w:val="14"/>
                <w:color w:val="0000FF"/>
              </w:rPr>
            </w:pPr>
            <w:hyperlink r:id="rId53">
              <w:r>
                <w:rPr>
                  <w:rFonts w:ascii="Arial" w:cs="Arial" w:eastAsia="Arial" w:hAnsi="Arial"/>
                  <w:sz w:val="14"/>
                  <w:szCs w:val="14"/>
                  <w:color w:val="0000FF"/>
                </w:rPr>
                <w:t>Specimen stock certificate evidencing the shares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12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53">
              <w:r>
                <w:rPr>
                  <w:rFonts w:ascii="Arial" w:cs="Arial" w:eastAsia="Arial" w:hAnsi="Arial"/>
                  <w:sz w:val="14"/>
                  <w:szCs w:val="14"/>
                  <w:color w:val="0000FF"/>
                </w:rPr>
                <w:t>of common stock.</w:t>
              </w:r>
            </w:hyperlink>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3140" w:type="dxa"/>
            <w:vAlign w:val="bottom"/>
            <w:gridSpan w:val="35"/>
          </w:tcPr>
          <w:p>
            <w:pPr>
              <w:spacing w:after="0"/>
              <w:rPr>
                <w:rFonts w:ascii="Arial" w:cs="Arial" w:eastAsia="Arial" w:hAnsi="Arial"/>
                <w:sz w:val="14"/>
                <w:szCs w:val="14"/>
                <w:color w:val="0000FF"/>
              </w:rPr>
            </w:pPr>
            <w:hyperlink r:id="rId54">
              <w:r>
                <w:rPr>
                  <w:rFonts w:ascii="Arial" w:cs="Arial" w:eastAsia="Arial" w:hAnsi="Arial"/>
                  <w:sz w:val="14"/>
                  <w:szCs w:val="14"/>
                  <w:color w:val="0000FF"/>
                </w:rPr>
                <w:t>Amended and Restated Investors' Rights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4.2</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60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54">
              <w:r>
                <w:rPr>
                  <w:rFonts w:ascii="Arial" w:cs="Arial" w:eastAsia="Arial" w:hAnsi="Arial"/>
                  <w:sz w:val="14"/>
                  <w:szCs w:val="14"/>
                  <w:color w:val="0000FF"/>
                </w:rPr>
                <w:t>Agreement, dated July 12, 2019, by and</w:t>
              </w:r>
            </w:hyperlink>
          </w:p>
        </w:tc>
        <w:tc>
          <w:tcPr>
            <w:tcW w:w="540" w:type="dxa"/>
            <w:vAlign w:val="bottom"/>
            <w:gridSpan w:val="18"/>
          </w:tcPr>
          <w:p>
            <w:pPr>
              <w:spacing w:after="0" w:line="129" w:lineRule="exact"/>
              <w:rPr>
                <w:rFonts w:ascii="Arial" w:cs="Arial" w:eastAsia="Arial" w:hAnsi="Arial"/>
                <w:sz w:val="14"/>
                <w:szCs w:val="14"/>
                <w:color w:val="0000FF"/>
              </w:rPr>
            </w:pPr>
            <w:hyperlink r:id="rId54">
              <w:r>
                <w:rPr>
                  <w:rFonts w:ascii="Arial" w:cs="Arial" w:eastAsia="Arial" w:hAnsi="Arial"/>
                  <w:sz w:val="14"/>
                  <w:szCs w:val="14"/>
                  <w:color w:val="0000FF"/>
                </w:rPr>
                <w:t>among</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84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54">
              <w:r>
                <w:rPr>
                  <w:rFonts w:ascii="Arial" w:cs="Arial" w:eastAsia="Arial" w:hAnsi="Arial"/>
                  <w:sz w:val="13"/>
                  <w:szCs w:val="13"/>
                  <w:color w:val="0000FF"/>
                </w:rPr>
                <w:t>the Company and certain of its stockholders.</w:t>
              </w:r>
            </w:hyperlink>
          </w:p>
        </w:tc>
        <w:tc>
          <w:tcPr>
            <w:tcW w:w="22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4.3</w:t>
            </w:r>
          </w:p>
        </w:tc>
        <w:tc>
          <w:tcPr>
            <w:tcW w:w="3140" w:type="dxa"/>
            <w:vAlign w:val="bottom"/>
            <w:gridSpan w:val="35"/>
          </w:tcPr>
          <w:p>
            <w:pPr>
              <w:spacing w:after="0"/>
              <w:rPr>
                <w:rFonts w:ascii="Arial" w:cs="Arial" w:eastAsia="Arial" w:hAnsi="Arial"/>
                <w:sz w:val="14"/>
                <w:szCs w:val="14"/>
                <w:color w:val="0000FF"/>
              </w:rPr>
            </w:pPr>
            <w:hyperlink r:id="rId55">
              <w:r>
                <w:rPr>
                  <w:rFonts w:ascii="Arial" w:cs="Arial" w:eastAsia="Arial" w:hAnsi="Arial"/>
                  <w:sz w:val="14"/>
                  <w:szCs w:val="14"/>
                  <w:color w:val="0000FF"/>
                </w:rPr>
                <w:t>Amended and Restated Stockholders'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5"/>
          </w:tcPr>
          <w:p>
            <w:pPr>
              <w:spacing w:after="0" w:line="129" w:lineRule="exact"/>
              <w:rPr>
                <w:rFonts w:ascii="Arial" w:cs="Arial" w:eastAsia="Arial" w:hAnsi="Arial"/>
                <w:sz w:val="14"/>
                <w:szCs w:val="14"/>
                <w:color w:val="0000FF"/>
              </w:rPr>
            </w:pPr>
            <w:hyperlink r:id="rId55">
              <w:r>
                <w:rPr>
                  <w:rFonts w:ascii="Arial" w:cs="Arial" w:eastAsia="Arial" w:hAnsi="Arial"/>
                  <w:sz w:val="14"/>
                  <w:szCs w:val="14"/>
                  <w:color w:val="0000FF"/>
                </w:rPr>
                <w:t>Agreement, dated July 12, 2019, by and among</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84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the Company and certain of its stockholders.</w:t>
              </w:r>
            </w:hyperlink>
          </w:p>
        </w:tc>
        <w:tc>
          <w:tcPr>
            <w:tcW w:w="22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4.4</w:t>
            </w:r>
          </w:p>
        </w:tc>
        <w:tc>
          <w:tcPr>
            <w:tcW w:w="3140" w:type="dxa"/>
            <w:vAlign w:val="bottom"/>
            <w:gridSpan w:val="35"/>
          </w:tcPr>
          <w:p>
            <w:pPr>
              <w:spacing w:after="0"/>
              <w:rPr>
                <w:rFonts w:ascii="Arial" w:cs="Arial" w:eastAsia="Arial" w:hAnsi="Arial"/>
                <w:sz w:val="14"/>
                <w:szCs w:val="14"/>
                <w:color w:val="0000FF"/>
              </w:rPr>
            </w:pPr>
            <w:hyperlink r:id="rId56">
              <w:r>
                <w:rPr>
                  <w:rFonts w:ascii="Arial" w:cs="Arial" w:eastAsia="Arial" w:hAnsi="Arial"/>
                  <w:sz w:val="14"/>
                  <w:szCs w:val="14"/>
                  <w:color w:val="0000FF"/>
                </w:rPr>
                <w:t>Form of Common Stock Purchase Warrant</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70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2920" w:type="dxa"/>
            <w:vAlign w:val="bottom"/>
            <w:tcBorders>
              <w:bottom w:val="single" w:sz="8" w:color="0000FF"/>
            </w:tcBorders>
            <w:gridSpan w:val="26"/>
          </w:tcPr>
          <w:p>
            <w:pPr>
              <w:spacing w:after="0" w:line="115" w:lineRule="exact"/>
              <w:rPr>
                <w:rFonts w:ascii="Arial" w:cs="Arial" w:eastAsia="Arial" w:hAnsi="Arial"/>
                <w:sz w:val="13"/>
                <w:szCs w:val="13"/>
                <w:color w:val="0000FF"/>
              </w:rPr>
            </w:pPr>
            <w:hyperlink r:id="rId56">
              <w:r>
                <w:rPr>
                  <w:rFonts w:ascii="Arial" w:cs="Arial" w:eastAsia="Arial" w:hAnsi="Arial"/>
                  <w:sz w:val="13"/>
                  <w:szCs w:val="13"/>
                  <w:color w:val="0000FF"/>
                </w:rPr>
                <w:t>connection with private placement financings.</w:t>
              </w:r>
            </w:hyperlink>
          </w:p>
        </w:tc>
        <w:tc>
          <w:tcPr>
            <w:tcW w:w="220" w:type="dxa"/>
            <w:vAlign w:val="bottom"/>
            <w:gridSpan w:val="9"/>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3140" w:type="dxa"/>
            <w:vAlign w:val="bottom"/>
            <w:gridSpan w:val="35"/>
          </w:tcPr>
          <w:p>
            <w:pPr>
              <w:spacing w:after="0"/>
              <w:rPr>
                <w:rFonts w:ascii="Arial" w:cs="Arial" w:eastAsia="Arial" w:hAnsi="Arial"/>
                <w:sz w:val="14"/>
                <w:szCs w:val="14"/>
                <w:color w:val="0000FF"/>
              </w:rPr>
            </w:pPr>
            <w:hyperlink r:id="rId57">
              <w:r>
                <w:rPr>
                  <w:rFonts w:ascii="Arial" w:cs="Arial" w:eastAsia="Arial" w:hAnsi="Arial"/>
                  <w:sz w:val="14"/>
                  <w:szCs w:val="14"/>
                  <w:color w:val="0000FF"/>
                </w:rPr>
                <w:t>Form of Common Stock Purchase Warrant to</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3140" w:type="dxa"/>
            <w:vAlign w:val="bottom"/>
            <w:gridSpan w:val="35"/>
          </w:tcPr>
          <w:p>
            <w:pPr>
              <w:spacing w:after="0" w:line="129" w:lineRule="exact"/>
              <w:rPr>
                <w:rFonts w:ascii="Arial" w:cs="Arial" w:eastAsia="Arial" w:hAnsi="Arial"/>
                <w:sz w:val="14"/>
                <w:szCs w:val="14"/>
                <w:color w:val="0000FF"/>
              </w:rPr>
            </w:pPr>
            <w:hyperlink r:id="rId57">
              <w:r>
                <w:rPr>
                  <w:rFonts w:ascii="Arial" w:cs="Arial" w:eastAsia="Arial" w:hAnsi="Arial"/>
                  <w:sz w:val="14"/>
                  <w:szCs w:val="14"/>
                  <w:color w:val="0000FF"/>
                </w:rPr>
                <w:t>purchase common stock issued to investors by</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8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57">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4.6</w:t>
            </w:r>
          </w:p>
        </w:tc>
        <w:tc>
          <w:tcPr>
            <w:tcW w:w="1720" w:type="dxa"/>
            <w:vAlign w:val="bottom"/>
            <w:tcBorders>
              <w:bottom w:val="single" w:sz="8" w:color="0000FF"/>
            </w:tcBorders>
            <w:gridSpan w:val="8"/>
          </w:tcPr>
          <w:p>
            <w:pPr>
              <w:spacing w:after="0"/>
              <w:rPr>
                <w:rFonts w:ascii="Arial" w:cs="Arial" w:eastAsia="Arial" w:hAnsi="Arial"/>
                <w:sz w:val="14"/>
                <w:szCs w:val="14"/>
                <w:color w:val="0000FF"/>
              </w:rPr>
            </w:pPr>
            <w:hyperlink r:id="rId58">
              <w:r>
                <w:rPr>
                  <w:rFonts w:ascii="Arial" w:cs="Arial" w:eastAsia="Arial" w:hAnsi="Arial"/>
                  <w:sz w:val="14"/>
                  <w:szCs w:val="14"/>
                  <w:color w:val="0000FF"/>
                </w:rPr>
                <w:t>Form of Exchange Warrant</w:t>
              </w:r>
            </w:hyperlink>
          </w:p>
        </w:tc>
        <w:tc>
          <w:tcPr>
            <w:tcW w:w="1420" w:type="dxa"/>
            <w:vAlign w:val="bottom"/>
            <w:gridSpan w:val="27"/>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3140" w:type="dxa"/>
            <w:vAlign w:val="bottom"/>
            <w:gridSpan w:val="35"/>
          </w:tcPr>
          <w:p>
            <w:pPr>
              <w:spacing w:after="0"/>
              <w:rPr>
                <w:rFonts w:ascii="Arial" w:cs="Arial" w:eastAsia="Arial" w:hAnsi="Arial"/>
                <w:sz w:val="14"/>
                <w:szCs w:val="14"/>
                <w:color w:val="0000FF"/>
              </w:rPr>
            </w:pPr>
            <w:hyperlink r:id="rId59">
              <w:r>
                <w:rPr>
                  <w:rFonts w:ascii="Arial" w:cs="Arial" w:eastAsia="Arial" w:hAnsi="Arial"/>
                  <w:sz w:val="14"/>
                  <w:szCs w:val="14"/>
                  <w:color w:val="0000FF"/>
                </w:rPr>
                <w:t>Employment Agreement, dated as of October</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tcPr>
          <w:p>
            <w:pPr>
              <w:jc w:val="center"/>
              <w:spacing w:after="0"/>
              <w:rPr>
                <w:sz w:val="20"/>
                <w:szCs w:val="20"/>
                <w:color w:val="auto"/>
              </w:rPr>
            </w:pPr>
            <w:r>
              <w:rPr>
                <w:rFonts w:ascii="Arial" w:cs="Arial" w:eastAsia="Arial" w:hAnsi="Arial"/>
                <w:sz w:val="14"/>
                <w:szCs w:val="14"/>
                <w:color w:val="auto"/>
              </w:rPr>
              <w:t>10/16/2022</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90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59">
              <w:r>
                <w:rPr>
                  <w:rFonts w:ascii="Arial" w:cs="Arial" w:eastAsia="Arial" w:hAnsi="Arial"/>
                  <w:sz w:val="14"/>
                  <w:szCs w:val="14"/>
                  <w:color w:val="0000FF"/>
                </w:rPr>
                <w:t>16, 2022, by and between the Company and</w:t>
              </w:r>
            </w:hyperlink>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7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59">
              <w:r>
                <w:rPr>
                  <w:rFonts w:ascii="Arial" w:cs="Arial" w:eastAsia="Arial" w:hAnsi="Arial"/>
                  <w:sz w:val="13"/>
                  <w:szCs w:val="13"/>
                  <w:color w:val="0000FF"/>
                </w:rPr>
                <w:t>John Aballi.</w:t>
              </w:r>
            </w:hyperlink>
          </w:p>
        </w:tc>
        <w:tc>
          <w:tcPr>
            <w:tcW w:w="2080" w:type="dxa"/>
            <w:vAlign w:val="bottom"/>
            <w:tcBorders>
              <w:top w:val="single" w:sz="8" w:color="0000FF"/>
            </w:tcBorders>
            <w:gridSpan w:val="19"/>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40" w:type="dxa"/>
            <w:vAlign w:val="bottom"/>
          </w:tcPr>
          <w:p>
            <w:pPr>
              <w:ind w:left="20"/>
              <w:spacing w:after="0"/>
              <w:rPr>
                <w:sz w:val="20"/>
                <w:szCs w:val="20"/>
                <w:color w:val="auto"/>
              </w:rPr>
            </w:pPr>
            <w:r>
              <w:rPr>
                <w:rFonts w:ascii="Arial" w:cs="Arial" w:eastAsia="Arial" w:hAnsi="Arial"/>
                <w:sz w:val="14"/>
                <w:szCs w:val="14"/>
                <w:color w:val="auto"/>
              </w:rPr>
              <w:t>10.2#</w:t>
            </w:r>
          </w:p>
        </w:tc>
        <w:tc>
          <w:tcPr>
            <w:tcW w:w="3140" w:type="dxa"/>
            <w:vAlign w:val="bottom"/>
            <w:gridSpan w:val="35"/>
          </w:tcPr>
          <w:p>
            <w:pPr>
              <w:spacing w:after="0"/>
              <w:rPr>
                <w:rFonts w:ascii="Arial" w:cs="Arial" w:eastAsia="Arial" w:hAnsi="Arial"/>
                <w:sz w:val="14"/>
                <w:szCs w:val="14"/>
                <w:color w:val="0000FF"/>
              </w:rPr>
            </w:pPr>
            <w:hyperlink r:id="rId60">
              <w:r>
                <w:rPr>
                  <w:rFonts w:ascii="Arial" w:cs="Arial" w:eastAsia="Arial" w:hAnsi="Arial"/>
                  <w:sz w:val="14"/>
                  <w:szCs w:val="14"/>
                  <w:color w:val="0000FF"/>
                </w:rPr>
                <w:t>Severance Agreement, dated as of October 14,</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10.2</w:t>
            </w:r>
          </w:p>
        </w:tc>
        <w:tc>
          <w:tcPr>
            <w:tcW w:w="1140" w:type="dxa"/>
            <w:vAlign w:val="bottom"/>
          </w:tcPr>
          <w:p>
            <w:pPr>
              <w:jc w:val="center"/>
              <w:spacing w:after="0"/>
              <w:rPr>
                <w:sz w:val="20"/>
                <w:szCs w:val="20"/>
                <w:color w:val="auto"/>
              </w:rPr>
            </w:pPr>
            <w:r>
              <w:rPr>
                <w:rFonts w:ascii="Arial" w:cs="Arial" w:eastAsia="Arial" w:hAnsi="Arial"/>
                <w:sz w:val="14"/>
                <w:szCs w:val="14"/>
                <w:color w:val="auto"/>
              </w:rPr>
              <w:t>10/16/2022</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4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60">
              <w:r>
                <w:rPr>
                  <w:rFonts w:ascii="Arial" w:cs="Arial" w:eastAsia="Arial" w:hAnsi="Arial"/>
                  <w:sz w:val="14"/>
                  <w:szCs w:val="14"/>
                  <w:color w:val="0000FF"/>
                </w:rPr>
                <w:t>2022, by and between the Company and Ron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2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60">
              <w:r>
                <w:rPr>
                  <w:rFonts w:ascii="Arial" w:cs="Arial" w:eastAsia="Arial" w:hAnsi="Arial"/>
                  <w:sz w:val="13"/>
                  <w:szCs w:val="13"/>
                  <w:color w:val="0000FF"/>
                </w:rPr>
                <w:t>Rocca.</w:t>
              </w:r>
            </w:hyperlink>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2880" w:type="dxa"/>
            <w:vAlign w:val="bottom"/>
            <w:tcBorders>
              <w:bottom w:val="single" w:sz="8" w:color="0000FF"/>
            </w:tcBorders>
            <w:gridSpan w:val="24"/>
          </w:tcPr>
          <w:p>
            <w:pPr>
              <w:spacing w:after="0"/>
              <w:rPr>
                <w:rFonts w:ascii="Arial" w:cs="Arial" w:eastAsia="Arial" w:hAnsi="Arial"/>
                <w:sz w:val="14"/>
                <w:szCs w:val="14"/>
                <w:color w:val="0000FF"/>
              </w:rPr>
            </w:pPr>
            <w:hyperlink r:id="rId61">
              <w:r>
                <w:rPr>
                  <w:rFonts w:ascii="Arial" w:cs="Arial" w:eastAsia="Arial" w:hAnsi="Arial"/>
                  <w:sz w:val="14"/>
                  <w:szCs w:val="14"/>
                  <w:color w:val="0000FF"/>
                </w:rPr>
                <w:t>Sales Agreement, dated as of September 15,</w:t>
              </w:r>
            </w:hyperlink>
          </w:p>
        </w:tc>
        <w:tc>
          <w:tcPr>
            <w:tcW w:w="260" w:type="dxa"/>
            <w:vAlign w:val="bottom"/>
            <w:gridSpan w:val="11"/>
          </w:tcPr>
          <w:p>
            <w:pPr>
              <w:spacing w:after="0"/>
              <w:rPr>
                <w:sz w:val="15"/>
                <w:szCs w:val="15"/>
                <w:color w:val="auto"/>
              </w:rPr>
            </w:pPr>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1.1</w:t>
            </w:r>
          </w:p>
        </w:tc>
        <w:tc>
          <w:tcPr>
            <w:tcW w:w="1140" w:type="dxa"/>
            <w:vAlign w:val="bottom"/>
          </w:tcPr>
          <w:p>
            <w:pPr>
              <w:jc w:val="center"/>
              <w:spacing w:after="0"/>
              <w:rPr>
                <w:sz w:val="20"/>
                <w:szCs w:val="20"/>
                <w:color w:val="auto"/>
              </w:rPr>
            </w:pPr>
            <w:r>
              <w:rPr>
                <w:rFonts w:ascii="Arial" w:cs="Arial" w:eastAsia="Arial" w:hAnsi="Arial"/>
                <w:sz w:val="14"/>
                <w:szCs w:val="14"/>
                <w:color w:val="auto"/>
              </w:rPr>
              <w:t>9/15/2022</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5"/>
          </w:tcPr>
          <w:p>
            <w:pPr>
              <w:spacing w:after="0" w:line="129" w:lineRule="exact"/>
              <w:rPr>
                <w:rFonts w:ascii="Arial" w:cs="Arial" w:eastAsia="Arial" w:hAnsi="Arial"/>
                <w:sz w:val="14"/>
                <w:szCs w:val="14"/>
                <w:color w:val="0000FF"/>
              </w:rPr>
            </w:pPr>
            <w:hyperlink r:id="rId61">
              <w:r>
                <w:rPr>
                  <w:rFonts w:ascii="Arial" w:cs="Arial" w:eastAsia="Arial" w:hAnsi="Arial"/>
                  <w:sz w:val="14"/>
                  <w:szCs w:val="14"/>
                  <w:color w:val="0000FF"/>
                </w:rPr>
                <w:t>2022, by and between the Company and Cowen</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080" w:type="dxa"/>
            <w:vAlign w:val="bottom"/>
            <w:tcBorders>
              <w:top w:val="single" w:sz="8" w:color="0000FF"/>
            </w:tcBorders>
            <w:gridSpan w:val="32"/>
          </w:tcPr>
          <w:p>
            <w:pPr>
              <w:spacing w:after="0" w:line="115" w:lineRule="exact"/>
              <w:rPr>
                <w:rFonts w:ascii="Arial" w:cs="Arial" w:eastAsia="Arial" w:hAnsi="Arial"/>
                <w:sz w:val="13"/>
                <w:szCs w:val="13"/>
                <w:color w:val="0000FF"/>
              </w:rPr>
            </w:pPr>
            <w:hyperlink r:id="rId61">
              <w:r>
                <w:rPr>
                  <w:rFonts w:ascii="Arial" w:cs="Arial" w:eastAsia="Arial" w:hAnsi="Arial"/>
                  <w:sz w:val="13"/>
                  <w:szCs w:val="13"/>
                  <w:color w:val="0000FF"/>
                </w:rPr>
                <w:t>and Company, LLC</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31.1</w:t>
            </w:r>
          </w:p>
        </w:tc>
        <w:tc>
          <w:tcPr>
            <w:tcW w:w="3140" w:type="dxa"/>
            <w:vAlign w:val="bottom"/>
            <w:gridSpan w:val="35"/>
          </w:tcPr>
          <w:p>
            <w:pPr>
              <w:spacing w:after="0"/>
              <w:rPr>
                <w:sz w:val="20"/>
                <w:szCs w:val="20"/>
                <w:color w:val="auto"/>
              </w:rPr>
            </w:pPr>
            <w:r>
              <w:rPr>
                <w:rFonts w:ascii="Arial" w:cs="Arial" w:eastAsia="Arial" w:hAnsi="Arial"/>
                <w:sz w:val="14"/>
                <w:szCs w:val="14"/>
                <w:color w:val="0000FF"/>
              </w:rPr>
              <w:t>Certificate of Principal Executive Officer,</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3140" w:type="dxa"/>
            <w:vAlign w:val="bottom"/>
            <w:gridSpan w:val="35"/>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620" w:type="dxa"/>
            <w:vAlign w:val="bottom"/>
            <w:tcBorders>
              <w:top w:val="single" w:sz="8" w:color="0000FF"/>
            </w:tcBorders>
            <w:gridSpan w:val="18"/>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100" w:type="dxa"/>
            <w:vAlign w:val="bottom"/>
            <w:gridSpan w:val="2"/>
          </w:tcPr>
          <w:p>
            <w:pPr>
              <w:spacing w:after="0"/>
              <w:rPr>
                <w:sz w:val="10"/>
                <w:szCs w:val="10"/>
                <w:color w:val="auto"/>
              </w:rPr>
            </w:pPr>
          </w:p>
        </w:tc>
        <w:tc>
          <w:tcPr>
            <w:tcW w:w="28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9"/>
          </w:tcPr>
          <w:p>
            <w:pPr>
              <w:spacing w:after="0" w:line="129" w:lineRule="exact"/>
              <w:rPr>
                <w:sz w:val="20"/>
                <w:szCs w:val="20"/>
                <w:color w:val="auto"/>
              </w:rPr>
            </w:pPr>
            <w:r>
              <w:rPr>
                <w:rFonts w:ascii="Arial" w:cs="Arial" w:eastAsia="Arial" w:hAnsi="Arial"/>
                <w:sz w:val="14"/>
                <w:szCs w:val="14"/>
                <w:color w:val="0000FF"/>
              </w:rPr>
              <w:t>Sarbanes-Oxley Act of 2002.</w:t>
            </w:r>
          </w:p>
        </w:tc>
        <w:tc>
          <w:tcPr>
            <w:tcW w:w="70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28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31.2</w:t>
            </w:r>
          </w:p>
        </w:tc>
        <w:tc>
          <w:tcPr>
            <w:tcW w:w="3140" w:type="dxa"/>
            <w:vAlign w:val="bottom"/>
            <w:gridSpan w:val="35"/>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3100" w:type="dxa"/>
            <w:vAlign w:val="bottom"/>
            <w:tcBorders>
              <w:top w:val="single" w:sz="8" w:color="0000FF"/>
            </w:tcBorders>
            <w:gridSpan w:val="33"/>
          </w:tcPr>
          <w:p>
            <w:pPr>
              <w:spacing w:after="0" w:line="120" w:lineRule="exact"/>
              <w:rPr>
                <w:sz w:val="20"/>
                <w:szCs w:val="20"/>
                <w:color w:val="auto"/>
              </w:rPr>
            </w:pPr>
            <w:r>
              <w:rPr>
                <w:rFonts w:ascii="Arial" w:cs="Arial" w:eastAsia="Arial" w:hAnsi="Arial"/>
                <w:sz w:val="13"/>
                <w:szCs w:val="13"/>
                <w:color w:val="0000FF"/>
              </w:rPr>
              <w:t>to Rule 13a-14(a)/15d-14(a), as adopted</w:t>
            </w: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560" w:type="dxa"/>
            <w:vAlign w:val="bottom"/>
            <w:tcBorders>
              <w:top w:val="single" w:sz="8" w:color="0000FF"/>
            </w:tcBorders>
            <w:gridSpan w:val="15"/>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580" w:type="dxa"/>
            <w:vAlign w:val="bottom"/>
            <w:gridSpan w:val="20"/>
          </w:tcPr>
          <w:p>
            <w:pPr>
              <w:spacing w:after="0" w:line="122" w:lineRule="exact"/>
              <w:rPr>
                <w:sz w:val="20"/>
                <w:szCs w:val="20"/>
                <w:color w:val="auto"/>
              </w:rPr>
            </w:pPr>
            <w:r>
              <w:rPr>
                <w:rFonts w:ascii="Arial" w:cs="Arial" w:eastAsia="Arial" w:hAnsi="Arial"/>
                <w:sz w:val="14"/>
                <w:szCs w:val="14"/>
                <w:color w:val="0000FF"/>
              </w:rPr>
              <w:t>-Oxley</w:t>
            </w: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20" w:type="dxa"/>
            <w:vAlign w:val="bottom"/>
            <w:tcBorders>
              <w:top w:val="single" w:sz="8" w:color="0000FF"/>
            </w:tcBorders>
            <w:gridSpan w:val="29"/>
          </w:tcPr>
          <w:p>
            <w:pPr>
              <w:spacing w:after="0" w:line="129" w:lineRule="exact"/>
              <w:rPr>
                <w:sz w:val="20"/>
                <w:szCs w:val="20"/>
                <w:color w:val="auto"/>
              </w:rPr>
            </w:pPr>
            <w:r>
              <w:rPr>
                <w:rFonts w:ascii="Arial" w:cs="Arial" w:eastAsia="Arial" w:hAnsi="Arial"/>
                <w:sz w:val="14"/>
                <w:szCs w:val="14"/>
                <w:color w:val="0000FF"/>
              </w:rPr>
              <w:t>Act of 2002.</w:t>
            </w:r>
          </w:p>
        </w:tc>
        <w:tc>
          <w:tcPr>
            <w:tcW w:w="120" w:type="dxa"/>
            <w:vAlign w:val="bottom"/>
            <w:gridSpan w:val="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ind w:left="20"/>
              <w:spacing w:after="0"/>
              <w:rPr>
                <w:sz w:val="20"/>
                <w:szCs w:val="20"/>
                <w:color w:val="auto"/>
              </w:rPr>
            </w:pPr>
            <w:r>
              <w:rPr>
                <w:rFonts w:ascii="Arial" w:cs="Arial" w:eastAsia="Arial" w:hAnsi="Arial"/>
                <w:sz w:val="14"/>
                <w:szCs w:val="14"/>
                <w:color w:val="auto"/>
              </w:rPr>
              <w:t>32.1*</w:t>
            </w:r>
          </w:p>
        </w:tc>
        <w:tc>
          <w:tcPr>
            <w:tcW w:w="3140" w:type="dxa"/>
            <w:vAlign w:val="bottom"/>
            <w:gridSpan w:val="35"/>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00" w:type="dxa"/>
            <w:vAlign w:val="bottom"/>
            <w:tcBorders>
              <w:top w:val="single" w:sz="8" w:color="0000FF"/>
            </w:tcBorders>
            <w:gridSpan w:val="28"/>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40" w:type="dxa"/>
            <w:vAlign w:val="bottom"/>
            <w:gridSpan w:val="7"/>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720" w:type="dxa"/>
            <w:vAlign w:val="bottom"/>
            <w:tcBorders>
              <w:top w:val="single" w:sz="8" w:color="0000FF"/>
            </w:tcBorders>
            <w:gridSpan w:val="20"/>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20" w:type="dxa"/>
            <w:vAlign w:val="bottom"/>
            <w:gridSpan w:val="15"/>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580" w:type="dxa"/>
            <w:vAlign w:val="bottom"/>
            <w:tcBorders>
              <w:top w:val="single" w:sz="8" w:color="0000FF"/>
            </w:tcBorders>
            <w:gridSpan w:val="16"/>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60" w:type="dxa"/>
            <w:vAlign w:val="bottom"/>
            <w:gridSpan w:val="19"/>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10"/>
            <w:shd w:val="clear" w:color="auto" w:fill="0000FF"/>
          </w:tcPr>
          <w:p>
            <w:pPr>
              <w:spacing w:after="0" w:line="20" w:lineRule="exact"/>
              <w:rPr>
                <w:sz w:val="1"/>
                <w:szCs w:val="1"/>
                <w:color w:val="auto"/>
              </w:rPr>
            </w:pPr>
          </w:p>
        </w:tc>
        <w:tc>
          <w:tcPr>
            <w:tcW w:w="1140" w:type="dxa"/>
            <w:vAlign w:val="bottom"/>
            <w:gridSpan w:val="2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tcPr>
          <w:p>
            <w:pPr>
              <w:ind w:left="20"/>
              <w:spacing w:after="0"/>
              <w:rPr>
                <w:sz w:val="20"/>
                <w:szCs w:val="20"/>
                <w:color w:val="auto"/>
              </w:rPr>
            </w:pPr>
            <w:r>
              <w:rPr>
                <w:rFonts w:ascii="Arial" w:cs="Arial" w:eastAsia="Arial" w:hAnsi="Arial"/>
                <w:sz w:val="14"/>
                <w:szCs w:val="14"/>
                <w:color w:val="auto"/>
              </w:rPr>
              <w:t>101.INS</w:t>
            </w:r>
          </w:p>
        </w:tc>
        <w:tc>
          <w:tcPr>
            <w:tcW w:w="3140" w:type="dxa"/>
            <w:vAlign w:val="bottom"/>
            <w:gridSpan w:val="35"/>
          </w:tcPr>
          <w:p>
            <w:pPr>
              <w:spacing w:after="0"/>
              <w:rPr>
                <w:sz w:val="20"/>
                <w:szCs w:val="20"/>
                <w:color w:val="auto"/>
              </w:rPr>
            </w:pPr>
            <w:r>
              <w:rPr>
                <w:rFonts w:ascii="Arial" w:cs="Arial" w:eastAsia="Arial" w:hAnsi="Arial"/>
                <w:sz w:val="14"/>
                <w:szCs w:val="14"/>
                <w:color w:val="auto"/>
              </w:rPr>
              <w:t>Inline XBRL Instance Document - the instance</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3140" w:type="dxa"/>
            <w:vAlign w:val="bottom"/>
            <w:gridSpan w:val="35"/>
          </w:tcPr>
          <w:p>
            <w:pPr>
              <w:spacing w:after="0" w:line="135" w:lineRule="exact"/>
              <w:rPr>
                <w:sz w:val="20"/>
                <w:szCs w:val="20"/>
                <w:color w:val="auto"/>
              </w:rPr>
            </w:pPr>
            <w:r>
              <w:rPr>
                <w:rFonts w:ascii="Arial" w:cs="Arial" w:eastAsia="Arial" w:hAnsi="Arial"/>
                <w:sz w:val="14"/>
                <w:szCs w:val="14"/>
                <w:color w:val="auto"/>
              </w:rPr>
              <w:t>document does not appear in the Interactive</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140" w:type="dxa"/>
            <w:vAlign w:val="bottom"/>
            <w:gridSpan w:val="35"/>
          </w:tcPr>
          <w:p>
            <w:pPr>
              <w:spacing w:after="0" w:line="149" w:lineRule="exact"/>
              <w:rPr>
                <w:sz w:val="20"/>
                <w:szCs w:val="20"/>
                <w:color w:val="auto"/>
              </w:rPr>
            </w:pPr>
            <w:r>
              <w:rPr>
                <w:rFonts w:ascii="Arial" w:cs="Arial" w:eastAsia="Arial" w:hAnsi="Arial"/>
                <w:sz w:val="14"/>
                <w:szCs w:val="14"/>
                <w:color w:val="auto"/>
              </w:rPr>
              <w:t>Data File because its XBRL tags are embedded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within the Inline XBRL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40" w:type="dxa"/>
            <w:vAlign w:val="bottom"/>
          </w:tcPr>
          <w:p>
            <w:pPr>
              <w:ind w:left="20"/>
              <w:spacing w:after="0"/>
              <w:rPr>
                <w:sz w:val="20"/>
                <w:szCs w:val="20"/>
                <w:color w:val="auto"/>
              </w:rPr>
            </w:pPr>
            <w:r>
              <w:rPr>
                <w:rFonts w:ascii="Arial" w:cs="Arial" w:eastAsia="Arial" w:hAnsi="Arial"/>
                <w:sz w:val="14"/>
                <w:szCs w:val="14"/>
                <w:color w:val="auto"/>
              </w:rPr>
              <w:t>101.SCH</w:t>
            </w:r>
          </w:p>
        </w:tc>
        <w:tc>
          <w:tcPr>
            <w:tcW w:w="3140" w:type="dxa"/>
            <w:vAlign w:val="bottom"/>
            <w:gridSpan w:val="35"/>
          </w:tcPr>
          <w:p>
            <w:pPr>
              <w:spacing w:after="0"/>
              <w:rPr>
                <w:sz w:val="20"/>
                <w:szCs w:val="20"/>
                <w:color w:val="auto"/>
              </w:rPr>
            </w:pPr>
            <w:r>
              <w:rPr>
                <w:rFonts w:ascii="Arial" w:cs="Arial" w:eastAsia="Arial" w:hAnsi="Arial"/>
                <w:sz w:val="14"/>
                <w:szCs w:val="14"/>
                <w:color w:val="auto"/>
              </w:rPr>
              <w:t>Inline XBRL Taxonomy Extension Schema</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0" w:type="dxa"/>
            <w:vAlign w:val="bottom"/>
          </w:tcPr>
          <w:p>
            <w:pPr>
              <w:ind w:left="20"/>
              <w:spacing w:after="0"/>
              <w:rPr>
                <w:sz w:val="20"/>
                <w:szCs w:val="20"/>
                <w:color w:val="auto"/>
              </w:rPr>
            </w:pPr>
            <w:r>
              <w:rPr>
                <w:rFonts w:ascii="Arial" w:cs="Arial" w:eastAsia="Arial" w:hAnsi="Arial"/>
                <w:sz w:val="14"/>
                <w:szCs w:val="14"/>
                <w:color w:val="auto"/>
              </w:rPr>
              <w:t>101.CAL</w:t>
            </w:r>
          </w:p>
        </w:tc>
        <w:tc>
          <w:tcPr>
            <w:tcW w:w="3140" w:type="dxa"/>
            <w:vAlign w:val="bottom"/>
            <w:gridSpan w:val="35"/>
          </w:tcPr>
          <w:p>
            <w:pPr>
              <w:spacing w:after="0"/>
              <w:rPr>
                <w:sz w:val="20"/>
                <w:szCs w:val="20"/>
                <w:color w:val="auto"/>
              </w:rPr>
            </w:pPr>
            <w:r>
              <w:rPr>
                <w:rFonts w:ascii="Arial" w:cs="Arial" w:eastAsia="Arial" w:hAnsi="Arial"/>
                <w:sz w:val="14"/>
                <w:szCs w:val="14"/>
                <w:color w:val="auto"/>
              </w:rPr>
              <w:t>Inline XBRL Taxonomy Extension Calculation</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0" w:type="dxa"/>
            <w:vAlign w:val="bottom"/>
          </w:tcPr>
          <w:p>
            <w:pPr>
              <w:ind w:left="20"/>
              <w:spacing w:after="0"/>
              <w:rPr>
                <w:sz w:val="20"/>
                <w:szCs w:val="20"/>
                <w:color w:val="auto"/>
              </w:rPr>
            </w:pPr>
            <w:r>
              <w:rPr>
                <w:rFonts w:ascii="Arial" w:cs="Arial" w:eastAsia="Arial" w:hAnsi="Arial"/>
                <w:sz w:val="14"/>
                <w:szCs w:val="14"/>
                <w:color w:val="auto"/>
              </w:rPr>
              <w:t>101.DEF</w:t>
            </w:r>
          </w:p>
        </w:tc>
        <w:tc>
          <w:tcPr>
            <w:tcW w:w="3140" w:type="dxa"/>
            <w:vAlign w:val="bottom"/>
            <w:gridSpan w:val="35"/>
          </w:tcPr>
          <w:p>
            <w:pPr>
              <w:spacing w:after="0"/>
              <w:rPr>
                <w:sz w:val="20"/>
                <w:szCs w:val="20"/>
                <w:color w:val="auto"/>
              </w:rPr>
            </w:pPr>
            <w:r>
              <w:rPr>
                <w:rFonts w:ascii="Arial" w:cs="Arial" w:eastAsia="Arial" w:hAnsi="Arial"/>
                <w:sz w:val="14"/>
                <w:szCs w:val="14"/>
                <w:color w:val="auto"/>
              </w:rPr>
              <w:t>Inline XBRL Taxonomy Extension Definition</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0" w:type="dxa"/>
            <w:vAlign w:val="bottom"/>
          </w:tcPr>
          <w:p>
            <w:pPr>
              <w:ind w:left="20"/>
              <w:spacing w:after="0"/>
              <w:rPr>
                <w:sz w:val="20"/>
                <w:szCs w:val="20"/>
                <w:color w:val="auto"/>
              </w:rPr>
            </w:pPr>
            <w:r>
              <w:rPr>
                <w:rFonts w:ascii="Arial" w:cs="Arial" w:eastAsia="Arial" w:hAnsi="Arial"/>
                <w:sz w:val="14"/>
                <w:szCs w:val="14"/>
                <w:color w:val="auto"/>
              </w:rPr>
              <w:t>101.LAB</w:t>
            </w:r>
          </w:p>
        </w:tc>
        <w:tc>
          <w:tcPr>
            <w:tcW w:w="3140" w:type="dxa"/>
            <w:vAlign w:val="bottom"/>
            <w:gridSpan w:val="35"/>
          </w:tcPr>
          <w:p>
            <w:pPr>
              <w:spacing w:after="0"/>
              <w:rPr>
                <w:sz w:val="20"/>
                <w:szCs w:val="20"/>
                <w:color w:val="auto"/>
              </w:rPr>
            </w:pPr>
            <w:r>
              <w:rPr>
                <w:rFonts w:ascii="Arial" w:cs="Arial" w:eastAsia="Arial" w:hAnsi="Arial"/>
                <w:sz w:val="14"/>
                <w:szCs w:val="14"/>
                <w:color w:val="auto"/>
              </w:rPr>
              <w:t>Inline XBRL Taxonomy Extension Labels</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0" w:type="dxa"/>
            <w:vAlign w:val="bottom"/>
          </w:tcPr>
          <w:p>
            <w:pPr>
              <w:ind w:left="20"/>
              <w:spacing w:after="0"/>
              <w:rPr>
                <w:sz w:val="20"/>
                <w:szCs w:val="20"/>
                <w:color w:val="auto"/>
              </w:rPr>
            </w:pPr>
            <w:r>
              <w:rPr>
                <w:rFonts w:ascii="Arial" w:cs="Arial" w:eastAsia="Arial" w:hAnsi="Arial"/>
                <w:sz w:val="14"/>
                <w:szCs w:val="14"/>
                <w:color w:val="auto"/>
              </w:rPr>
              <w:t>101.PRE</w:t>
            </w:r>
          </w:p>
        </w:tc>
        <w:tc>
          <w:tcPr>
            <w:tcW w:w="3140" w:type="dxa"/>
            <w:vAlign w:val="bottom"/>
            <w:gridSpan w:val="35"/>
          </w:tcPr>
          <w:p>
            <w:pPr>
              <w:spacing w:after="0"/>
              <w:rPr>
                <w:sz w:val="20"/>
                <w:szCs w:val="20"/>
                <w:color w:val="auto"/>
              </w:rPr>
            </w:pPr>
            <w:r>
              <w:rPr>
                <w:rFonts w:ascii="Arial" w:cs="Arial" w:eastAsia="Arial" w:hAnsi="Arial"/>
                <w:sz w:val="14"/>
                <w:szCs w:val="14"/>
                <w:color w:val="auto"/>
              </w:rPr>
              <w:t>Inline XBRL Taxonomy Extension Presentation</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0" w:type="dxa"/>
            <w:vAlign w:val="bottom"/>
          </w:tcPr>
          <w:p>
            <w:pPr>
              <w:ind w:left="20"/>
              <w:spacing w:after="0"/>
              <w:rPr>
                <w:sz w:val="20"/>
                <w:szCs w:val="20"/>
                <w:color w:val="auto"/>
              </w:rPr>
            </w:pPr>
            <w:r>
              <w:rPr>
                <w:rFonts w:ascii="Arial" w:cs="Arial" w:eastAsia="Arial" w:hAnsi="Arial"/>
                <w:sz w:val="14"/>
                <w:szCs w:val="14"/>
                <w:color w:val="auto"/>
              </w:rPr>
              <w:t>104</w:t>
            </w:r>
          </w:p>
        </w:tc>
        <w:tc>
          <w:tcPr>
            <w:tcW w:w="3140" w:type="dxa"/>
            <w:vAlign w:val="bottom"/>
            <w:gridSpan w:val="35"/>
          </w:tcPr>
          <w:p>
            <w:pPr>
              <w:spacing w:after="0"/>
              <w:rPr>
                <w:sz w:val="20"/>
                <w:szCs w:val="20"/>
                <w:color w:val="auto"/>
              </w:rPr>
            </w:pPr>
            <w:r>
              <w:rPr>
                <w:rFonts w:ascii="Arial" w:cs="Arial" w:eastAsia="Arial" w:hAnsi="Arial"/>
                <w:sz w:val="14"/>
                <w:szCs w:val="14"/>
                <w:color w:val="auto"/>
              </w:rPr>
              <w:t>The cover page from the Company's Quarterly</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3140" w:type="dxa"/>
            <w:vAlign w:val="bottom"/>
            <w:gridSpan w:val="35"/>
          </w:tcPr>
          <w:p>
            <w:pPr>
              <w:spacing w:after="0" w:line="135" w:lineRule="exact"/>
              <w:rPr>
                <w:sz w:val="20"/>
                <w:szCs w:val="20"/>
                <w:color w:val="auto"/>
              </w:rPr>
            </w:pPr>
            <w:r>
              <w:rPr>
                <w:rFonts w:ascii="Arial" w:cs="Arial" w:eastAsia="Arial" w:hAnsi="Arial"/>
                <w:sz w:val="14"/>
                <w:szCs w:val="14"/>
                <w:color w:val="auto"/>
              </w:rPr>
              <w:t>Report on Form 10-Q for the quarter ended</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140" w:type="dxa"/>
            <w:vAlign w:val="bottom"/>
            <w:gridSpan w:val="35"/>
          </w:tcPr>
          <w:p>
            <w:pPr>
              <w:spacing w:after="0" w:line="149" w:lineRule="exact"/>
              <w:rPr>
                <w:sz w:val="20"/>
                <w:szCs w:val="20"/>
                <w:color w:val="auto"/>
              </w:rPr>
            </w:pPr>
            <w:r>
              <w:rPr>
                <w:rFonts w:ascii="Arial" w:cs="Arial" w:eastAsia="Arial" w:hAnsi="Arial"/>
                <w:sz w:val="14"/>
                <w:szCs w:val="14"/>
                <w:color w:val="auto"/>
              </w:rPr>
              <w:t>September 30, 2022, has been formatted in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Arial" w:cs="Arial" w:eastAsia="Arial" w:hAnsi="Arial"/>
          <w:sz w:val="14"/>
          <w:szCs w:val="14"/>
          <w:color w:val="auto"/>
        </w:rPr>
        <w:t>Inline XBRL.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886" w:right="1179" w:bottom="1440" w:gutter="0" w:footer="0" w:header="0"/>
        </w:sectPr>
      </w:pPr>
    </w:p>
    <w:bookmarkStart w:id="43" w:name="page44"/>
    <w:bookmarkEnd w:id="43"/>
    <w:p>
      <w:pPr>
        <w:ind w:left="643" w:hanging="643"/>
        <w:spacing w:after="0" w:line="261" w:lineRule="auto"/>
        <w:tabs>
          <w:tab w:leader="none" w:pos="31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25" w:lineRule="exact"/>
        <w:rPr>
          <w:sz w:val="20"/>
          <w:szCs w:val="20"/>
          <w:color w:val="auto"/>
        </w:rPr>
      </w:pPr>
    </w:p>
    <w:p>
      <w:pPr>
        <w:ind w:left="303" w:hanging="303"/>
        <w:spacing w:after="0"/>
        <w:tabs>
          <w:tab w:leader="none" w:pos="303"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Compensation Plan or Arrangement.</w:t>
      </w:r>
    </w:p>
    <w:p>
      <w:pPr>
        <w:spacing w:after="0" w:line="200" w:lineRule="exact"/>
        <w:rPr>
          <w:sz w:val="20"/>
          <w:szCs w:val="20"/>
          <w:color w:val="auto"/>
        </w:rPr>
      </w:pPr>
    </w:p>
    <w:p>
      <w:pPr>
        <w:spacing w:after="0" w:line="349"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1151" w:right="679" w:bottom="1440" w:gutter="0" w:footer="0" w:header="0"/>
        </w:sectPr>
      </w:pPr>
    </w:p>
    <w:bookmarkStart w:id="44" w:name="page45"/>
    <w:bookmarkEnd w:id="4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9"/>
        </w:trPr>
        <w:tc>
          <w:tcPr>
            <w:tcW w:w="4020" w:type="dxa"/>
            <w:vAlign w:val="bottom"/>
          </w:tcPr>
          <w:p>
            <w:pPr>
              <w:spacing w:after="0"/>
              <w:rPr>
                <w:sz w:val="20"/>
                <w:szCs w:val="20"/>
                <w:color w:val="auto"/>
              </w:rPr>
            </w:pPr>
            <w:r>
              <w:rPr>
                <w:rFonts w:ascii="Arial" w:cs="Arial" w:eastAsia="Arial" w:hAnsi="Arial"/>
                <w:sz w:val="18"/>
                <w:szCs w:val="18"/>
                <w:color w:val="auto"/>
              </w:rPr>
              <w:t>Date: November 21, 2022</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Aballi</w:t>
            </w:r>
          </w:p>
        </w:tc>
      </w:tr>
      <w:tr>
        <w:trPr>
          <w:trHeight w:val="223"/>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Aballi</w:t>
            </w:r>
          </w:p>
        </w:tc>
      </w:tr>
      <w:tr>
        <w:trPr>
          <w:trHeight w:val="230"/>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020" w:type="dxa"/>
            <w:vAlign w:val="bottom"/>
          </w:tcPr>
          <w:p>
            <w:pPr>
              <w:spacing w:after="0"/>
              <w:rPr>
                <w:sz w:val="20"/>
                <w:szCs w:val="20"/>
                <w:color w:val="auto"/>
              </w:rPr>
            </w:pPr>
            <w:r>
              <w:rPr>
                <w:rFonts w:ascii="Arial" w:cs="Arial" w:eastAsia="Arial" w:hAnsi="Arial"/>
                <w:sz w:val="18"/>
                <w:szCs w:val="18"/>
                <w:color w:val="auto"/>
              </w:rPr>
              <w:t>Date: November 21, 2022</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23"/>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29"/>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1129" w:right="4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7" w:lineRule="auto"/>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7" w:lineRule="auto"/>
        <w:tabs>
          <w:tab w:leader="none" w:pos="7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right="500" w:firstLine="332"/>
        <w:spacing w:after="0" w:line="357" w:lineRule="auto"/>
        <w:tabs>
          <w:tab w:leader="none" w:pos="7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sz w:val="20"/>
          <w:szCs w:val="20"/>
          <w:color w:val="auto"/>
        </w:rPr>
      </w:pPr>
    </w:p>
    <w:p>
      <w:pPr>
        <w:ind w:right="260" w:firstLine="332"/>
        <w:spacing w:after="0" w:line="350" w:lineRule="auto"/>
        <w:tabs>
          <w:tab w:leader="none" w:pos="7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46" w:name="page47"/>
    <w:bookmarkEnd w:id="46"/>
    <w:p>
      <w:pPr>
        <w:ind w:left="-20" w:firstLine="332"/>
        <w:spacing w:after="0" w:line="371" w:lineRule="auto"/>
        <w:tabs>
          <w:tab w:leader="none" w:pos="7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0" w:right="240" w:firstLine="332"/>
        <w:spacing w:after="0" w:line="355" w:lineRule="auto"/>
        <w:tabs>
          <w:tab w:leader="none" w:pos="7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November 21,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111" w:right="4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7" w:lineRule="auto"/>
        <w:tabs>
          <w:tab w:leader="none" w:pos="4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7" w:lineRule="auto"/>
        <w:tabs>
          <w:tab w:leader="none" w:pos="7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right="500" w:firstLine="332"/>
        <w:spacing w:after="0" w:line="357" w:lineRule="auto"/>
        <w:tabs>
          <w:tab w:leader="none" w:pos="7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sz w:val="20"/>
          <w:szCs w:val="20"/>
          <w:color w:val="auto"/>
        </w:rPr>
      </w:pPr>
    </w:p>
    <w:p>
      <w:pPr>
        <w:ind w:right="260" w:firstLine="332"/>
        <w:spacing w:after="0" w:line="350" w:lineRule="auto"/>
        <w:tabs>
          <w:tab w:leader="none" w:pos="7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48" w:name="page49"/>
    <w:bookmarkEnd w:id="48"/>
    <w:p>
      <w:pPr>
        <w:ind w:left="-20" w:firstLine="332"/>
        <w:spacing w:after="0" w:line="371" w:lineRule="auto"/>
        <w:tabs>
          <w:tab w:leader="none" w:pos="7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0" w:right="240" w:firstLine="332"/>
        <w:spacing w:after="0" w:line="355" w:lineRule="auto"/>
        <w:tabs>
          <w:tab w:leader="none" w:pos="7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November 21,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111" w:right="4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320" w:hanging="4"/>
        <w:spacing w:after="0" w:line="350" w:lineRule="auto"/>
        <w:tabs>
          <w:tab w:leader="none" w:pos="11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2022 (the "Report") fully complies with the requirements of Section 13(a) or 15(d), as applicable, of the Securities Exchange Act of 1934, as amended; and</w:t>
      </w:r>
    </w:p>
    <w:p>
      <w:pPr>
        <w:spacing w:after="0" w:line="160"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21, 2022</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351"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320" w:hanging="4"/>
        <w:spacing w:after="0" w:line="357" w:lineRule="auto"/>
        <w:tabs>
          <w:tab w:leader="none" w:pos="11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2022 (the "Report") fully complies with the requirements of Section 13(a) or 15(d), as applicable, of the Securities Exchange Act of 1934, as amended; and</w:t>
      </w:r>
    </w:p>
    <w:p>
      <w:pPr>
        <w:spacing w:after="0" w:line="142"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21, 2022</w:t>
      </w:r>
    </w:p>
    <w:p>
      <w:pPr>
        <w:sectPr>
          <w:pgSz w:w="11900" w:h="16838" w:orient="portrait"/>
          <w:cols w:equalWidth="0" w:num="1">
            <w:col w:w="11240"/>
          </w:cols>
          <w:pgMar w:left="320" w:top="954" w:right="339" w:bottom="1440" w:gutter="0" w:footer="0" w:header="0"/>
        </w:sectPr>
      </w:pPr>
    </w:p>
    <w:bookmarkStart w:id="50" w:name="page51"/>
    <w:bookmarkEnd w:id="50"/>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36" w:lineRule="exact"/>
        <w:rPr>
          <w:sz w:val="20"/>
          <w:szCs w:val="20"/>
          <w:color w:val="auto"/>
        </w:rPr>
      </w:pPr>
    </w:p>
    <w:p>
      <w:pPr>
        <w:ind w:firstLine="648"/>
        <w:spacing w:after="0" w:line="351"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lvl w:ilvl="1">
      <w:lvlJc w:val="left"/>
      <w:lvlText w:val="(%2)"/>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51" Type="http://schemas.openxmlformats.org/officeDocument/2006/relationships/hyperlink" Target="http://www.sec.gov/Archives/edgar/data/1274737/000119312519252366/d769261dex31.htm" TargetMode="External"/><Relationship Id="rId52" Type="http://schemas.openxmlformats.org/officeDocument/2006/relationships/hyperlink" Target="http://www.sec.gov/Archives/edgar/data/1274737/000127473721000017/ex31-amendedandrestatedbyl.htm" TargetMode="External"/><Relationship Id="rId53" Type="http://schemas.openxmlformats.org/officeDocument/2006/relationships/hyperlink" Target="http://www.sec.gov/Archives/edgar/data/1274737/000119312519240403/d692844dex41.htm" TargetMode="External"/><Relationship Id="rId54" Type="http://schemas.openxmlformats.org/officeDocument/2006/relationships/hyperlink" Target="http://www.sec.gov/Archives/edgar/data/1274737/000119312519228011/d692844dex42.htm" TargetMode="External"/><Relationship Id="rId55" Type="http://schemas.openxmlformats.org/officeDocument/2006/relationships/hyperlink" Target="http://www.sec.gov/Archives/edgar/data/1274737/000119312519228011/d692844dex43.htm" TargetMode="External"/><Relationship Id="rId56" Type="http://schemas.openxmlformats.org/officeDocument/2006/relationships/hyperlink" Target="http://www.sec.gov/Archives/edgar/data/1274737/000119312519228011/d692844dex44.htm" TargetMode="External"/><Relationship Id="rId57" Type="http://schemas.openxmlformats.org/officeDocument/2006/relationships/hyperlink" Target="http://www.sec.gov/Archives/edgar/data/1274737/000119312519228011/d692844dex48.htm" TargetMode="External"/><Relationship Id="rId58" Type="http://schemas.openxmlformats.org/officeDocument/2006/relationships/hyperlink" Target="http://www.sec.gov/Archives/edgar/data/1274737/000127473721000094/ex45-formofprexfundedwarra.htm" TargetMode="External"/><Relationship Id="rId59" Type="http://schemas.openxmlformats.org/officeDocument/2006/relationships/hyperlink" Target="https://www.sec.gov/Archives/edgar/data/1274737/000127473722000067/johnaballiceoemploymentagr.htm" TargetMode="External"/><Relationship Id="rId60" Type="http://schemas.openxmlformats.org/officeDocument/2006/relationships/hyperlink" Target="https://www.sec.gov/Archives/edgar/data/1274737/000127473722000067/exagenseveranceagreement-r.htm" TargetMode="External"/><Relationship Id="rId61" Type="http://schemas.openxmlformats.org/officeDocument/2006/relationships/hyperlink" Target="https://www.sec.gov/Archives/edgar/data/1274737/000127473722000064/ex11-xgnxsales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2022-11-21T15:24:42Z</dcterms:created>
  <dcterms:modified xsi:type="dcterms:W3CDTF">2022-11-21T15:24:42Z</dcterms:modified>
</cp:coreProperties>
</file>