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18, 2020</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54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80"/>
          </w:cols>
          <w:pgMar w:left="320" w:top="1259"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XGN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Exagen Inc. (the "Company") held its 2020 annual meeting of stockholders (the "Annual Meeting") on June 18, 2020. At the Annual Meeting, the Company's stockholders voted on two proposals, as described below. Each of the proposals was described in detail in the Company's definitive proxy statement on Schedule 14A filed with the U.S. Securities and Exchange Commission on April 29, 2020. The vote totals noted below are final voting results from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Proposal 1</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stockholders elected the following three Class I directors for a three-year term of office expiring at the Company's 2023 annual meeting of stockholders and until their successors are duly elected and qualified or until such director's earlier death, resignation or removal.</w:t>
      </w:r>
    </w:p>
    <w:p>
      <w:pPr>
        <w:spacing w:after="0" w:line="200" w:lineRule="exact"/>
        <w:rPr>
          <w:sz w:val="20"/>
          <w:szCs w:val="20"/>
          <w:color w:val="auto"/>
        </w:rPr>
      </w:pPr>
    </w:p>
    <w:p>
      <w:pPr>
        <w:spacing w:after="0" w:line="334"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20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Votes For</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Votes Withheld</w:t>
            </w:r>
          </w:p>
        </w:tc>
        <w:tc>
          <w:tcPr>
            <w:tcW w:w="480" w:type="dxa"/>
            <w:vAlign w:val="bottom"/>
          </w:tcPr>
          <w:p>
            <w:pPr>
              <w:spacing w:after="0"/>
              <w:rPr>
                <w:sz w:val="17"/>
                <w:szCs w:val="17"/>
                <w:color w:val="auto"/>
              </w:rPr>
            </w:pPr>
          </w:p>
        </w:tc>
        <w:tc>
          <w:tcPr>
            <w:tcW w:w="18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306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Brian Birk</w:t>
            </w:r>
          </w:p>
        </w:tc>
        <w:tc>
          <w:tcPr>
            <w:tcW w:w="740" w:type="dxa"/>
            <w:vAlign w:val="bottom"/>
          </w:tcPr>
          <w:p>
            <w:pPr>
              <w:spacing w:after="0"/>
              <w:rPr>
                <w:sz w:val="20"/>
                <w:szCs w:val="20"/>
                <w:color w:val="auto"/>
              </w:rPr>
            </w:pPr>
            <w:r>
              <w:rPr>
                <w:rFonts w:ascii="Arial" w:cs="Arial" w:eastAsia="Arial" w:hAnsi="Arial"/>
                <w:sz w:val="18"/>
                <w:szCs w:val="18"/>
                <w:color w:val="auto"/>
                <w:w w:val="89"/>
              </w:rPr>
              <w:t>7,038,015</w:t>
            </w:r>
          </w:p>
        </w:tc>
        <w:tc>
          <w:tcPr>
            <w:tcW w:w="620" w:type="dxa"/>
            <w:vAlign w:val="bottom"/>
          </w:tcPr>
          <w:p>
            <w:pPr>
              <w:spacing w:after="0"/>
              <w:rPr>
                <w:sz w:val="24"/>
                <w:szCs w:val="24"/>
                <w:color w:val="auto"/>
              </w:rPr>
            </w:pPr>
          </w:p>
        </w:tc>
        <w:tc>
          <w:tcPr>
            <w:tcW w:w="1800" w:type="dxa"/>
            <w:vAlign w:val="bottom"/>
            <w:gridSpan w:val="2"/>
          </w:tcPr>
          <w:p>
            <w:pPr>
              <w:jc w:val="center"/>
              <w:ind w:left="530"/>
              <w:spacing w:after="0"/>
              <w:rPr>
                <w:sz w:val="20"/>
                <w:szCs w:val="20"/>
                <w:color w:val="auto"/>
              </w:rPr>
            </w:pPr>
            <w:r>
              <w:rPr>
                <w:rFonts w:ascii="Arial" w:cs="Arial" w:eastAsia="Arial" w:hAnsi="Arial"/>
                <w:sz w:val="18"/>
                <w:szCs w:val="18"/>
                <w:color w:val="auto"/>
                <w:w w:val="89"/>
              </w:rPr>
              <w:t>613,176</w:t>
            </w:r>
          </w:p>
        </w:tc>
        <w:tc>
          <w:tcPr>
            <w:tcW w:w="480" w:type="dxa"/>
            <w:vAlign w:val="bottom"/>
          </w:tcPr>
          <w:p>
            <w:pPr>
              <w:spacing w:after="0"/>
              <w:rPr>
                <w:sz w:val="24"/>
                <w:szCs w:val="24"/>
                <w:color w:val="auto"/>
              </w:rPr>
            </w:pPr>
          </w:p>
        </w:tc>
        <w:tc>
          <w:tcPr>
            <w:tcW w:w="18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757,929</w:t>
            </w:r>
          </w:p>
        </w:tc>
      </w:tr>
      <w:tr>
        <w:trPr>
          <w:trHeight w:val="270"/>
        </w:trPr>
        <w:tc>
          <w:tcPr>
            <w:tcW w:w="3060" w:type="dxa"/>
            <w:vAlign w:val="bottom"/>
            <w:gridSpan w:val="3"/>
          </w:tcPr>
          <w:p>
            <w:pPr>
              <w:jc w:val="center"/>
              <w:ind w:right="1400"/>
              <w:spacing w:after="0"/>
              <w:rPr>
                <w:sz w:val="20"/>
                <w:szCs w:val="20"/>
                <w:color w:val="auto"/>
              </w:rPr>
            </w:pPr>
            <w:r>
              <w:rPr>
                <w:rFonts w:ascii="Arial" w:cs="Arial" w:eastAsia="Arial" w:hAnsi="Arial"/>
                <w:sz w:val="18"/>
                <w:szCs w:val="18"/>
                <w:color w:val="auto"/>
                <w:w w:val="91"/>
              </w:rPr>
              <w:t>Tina S. Nova, Ph.D.</w:t>
            </w:r>
          </w:p>
        </w:tc>
        <w:tc>
          <w:tcPr>
            <w:tcW w:w="740" w:type="dxa"/>
            <w:vAlign w:val="bottom"/>
          </w:tcPr>
          <w:p>
            <w:pPr>
              <w:spacing w:after="0"/>
              <w:rPr>
                <w:sz w:val="20"/>
                <w:szCs w:val="20"/>
                <w:color w:val="auto"/>
              </w:rPr>
            </w:pPr>
            <w:r>
              <w:rPr>
                <w:rFonts w:ascii="Arial" w:cs="Arial" w:eastAsia="Arial" w:hAnsi="Arial"/>
                <w:sz w:val="18"/>
                <w:szCs w:val="18"/>
                <w:color w:val="auto"/>
                <w:w w:val="89"/>
              </w:rPr>
              <w:t>7,087,448</w:t>
            </w:r>
          </w:p>
        </w:tc>
        <w:tc>
          <w:tcPr>
            <w:tcW w:w="620" w:type="dxa"/>
            <w:vAlign w:val="bottom"/>
          </w:tcPr>
          <w:p>
            <w:pPr>
              <w:spacing w:after="0"/>
              <w:rPr>
                <w:sz w:val="23"/>
                <w:szCs w:val="23"/>
                <w:color w:val="auto"/>
              </w:rPr>
            </w:pPr>
          </w:p>
        </w:tc>
        <w:tc>
          <w:tcPr>
            <w:tcW w:w="1800" w:type="dxa"/>
            <w:vAlign w:val="bottom"/>
            <w:gridSpan w:val="2"/>
          </w:tcPr>
          <w:p>
            <w:pPr>
              <w:jc w:val="center"/>
              <w:ind w:left="530"/>
              <w:spacing w:after="0"/>
              <w:rPr>
                <w:sz w:val="20"/>
                <w:szCs w:val="20"/>
                <w:color w:val="auto"/>
              </w:rPr>
            </w:pPr>
            <w:r>
              <w:rPr>
                <w:rFonts w:ascii="Arial" w:cs="Arial" w:eastAsia="Arial" w:hAnsi="Arial"/>
                <w:sz w:val="18"/>
                <w:szCs w:val="18"/>
                <w:color w:val="auto"/>
                <w:w w:val="89"/>
              </w:rPr>
              <w:t>563,743</w:t>
            </w:r>
          </w:p>
        </w:tc>
        <w:tc>
          <w:tcPr>
            <w:tcW w:w="480" w:type="dxa"/>
            <w:vAlign w:val="bottom"/>
          </w:tcPr>
          <w:p>
            <w:pPr>
              <w:spacing w:after="0"/>
              <w:rPr>
                <w:sz w:val="23"/>
                <w:szCs w:val="23"/>
                <w:color w:val="auto"/>
              </w:rPr>
            </w:pPr>
          </w:p>
        </w:tc>
        <w:tc>
          <w:tcPr>
            <w:tcW w:w="18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757,929</w:t>
            </w:r>
          </w:p>
        </w:tc>
      </w:tr>
      <w:tr>
        <w:trPr>
          <w:trHeight w:val="270"/>
        </w:trPr>
        <w:tc>
          <w:tcPr>
            <w:tcW w:w="3060" w:type="dxa"/>
            <w:vAlign w:val="bottom"/>
            <w:gridSpan w:val="3"/>
          </w:tcPr>
          <w:p>
            <w:pPr>
              <w:jc w:val="center"/>
              <w:ind w:right="1400"/>
              <w:spacing w:after="0"/>
              <w:rPr>
                <w:sz w:val="20"/>
                <w:szCs w:val="20"/>
                <w:color w:val="auto"/>
              </w:rPr>
            </w:pPr>
            <w:r>
              <w:rPr>
                <w:rFonts w:ascii="Arial" w:cs="Arial" w:eastAsia="Arial" w:hAnsi="Arial"/>
                <w:sz w:val="18"/>
                <w:szCs w:val="18"/>
                <w:color w:val="auto"/>
                <w:w w:val="89"/>
              </w:rPr>
              <w:t>Ebetuel Pallares, Ph.D.</w:t>
            </w:r>
          </w:p>
        </w:tc>
        <w:tc>
          <w:tcPr>
            <w:tcW w:w="740" w:type="dxa"/>
            <w:vAlign w:val="bottom"/>
          </w:tcPr>
          <w:p>
            <w:pPr>
              <w:spacing w:after="0"/>
              <w:rPr>
                <w:sz w:val="20"/>
                <w:szCs w:val="20"/>
                <w:color w:val="auto"/>
              </w:rPr>
            </w:pPr>
            <w:r>
              <w:rPr>
                <w:rFonts w:ascii="Arial" w:cs="Arial" w:eastAsia="Arial" w:hAnsi="Arial"/>
                <w:sz w:val="18"/>
                <w:szCs w:val="18"/>
                <w:color w:val="auto"/>
                <w:w w:val="89"/>
              </w:rPr>
              <w:t>7,038,230</w:t>
            </w:r>
          </w:p>
        </w:tc>
        <w:tc>
          <w:tcPr>
            <w:tcW w:w="620" w:type="dxa"/>
            <w:vAlign w:val="bottom"/>
          </w:tcPr>
          <w:p>
            <w:pPr>
              <w:spacing w:after="0"/>
              <w:rPr>
                <w:sz w:val="23"/>
                <w:szCs w:val="23"/>
                <w:color w:val="auto"/>
              </w:rPr>
            </w:pPr>
          </w:p>
        </w:tc>
        <w:tc>
          <w:tcPr>
            <w:tcW w:w="1800" w:type="dxa"/>
            <w:vAlign w:val="bottom"/>
            <w:gridSpan w:val="2"/>
          </w:tcPr>
          <w:p>
            <w:pPr>
              <w:jc w:val="center"/>
              <w:ind w:left="530"/>
              <w:spacing w:after="0"/>
              <w:rPr>
                <w:sz w:val="20"/>
                <w:szCs w:val="20"/>
                <w:color w:val="auto"/>
              </w:rPr>
            </w:pPr>
            <w:r>
              <w:rPr>
                <w:rFonts w:ascii="Arial" w:cs="Arial" w:eastAsia="Arial" w:hAnsi="Arial"/>
                <w:sz w:val="18"/>
                <w:szCs w:val="18"/>
                <w:color w:val="auto"/>
                <w:w w:val="89"/>
              </w:rPr>
              <w:t>612,961</w:t>
            </w:r>
          </w:p>
        </w:tc>
        <w:tc>
          <w:tcPr>
            <w:tcW w:w="480" w:type="dxa"/>
            <w:vAlign w:val="bottom"/>
          </w:tcPr>
          <w:p>
            <w:pPr>
              <w:spacing w:after="0"/>
              <w:rPr>
                <w:sz w:val="23"/>
                <w:szCs w:val="23"/>
                <w:color w:val="auto"/>
              </w:rPr>
            </w:pPr>
          </w:p>
        </w:tc>
        <w:tc>
          <w:tcPr>
            <w:tcW w:w="18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757,929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Proposal 2</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stockholders ratified the appointment of BDO USA, LLP as the Company's independent registered public accounting firm for the fiscal year ending December 31, 2020.</w:t>
      </w:r>
    </w:p>
    <w:p>
      <w:pPr>
        <w:spacing w:after="0" w:line="200" w:lineRule="exact"/>
        <w:rPr>
          <w:sz w:val="20"/>
          <w:szCs w:val="20"/>
          <w:color w:val="auto"/>
        </w:rPr>
      </w:pP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Votes For</w:t>
            </w:r>
          </w:p>
        </w:tc>
        <w:tc>
          <w:tcPr>
            <w:tcW w:w="222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4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91"/>
        </w:trPr>
        <w:tc>
          <w:tcPr>
            <w:tcW w:w="740" w:type="dxa"/>
            <w:vAlign w:val="bottom"/>
          </w:tcPr>
          <w:p>
            <w:pPr>
              <w:spacing w:after="0"/>
              <w:rPr>
                <w:sz w:val="20"/>
                <w:szCs w:val="20"/>
                <w:color w:val="auto"/>
              </w:rPr>
            </w:pPr>
            <w:r>
              <w:rPr>
                <w:rFonts w:ascii="Arial" w:cs="Arial" w:eastAsia="Arial" w:hAnsi="Arial"/>
                <w:sz w:val="18"/>
                <w:szCs w:val="18"/>
                <w:color w:val="auto"/>
                <w:w w:val="89"/>
              </w:rPr>
              <w:t>8,408,077</w:t>
            </w:r>
          </w:p>
        </w:tc>
        <w:tc>
          <w:tcPr>
            <w:tcW w:w="222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1,023</w:t>
            </w:r>
          </w:p>
        </w:tc>
        <w:tc>
          <w:tcPr>
            <w:tcW w:w="940" w:type="dxa"/>
            <w:vAlign w:val="bottom"/>
          </w:tcPr>
          <w:p>
            <w:pPr>
              <w:spacing w:after="0"/>
              <w:rPr>
                <w:sz w:val="24"/>
                <w:szCs w:val="24"/>
                <w:color w:val="auto"/>
              </w:rPr>
            </w:pPr>
          </w:p>
        </w:tc>
        <w:tc>
          <w:tcPr>
            <w:tcW w:w="1840" w:type="dxa"/>
            <w:vAlign w:val="bottom"/>
            <w:gridSpan w:val="2"/>
          </w:tcPr>
          <w:p>
            <w:pPr>
              <w:jc w:val="right"/>
              <w:ind w:right="270"/>
              <w:spacing w:after="0"/>
              <w:rPr>
                <w:sz w:val="20"/>
                <w:szCs w:val="20"/>
                <w:color w:val="auto"/>
              </w:rPr>
            </w:pPr>
            <w:r>
              <w:rPr>
                <w:rFonts w:ascii="Arial" w:cs="Arial" w:eastAsia="Arial" w:hAnsi="Arial"/>
                <w:sz w:val="18"/>
                <w:szCs w:val="18"/>
                <w:color w:val="auto"/>
              </w:rPr>
              <w:t>20</w:t>
            </w:r>
          </w:p>
        </w:tc>
        <w:tc>
          <w:tcPr>
            <w:tcW w:w="14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200"/>
          </w:cols>
          <w:pgMar w:left="320" w:top="1336"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June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2020-06-19T07:26:34Z</dcterms:created>
  <dcterms:modified xsi:type="dcterms:W3CDTF">2020-06-19T07:26:34Z</dcterms:modified>
</cp:coreProperties>
</file>