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12, 2025</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spacing w:after="0" w:line="1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12, 2025, Exagen Inc. (the “Company”) announced in a press release (the “Press Release”) certain select preliminary unaudited financial information and results of operations for the three months and year ended December 31, 2024, based on currently available information. A copy of the Press Release issued by the Company is furnished as Exhibit 99.1 to this Current Report on Form 8-K. The Company’s financial closing procedures with respect to the select preliminary unaudited financial information and results of operations provided in the Press Release are not yet complete. These procedures often result in changes to accounts. As a result, the Company’s final results may vary from the preliminary results and information presented in the Press Release. The Company undertakes no obligation to update or supplement the information and presented in the Press Release until it releases its financial statements for the three months and year ended December 31, 2024.</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select preliminary unaudited financial information and results of operations included in this Current Report on Form 8-K and in the Press Release have been prepared by, and are the responsibility of, the Company. BDO USA, P.C. (“BDO”) has not audited, reviewed, compiled, or applied agreed-upon procedures with respect to the select preliminary unaudited financial information and results of operations included in the Press Release and this Current Report on Form 8-K. Accordingly, BDO does not express an opinion or any other form of assurance with respect to this information. The information provided in this Item 2.02 of this Current Report on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except as expressly set forth by specific reference in such filing or in this Current Report on Form 8-K.</w:t>
      </w:r>
    </w:p>
    <w:p>
      <w:pPr>
        <w:spacing w:after="0" w:line="1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information contained in the Press Release is deemed “filed” for purposes of Section 18 of the Exchange Act and deemed incorporated by reference into this Item 8.01:</w:t>
      </w:r>
    </w:p>
    <w:p>
      <w:pPr>
        <w:spacing w:after="0" w:line="162" w:lineRule="exact"/>
        <w:rPr>
          <w:sz w:val="20"/>
          <w:szCs w:val="20"/>
          <w:color w:val="auto"/>
        </w:rPr>
      </w:pPr>
    </w:p>
    <w:p>
      <w:pPr>
        <w:ind w:left="660" w:right="180" w:hanging="328"/>
        <w:spacing w:after="0" w:line="26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included under the headings “Preliminary Unaudited Select Financial Results,” “Cautionary Note Regarding Select Preliminary Unaudited Financial Results,” “Use of Unaudited Non-GAAP Financial Measures,”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Reconciliation of Non-GAAP Financial Measures (UNAUDITED)” and “Forward Looking Statements.”</w:t>
      </w:r>
    </w:p>
    <w:p>
      <w:pPr>
        <w:spacing w:after="0" w:line="16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2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January 12, 2025</w:t>
            </w:r>
          </w:p>
        </w:tc>
        <w:tc>
          <w:tcPr>
            <w:tcW w:w="7080" w:type="dxa"/>
            <w:vAlign w:val="bottom"/>
          </w:tcPr>
          <w:p>
            <w:pPr>
              <w:spacing w:after="0"/>
              <w:rPr>
                <w:sz w:val="24"/>
                <w:szCs w:val="24"/>
                <w:color w:val="auto"/>
              </w:rPr>
            </w:pPr>
          </w:p>
        </w:tc>
      </w:tr>
      <w:tr>
        <w:trPr>
          <w:trHeight w:val="52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January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Jeffrey G. Black</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30302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340" w:right="120"/>
        <w:spacing w:after="0" w:line="251" w:lineRule="auto"/>
        <w:rPr>
          <w:sz w:val="20"/>
          <w:szCs w:val="20"/>
          <w:color w:val="auto"/>
        </w:rPr>
      </w:pPr>
      <w:r>
        <w:rPr>
          <w:rFonts w:ascii="Calibri" w:cs="Calibri" w:eastAsia="Calibri" w:hAnsi="Calibri"/>
          <w:sz w:val="25"/>
          <w:szCs w:val="25"/>
          <w:b w:val="1"/>
          <w:bCs w:val="1"/>
          <w:color w:val="auto"/>
        </w:rPr>
        <w:t>Exagen Inc. Secures Conditonal NY State Approval for New Lupus and Rheumatoid Arthrits Biomarkers and Announces Select Preliminary 2024 Financial Results</w:t>
      </w:r>
    </w:p>
    <w:p>
      <w:pPr>
        <w:spacing w:after="0" w:line="235" w:lineRule="exact"/>
        <w:rPr>
          <w:sz w:val="20"/>
          <w:szCs w:val="20"/>
          <w:color w:val="auto"/>
        </w:rPr>
      </w:pPr>
    </w:p>
    <w:p>
      <w:pPr>
        <w:jc w:val="center"/>
        <w:ind w:right="-39"/>
        <w:spacing w:after="0"/>
        <w:rPr>
          <w:sz w:val="20"/>
          <w:szCs w:val="20"/>
          <w:color w:val="auto"/>
        </w:rPr>
      </w:pPr>
      <w:r>
        <w:rPr>
          <w:rFonts w:ascii="Calibri" w:cs="Calibri" w:eastAsia="Calibri" w:hAnsi="Calibri"/>
          <w:sz w:val="25"/>
          <w:szCs w:val="25"/>
          <w:i w:val="1"/>
          <w:iCs w:val="1"/>
          <w:color w:val="auto"/>
        </w:rPr>
        <w:t>New biomarkers on track for commercial launch in January 2025</w:t>
      </w:r>
    </w:p>
    <w:p>
      <w:pPr>
        <w:spacing w:after="0" w:line="253" w:lineRule="exact"/>
        <w:rPr>
          <w:sz w:val="20"/>
          <w:szCs w:val="20"/>
          <w:color w:val="auto"/>
        </w:rPr>
      </w:pPr>
    </w:p>
    <w:p>
      <w:pPr>
        <w:jc w:val="center"/>
        <w:ind w:left="360"/>
        <w:spacing w:after="0" w:line="251" w:lineRule="auto"/>
        <w:rPr>
          <w:sz w:val="20"/>
          <w:szCs w:val="20"/>
          <w:color w:val="auto"/>
        </w:rPr>
      </w:pPr>
      <w:r>
        <w:rPr>
          <w:rFonts w:ascii="Calibri" w:cs="Calibri" w:eastAsia="Calibri" w:hAnsi="Calibri"/>
          <w:sz w:val="25"/>
          <w:szCs w:val="25"/>
          <w:i w:val="1"/>
          <w:iCs w:val="1"/>
          <w:color w:val="auto"/>
        </w:rPr>
        <w:t>Preliminary fnancial results indicate record full-year revenue and AVISE CTD trailing twelve-month ASP, with improvements to adjusted EBITDA and cash burn</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January 12, 2025</w:t>
      </w:r>
    </w:p>
    <w:p>
      <w:pPr>
        <w:spacing w:after="0" w:line="279" w:lineRule="exact"/>
        <w:rPr>
          <w:sz w:val="20"/>
          <w:szCs w:val="20"/>
          <w:color w:val="auto"/>
        </w:rPr>
      </w:pPr>
    </w:p>
    <w:p>
      <w:pPr>
        <w:ind w:right="260"/>
        <w:spacing w:after="0" w:line="297" w:lineRule="auto"/>
        <w:rPr>
          <w:sz w:val="20"/>
          <w:szCs w:val="20"/>
          <w:color w:val="auto"/>
        </w:rPr>
      </w:pPr>
      <w:r>
        <w:rPr>
          <w:rFonts w:ascii="Calibri" w:cs="Calibri" w:eastAsia="Calibri" w:hAnsi="Calibri"/>
          <w:sz w:val="20"/>
          <w:szCs w:val="20"/>
          <w:color w:val="auto"/>
        </w:rPr>
        <w:t>Carlsbad, CA—Exagen Inc. (Nasdaq: XGN), a leading provider of autoimmune testng, today announced it has received conditonal approval from the New York State Department of Health for its new systemic lupus erythematosus (SLE) and rheumatoid arthrits (RA) biomarker assays, with a planned commercial launch in January 2025. The company also announced preliminary unaudited select fnancial results for the fourth quarter and full year ended December 31, 2024, in line with prior fnancial guidance.</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New AVISE CTD Biomarkers</w:t>
      </w:r>
    </w:p>
    <w:p>
      <w:pPr>
        <w:spacing w:after="0" w:line="279" w:lineRule="exact"/>
        <w:rPr>
          <w:sz w:val="20"/>
          <w:szCs w:val="20"/>
          <w:color w:val="auto"/>
        </w:rPr>
      </w:pPr>
    </w:p>
    <w:p>
      <w:pPr>
        <w:ind w:right="20"/>
        <w:spacing w:after="0" w:line="287" w:lineRule="auto"/>
        <w:rPr>
          <w:sz w:val="20"/>
          <w:szCs w:val="20"/>
          <w:color w:val="auto"/>
        </w:rPr>
      </w:pPr>
      <w:r>
        <w:rPr>
          <w:rFonts w:ascii="Calibri" w:cs="Calibri" w:eastAsia="Calibri" w:hAnsi="Calibri"/>
          <w:sz w:val="20"/>
          <w:szCs w:val="20"/>
          <w:color w:val="auto"/>
        </w:rPr>
        <w:t>The company’s new SLE and RA biomarkers will be incorporated into the AVISE CTD platorm. Collectvely, the company expects these new biomarkers will further improve the clinical utlity of AVISE CTD, and provide clinicians with the informaton they need to defnitvely diagnose patents and shorten their autoimmune diagnostc journeys.</w:t>
      </w:r>
    </w:p>
    <w:p>
      <w:pPr>
        <w:spacing w:after="0" w:line="208" w:lineRule="exact"/>
        <w:rPr>
          <w:sz w:val="20"/>
          <w:szCs w:val="20"/>
          <w:color w:val="auto"/>
        </w:rPr>
      </w:pPr>
    </w:p>
    <w:p>
      <w:pPr>
        <w:spacing w:after="0"/>
        <w:rPr>
          <w:sz w:val="20"/>
          <w:szCs w:val="20"/>
          <w:color w:val="auto"/>
        </w:rPr>
      </w:pPr>
      <w:r>
        <w:rPr>
          <w:rFonts w:ascii="Calibri" w:cs="Calibri" w:eastAsia="Calibri" w:hAnsi="Calibri"/>
          <w:sz w:val="20"/>
          <w:szCs w:val="20"/>
          <w:color w:val="auto"/>
        </w:rPr>
        <w:t>The new biomarkers are as follows:</w:t>
      </w:r>
    </w:p>
    <w:p>
      <w:pPr>
        <w:spacing w:after="0" w:line="306" w:lineRule="exact"/>
        <w:rPr>
          <w:sz w:val="20"/>
          <w:szCs w:val="20"/>
          <w:color w:val="auto"/>
        </w:rPr>
      </w:pPr>
    </w:p>
    <w:p>
      <w:pPr>
        <w:ind w:left="660" w:hanging="328"/>
        <w:spacing w:after="0" w:line="278" w:lineRule="auto"/>
        <w:tabs>
          <w:tab w:leader="none" w:pos="655" w:val="left"/>
        </w:tabs>
        <w:numPr>
          <w:ilvl w:val="0"/>
          <w:numId w:val="3"/>
        </w:numPr>
        <w:rPr>
          <w:rFonts w:ascii="Arial" w:cs="Arial" w:eastAsia="Arial" w:hAnsi="Arial"/>
          <w:sz w:val="22"/>
          <w:szCs w:val="22"/>
          <w:color w:val="auto"/>
        </w:rPr>
      </w:pPr>
      <w:r>
        <w:rPr>
          <w:rFonts w:ascii="Calibri" w:cs="Calibri" w:eastAsia="Calibri" w:hAnsi="Calibri"/>
          <w:sz w:val="20"/>
          <w:szCs w:val="20"/>
          <w:b w:val="1"/>
          <w:bCs w:val="1"/>
          <w:color w:val="auto"/>
        </w:rPr>
        <w:t xml:space="preserve">T-Cell Lupus profle comprises new biomarkers; TC4d, TIgG, and TIgM. </w:t>
      </w:r>
      <w:r>
        <w:rPr>
          <w:rFonts w:ascii="Calibri" w:cs="Calibri" w:eastAsia="Calibri" w:hAnsi="Calibri"/>
          <w:sz w:val="20"/>
          <w:szCs w:val="20"/>
          <w:color w:val="auto"/>
        </w:rPr>
        <w:t>These markers provide superior sensitvity for SLE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compared to conventonal SLE biomarkers, further enhancing our industry-leading AVISE Lupus profle for a more comprehensive diagnosis, partcularly in clinically ambiguous cases.</w:t>
      </w:r>
    </w:p>
    <w:p>
      <w:pPr>
        <w:spacing w:after="0" w:line="294" w:lineRule="exact"/>
        <w:rPr>
          <w:rFonts w:ascii="Arial" w:cs="Arial" w:eastAsia="Arial" w:hAnsi="Arial"/>
          <w:sz w:val="22"/>
          <w:szCs w:val="22"/>
          <w:color w:val="auto"/>
        </w:rPr>
      </w:pPr>
    </w:p>
    <w:p>
      <w:pPr>
        <w:ind w:left="660" w:right="400" w:hanging="328"/>
        <w:spacing w:after="0" w:line="258" w:lineRule="auto"/>
        <w:tabs>
          <w:tab w:leader="none" w:pos="660" w:val="left"/>
        </w:tabs>
        <w:numPr>
          <w:ilvl w:val="0"/>
          <w:numId w:val="3"/>
        </w:numPr>
        <w:rPr>
          <w:rFonts w:ascii="Calibri" w:cs="Calibri" w:eastAsia="Calibri" w:hAnsi="Calibri"/>
          <w:sz w:val="22"/>
          <w:szCs w:val="22"/>
          <w:color w:val="auto"/>
        </w:rPr>
      </w:pPr>
      <w:r>
        <w:rPr>
          <w:rFonts w:ascii="Calibri" w:cs="Calibri" w:eastAsia="Calibri" w:hAnsi="Calibri"/>
          <w:sz w:val="20"/>
          <w:szCs w:val="20"/>
          <w:b w:val="1"/>
          <w:bCs w:val="1"/>
          <w:color w:val="auto"/>
        </w:rPr>
        <w:t xml:space="preserve">RA profle includes additonal ant-RA33 biomarkers; IgA, IgG, and IgM. </w:t>
      </w:r>
      <w:r>
        <w:rPr>
          <w:rFonts w:ascii="Calibri" w:cs="Calibri" w:eastAsia="Calibri" w:hAnsi="Calibri"/>
          <w:sz w:val="20"/>
          <w:szCs w:val="20"/>
          <w:color w:val="auto"/>
        </w:rPr>
        <w:t>These markers provide clinicians with more data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confdently identfy patents with RA and substantate a seronegatve RA diagnosis.</w:t>
      </w:r>
    </w:p>
    <w:p>
      <w:pPr>
        <w:sectPr>
          <w:pgSz w:w="11900" w:h="16838" w:orient="portrait"/>
          <w:cols w:equalWidth="0" w:num="1">
            <w:col w:w="11220"/>
          </w:cols>
          <w:pgMar w:left="320" w:top="1440" w:right="35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b w:val="1"/>
          <w:bCs w:val="1"/>
          <w:color w:val="auto"/>
        </w:rPr>
        <w:t>Preliminary Unaudited Select Financial Results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5"/>
        </w:trPr>
        <w:tc>
          <w:tcPr>
            <w:tcW w:w="68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trailing 12-month average selling price)</w:t>
            </w:r>
          </w:p>
        </w:tc>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 2024</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78"/>
        </w:trPr>
        <w:tc>
          <w:tcPr>
            <w:tcW w:w="6880" w:type="dxa"/>
            <w:vAlign w:val="bottom"/>
            <w:vMerge w:val="continue"/>
          </w:tcPr>
          <w:p>
            <w:pPr>
              <w:spacing w:after="0"/>
              <w:rPr>
                <w:sz w:val="15"/>
                <w:szCs w:val="15"/>
                <w:color w:val="auto"/>
              </w:rPr>
            </w:pPr>
          </w:p>
        </w:tc>
        <w:tc>
          <w:tcPr>
            <w:tcW w:w="2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$13.3 to $13.8</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$55.3 to $55.8</w:t>
            </w:r>
          </w:p>
        </w:tc>
        <w:tc>
          <w:tcPr>
            <w:tcW w:w="0" w:type="dxa"/>
            <w:vAlign w:val="bottom"/>
          </w:tcPr>
          <w:p>
            <w:pPr>
              <w:spacing w:after="0"/>
              <w:rPr>
                <w:sz w:val="1"/>
                <w:szCs w:val="1"/>
                <w:color w:val="auto"/>
              </w:rPr>
            </w:pPr>
          </w:p>
        </w:tc>
      </w:tr>
      <w:tr>
        <w:trPr>
          <w:trHeight w:val="198"/>
        </w:trPr>
        <w:tc>
          <w:tcPr>
            <w:tcW w:w="6880" w:type="dxa"/>
            <w:vAlign w:val="bottom"/>
          </w:tcPr>
          <w:p>
            <w:pPr>
              <w:ind w:left="20"/>
              <w:spacing w:after="0"/>
              <w:rPr>
                <w:sz w:val="20"/>
                <w:szCs w:val="20"/>
                <w:color w:val="auto"/>
              </w:rPr>
            </w:pPr>
            <w:r>
              <w:rPr>
                <w:rFonts w:ascii="Arial" w:cs="Arial" w:eastAsia="Arial" w:hAnsi="Arial"/>
                <w:sz w:val="14"/>
                <w:szCs w:val="14"/>
                <w:color w:val="auto"/>
              </w:rPr>
              <w:t>Net Loss</w:t>
            </w:r>
          </w:p>
        </w:tc>
        <w:tc>
          <w:tcPr>
            <w:tcW w:w="2240" w:type="dxa"/>
            <w:vAlign w:val="bottom"/>
            <w:gridSpan w:val="2"/>
          </w:tcPr>
          <w:p>
            <w:pPr>
              <w:jc w:val="center"/>
              <w:ind w:right="120"/>
              <w:spacing w:after="0"/>
              <w:rPr>
                <w:sz w:val="20"/>
                <w:szCs w:val="20"/>
                <w:color w:val="auto"/>
              </w:rPr>
            </w:pPr>
            <w:r>
              <w:rPr>
                <w:rFonts w:ascii="Arial" w:cs="Arial" w:eastAsia="Arial" w:hAnsi="Arial"/>
                <w:sz w:val="14"/>
                <w:szCs w:val="14"/>
                <w:color w:val="auto"/>
              </w:rPr>
              <w:t>($3.4) to ($4.4)</w:t>
            </w:r>
          </w:p>
        </w:tc>
        <w:tc>
          <w:tcPr>
            <w:tcW w:w="2120" w:type="dxa"/>
            <w:vAlign w:val="bottom"/>
          </w:tcPr>
          <w:p>
            <w:pPr>
              <w:jc w:val="center"/>
              <w:spacing w:after="0"/>
              <w:rPr>
                <w:sz w:val="20"/>
                <w:szCs w:val="20"/>
                <w:color w:val="auto"/>
              </w:rPr>
            </w:pPr>
            <w:r>
              <w:rPr>
                <w:rFonts w:ascii="Arial" w:cs="Arial" w:eastAsia="Arial" w:hAnsi="Arial"/>
                <w:sz w:val="14"/>
                <w:szCs w:val="14"/>
                <w:color w:val="auto"/>
              </w:rPr>
              <w:t>($14.8) to ($15.8)</w:t>
            </w: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($2.2) to ($3.2)</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($9.8) to ($10.8)</w:t>
            </w:r>
          </w:p>
        </w:tc>
        <w:tc>
          <w:tcPr>
            <w:tcW w:w="0" w:type="dxa"/>
            <w:vAlign w:val="bottom"/>
          </w:tcPr>
          <w:p>
            <w:pPr>
              <w:spacing w:after="0"/>
              <w:rPr>
                <w:sz w:val="1"/>
                <w:szCs w:val="1"/>
                <w:color w:val="auto"/>
              </w:rPr>
            </w:pPr>
          </w:p>
        </w:tc>
      </w:tr>
      <w:tr>
        <w:trPr>
          <w:trHeight w:val="198"/>
        </w:trPr>
        <w:tc>
          <w:tcPr>
            <w:tcW w:w="6880" w:type="dxa"/>
            <w:vAlign w:val="bottom"/>
          </w:tcPr>
          <w:p>
            <w:pPr>
              <w:ind w:left="20"/>
              <w:spacing w:after="0"/>
              <w:rPr>
                <w:sz w:val="20"/>
                <w:szCs w:val="20"/>
                <w:color w:val="auto"/>
              </w:rPr>
            </w:pPr>
            <w:r>
              <w:rPr>
                <w:rFonts w:ascii="Arial" w:cs="Arial" w:eastAsia="Arial" w:hAnsi="Arial"/>
                <w:sz w:val="14"/>
                <w:szCs w:val="14"/>
                <w:color w:val="auto"/>
              </w:rPr>
              <w:t>AVISE CTD Trailing 12-month average selling price</w:t>
            </w:r>
          </w:p>
        </w:tc>
        <w:tc>
          <w:tcPr>
            <w:tcW w:w="2240" w:type="dxa"/>
            <w:vAlign w:val="bottom"/>
            <w:gridSpan w:val="2"/>
          </w:tcPr>
          <w:p>
            <w:pPr>
              <w:jc w:val="center"/>
              <w:ind w:right="120"/>
              <w:spacing w:after="0"/>
              <w:rPr>
                <w:sz w:val="20"/>
                <w:szCs w:val="20"/>
                <w:color w:val="auto"/>
              </w:rPr>
            </w:pPr>
            <w:r>
              <w:rPr>
                <w:rFonts w:ascii="Arial" w:cs="Arial" w:eastAsia="Arial" w:hAnsi="Arial"/>
                <w:sz w:val="14"/>
                <w:szCs w:val="14"/>
                <w:color w:val="auto"/>
              </w:rPr>
              <w:t>$408 to $412</w:t>
            </w:r>
          </w:p>
        </w:tc>
        <w:tc>
          <w:tcPr>
            <w:tcW w:w="2120" w:type="dxa"/>
            <w:vAlign w:val="bottom"/>
          </w:tcPr>
          <w:p>
            <w:pPr>
              <w:jc w:val="center"/>
              <w:spacing w:after="0"/>
              <w:rPr>
                <w:sz w:val="20"/>
                <w:szCs w:val="20"/>
                <w:color w:val="auto"/>
              </w:rPr>
            </w:pPr>
            <w:r>
              <w:rPr>
                <w:rFonts w:ascii="Arial" w:cs="Arial" w:eastAsia="Arial" w:hAnsi="Arial"/>
                <w:sz w:val="14"/>
                <w:szCs w:val="14"/>
                <w:color w:val="auto"/>
              </w:rPr>
              <w:t>$408 to $412</w:t>
            </w: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bl>
    <w:p>
      <w:pPr>
        <w:spacing w:after="0" w:line="330" w:lineRule="exact"/>
        <w:rPr>
          <w:sz w:val="20"/>
          <w:szCs w:val="20"/>
          <w:color w:val="auto"/>
        </w:rPr>
      </w:pPr>
    </w:p>
    <w:p>
      <w:pPr>
        <w:spacing w:after="0"/>
        <w:rPr>
          <w:sz w:val="20"/>
          <w:szCs w:val="20"/>
          <w:color w:val="auto"/>
        </w:rPr>
      </w:pPr>
      <w:r>
        <w:rPr>
          <w:rFonts w:ascii="Calibri" w:cs="Calibri" w:eastAsia="Calibri" w:hAnsi="Calibri"/>
          <w:sz w:val="20"/>
          <w:szCs w:val="20"/>
          <w:color w:val="auto"/>
        </w:rPr>
        <w:t>The preliminary unaudited select fnancial results reported today represent:</w:t>
      </w:r>
    </w:p>
    <w:p>
      <w:pPr>
        <w:spacing w:after="0" w:line="7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Calibri" w:cs="Calibri" w:eastAsia="Calibri" w:hAnsi="Calibri"/>
          <w:sz w:val="20"/>
          <w:szCs w:val="20"/>
          <w:color w:val="auto"/>
        </w:rPr>
        <w:t>Record full-year 2024 revenue and AVISE CTD ASP</w:t>
      </w:r>
    </w:p>
    <w:p>
      <w:pPr>
        <w:spacing w:after="0" w:line="77"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Calibri" w:cs="Calibri" w:eastAsia="Calibri" w:hAnsi="Calibri"/>
          <w:sz w:val="20"/>
          <w:szCs w:val="20"/>
          <w:color w:val="auto"/>
        </w:rPr>
        <w:t>AVISE CTD trailing twelve-month ASP improvement of $72 to $76 compared to Q4 2023</w:t>
      </w:r>
    </w:p>
    <w:p>
      <w:pPr>
        <w:spacing w:after="0" w:line="77"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Calibri" w:cs="Calibri" w:eastAsia="Calibri" w:hAnsi="Calibri"/>
          <w:sz w:val="20"/>
          <w:szCs w:val="20"/>
          <w:color w:val="auto"/>
        </w:rPr>
        <w:t>Full-year 2024 adjusted EBITDA improvement of to 37% to 43% compared to full-year 2023</w:t>
      </w:r>
    </w:p>
    <w:p>
      <w:pPr>
        <w:spacing w:after="0" w:line="77"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Calibri" w:cs="Calibri" w:eastAsia="Calibri" w:hAnsi="Calibri"/>
          <w:sz w:val="20"/>
          <w:szCs w:val="20"/>
          <w:color w:val="auto"/>
        </w:rPr>
        <w:t>Net neutral cash usage in the fourth quarter of 2024</w:t>
      </w:r>
    </w:p>
    <w:p>
      <w:pPr>
        <w:spacing w:after="0" w:line="306" w:lineRule="exact"/>
        <w:rPr>
          <w:sz w:val="20"/>
          <w:szCs w:val="20"/>
          <w:color w:val="auto"/>
        </w:rPr>
      </w:pPr>
    </w:p>
    <w:p>
      <w:pPr>
        <w:ind w:right="20"/>
        <w:spacing w:after="0" w:line="279" w:lineRule="auto"/>
        <w:rPr>
          <w:sz w:val="20"/>
          <w:szCs w:val="20"/>
          <w:color w:val="auto"/>
        </w:rPr>
      </w:pPr>
      <w:r>
        <w:rPr>
          <w:rFonts w:ascii="Calibri" w:cs="Calibri" w:eastAsia="Calibri" w:hAnsi="Calibri"/>
          <w:sz w:val="20"/>
          <w:szCs w:val="20"/>
          <w:color w:val="auto"/>
        </w:rPr>
        <w:t>“2024 was a remarkable year for Exagen by many accounts. We reached a signifcant milestone by testng our 1,000,000</w:t>
      </w:r>
      <w:r>
        <w:rPr>
          <w:rFonts w:ascii="Calibri" w:cs="Calibri" w:eastAsia="Calibri" w:hAnsi="Calibri"/>
          <w:sz w:val="23"/>
          <w:szCs w:val="23"/>
          <w:color w:val="auto"/>
          <w:vertAlign w:val="superscript"/>
        </w:rPr>
        <w:t>th</w:t>
      </w:r>
      <w:r>
        <w:rPr>
          <w:rFonts w:ascii="Calibri" w:cs="Calibri" w:eastAsia="Calibri" w:hAnsi="Calibri"/>
          <w:sz w:val="20"/>
          <w:szCs w:val="20"/>
          <w:color w:val="auto"/>
        </w:rPr>
        <w:t xml:space="preserve"> patent with AVISE CTD, an impressive achievement for any proprietary test, but especially one in a feld that hasn’t seen robust biomarker innovaton for many decades,” said John Aballi, CEO. “We’ve also made great strides in optmizing our company’s operatons and contnued our progress toward proftability - a goal which is now frmly within reach, all while delivering record reimbursement per test and record overall revenue performance."</w:t>
      </w:r>
    </w:p>
    <w:p>
      <w:pPr>
        <w:spacing w:after="0" w:line="266" w:lineRule="exact"/>
        <w:rPr>
          <w:sz w:val="20"/>
          <w:szCs w:val="20"/>
          <w:color w:val="auto"/>
        </w:rPr>
      </w:pPr>
    </w:p>
    <w:p>
      <w:pPr>
        <w:ind w:right="100"/>
        <w:spacing w:after="0" w:line="287" w:lineRule="auto"/>
        <w:rPr>
          <w:sz w:val="20"/>
          <w:szCs w:val="20"/>
          <w:color w:val="auto"/>
        </w:rPr>
      </w:pPr>
      <w:r>
        <w:rPr>
          <w:rFonts w:ascii="Calibri" w:cs="Calibri" w:eastAsia="Calibri" w:hAnsi="Calibri"/>
          <w:sz w:val="20"/>
          <w:szCs w:val="20"/>
          <w:color w:val="auto"/>
        </w:rPr>
        <w:t>Mr. Aballi contnued, “To start 2025 with New York State’s approval of our new assays is another signifcant milestone, and we now sit in the midst of several growth catalysts with strong momentum to start the year. I’m very grateful to the dedicated team we have, and couldn’t be more excited about what lies ahead.”</w:t>
      </w: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Cautonary Note Regarding Select Preliminary Unaudited Financial Results</w:t>
      </w:r>
    </w:p>
    <w:p>
      <w:pPr>
        <w:spacing w:after="0" w:line="279" w:lineRule="exact"/>
        <w:rPr>
          <w:sz w:val="20"/>
          <w:szCs w:val="20"/>
          <w:color w:val="auto"/>
        </w:rPr>
      </w:pPr>
    </w:p>
    <w:p>
      <w:pPr>
        <w:ind w:right="100"/>
        <w:spacing w:after="0" w:line="290" w:lineRule="auto"/>
        <w:rPr>
          <w:sz w:val="20"/>
          <w:szCs w:val="20"/>
          <w:color w:val="auto"/>
        </w:rPr>
      </w:pPr>
      <w:r>
        <w:rPr>
          <w:rFonts w:ascii="Calibri" w:cs="Calibri" w:eastAsia="Calibri" w:hAnsi="Calibri"/>
          <w:sz w:val="20"/>
          <w:szCs w:val="20"/>
          <w:color w:val="auto"/>
        </w:rPr>
        <w:t>The company is providing the above preliminary unaudited select fnancial informaton and results of operatons as of and for the three months and year ended December 31, 2024, based on currently available informaton. The company’s fnancial closing procedures with respect to the estmated fnancial data provided above are not yet complete. These procedures ofen result in changes to accounts. Our independent registered public accountng frm has not audited, reviewed, compiled or performed any procedures with respect to the preliminary unaudited select fnancial informaton and, accordingly, our independent registered public accountng frm does not express an opinion or any other form of assurance with respect thereto. As a result, the company’s fnal results may vary from the preliminary results presented above. Management undertakes no obligaton to update or supplement the informaton provided above untl it releases its audited fnancial statements prepared in accordance with U.S. Generally Accepted Accountng Principles (GAAP) for the year ended December 31, 2024.</w:t>
      </w:r>
    </w:p>
    <w:p>
      <w:pPr>
        <w:sectPr>
          <w:pgSz w:w="11900" w:h="16838" w:orient="portrait"/>
          <w:cols w:equalWidth="0" w:num="1">
            <w:col w:w="11240"/>
          </w:cols>
          <w:pgMar w:left="320" w:top="1428" w:right="339" w:bottom="1440" w:gutter="0" w:footer="0" w:header="0"/>
        </w:sectPr>
      </w:pPr>
    </w:p>
    <w:bookmarkStart w:id="5" w:name="page6"/>
    <w:bookmarkEnd w:id="5"/>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Use of Unaudited Non-GAAP Financial Measures</w:t>
      </w:r>
    </w:p>
    <w:p>
      <w:pPr>
        <w:spacing w:after="0" w:line="279" w:lineRule="exact"/>
        <w:rPr>
          <w:sz w:val="20"/>
          <w:szCs w:val="20"/>
          <w:color w:val="auto"/>
        </w:rPr>
      </w:pPr>
    </w:p>
    <w:p>
      <w:pPr>
        <w:ind w:right="140"/>
        <w:spacing w:after="0" w:line="299" w:lineRule="auto"/>
        <w:rPr>
          <w:sz w:val="20"/>
          <w:szCs w:val="20"/>
          <w:color w:val="auto"/>
        </w:rPr>
      </w:pPr>
      <w:r>
        <w:rPr>
          <w:rFonts w:ascii="Calibri" w:cs="Calibri" w:eastAsia="Calibri" w:hAnsi="Calibri"/>
          <w:sz w:val="20"/>
          <w:szCs w:val="20"/>
          <w:color w:val="auto"/>
        </w:rPr>
        <w:t>In additon to the fnancial results prepared in accordance with GAAP, this press release contains the metric adjusted EBITDA, which is not calculated in accordance with GAAP and is a non-GAAP fnancial measure. Adjusted EBITDA excludes from net loss interest income (expense), income tax expense (beneft), depreciaton and amortzaton expense, stock-based compensaton expense and other expenses or income that management believes are not representatve of the company’s operatons. Such items could have a signifcant impact on the calculaton of GAAP net loss.</w:t>
      </w:r>
    </w:p>
    <w:p>
      <w:pPr>
        <w:spacing w:after="0" w:line="248" w:lineRule="exact"/>
        <w:rPr>
          <w:sz w:val="20"/>
          <w:szCs w:val="20"/>
          <w:color w:val="auto"/>
        </w:rPr>
      </w:pPr>
    </w:p>
    <w:p>
      <w:pPr>
        <w:ind w:right="40"/>
        <w:spacing w:after="0" w:line="302" w:lineRule="auto"/>
        <w:rPr>
          <w:sz w:val="20"/>
          <w:szCs w:val="20"/>
          <w:color w:val="auto"/>
        </w:rPr>
      </w:pPr>
      <w:r>
        <w:rPr>
          <w:rFonts w:ascii="Calibri" w:cs="Calibri" w:eastAsia="Calibri" w:hAnsi="Calibri"/>
          <w:sz w:val="20"/>
          <w:szCs w:val="20"/>
          <w:color w:val="auto"/>
        </w:rPr>
        <w:t>The table below presents the reconciliaton of preliminary net loss to adjusted EBITDA, which is a non-GAAP fnancial measure. See "Use of Non-GAAP Financial Measures (UNAUDITED)" above for further informaton regarding the company's use of non-GAAP fnancial measures.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Reconciliaton of Non-GAAP Financial Measures (UNAUDITED)</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5"/>
        </w:trPr>
        <w:tc>
          <w:tcPr>
            <w:tcW w:w="678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2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December 31, 2024</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78"/>
        </w:trPr>
        <w:tc>
          <w:tcPr>
            <w:tcW w:w="6780" w:type="dxa"/>
            <w:vAlign w:val="bottom"/>
            <w:gridSpan w:val="3"/>
            <w:vMerge w:val="continue"/>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80" w:type="dxa"/>
            <w:vAlign w:val="bottom"/>
            <w:gridSpan w:val="3"/>
          </w:tcPr>
          <w:p>
            <w:pPr>
              <w:ind w:left="20"/>
              <w:spacing w:after="0"/>
              <w:rPr>
                <w:sz w:val="20"/>
                <w:szCs w:val="20"/>
                <w:color w:val="auto"/>
              </w:rPr>
            </w:pPr>
            <w:r>
              <w:rPr>
                <w:rFonts w:ascii="Arial" w:cs="Arial" w:eastAsia="Arial" w:hAnsi="Arial"/>
                <w:sz w:val="14"/>
                <w:szCs w:val="14"/>
                <w:color w:val="auto"/>
              </w:rPr>
              <w:t>Net loss</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rPr>
              <w:t>($3.4) to ($4.4)</w:t>
            </w:r>
          </w:p>
        </w:tc>
        <w:tc>
          <w:tcPr>
            <w:tcW w:w="2160" w:type="dxa"/>
            <w:vAlign w:val="bottom"/>
          </w:tcPr>
          <w:p>
            <w:pPr>
              <w:jc w:val="center"/>
              <w:spacing w:after="0"/>
              <w:rPr>
                <w:sz w:val="20"/>
                <w:szCs w:val="20"/>
                <w:color w:val="auto"/>
              </w:rPr>
            </w:pPr>
            <w:r>
              <w:rPr>
                <w:rFonts w:ascii="Arial" w:cs="Arial" w:eastAsia="Arial" w:hAnsi="Arial"/>
                <w:sz w:val="14"/>
                <w:szCs w:val="14"/>
                <w:color w:val="auto"/>
              </w:rPr>
              <w:t>($14.8) to ($15.8)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Other (Income) Expense</w:t>
            </w:r>
          </w:p>
        </w:tc>
        <w:tc>
          <w:tcPr>
            <w:tcW w:w="216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gridSpan w:val="2"/>
          </w:tcPr>
          <w:p>
            <w:pPr>
              <w:ind w:left="320"/>
              <w:spacing w:after="0"/>
              <w:rPr>
                <w:sz w:val="20"/>
                <w:szCs w:val="20"/>
                <w:color w:val="auto"/>
              </w:rPr>
            </w:pPr>
            <w:r>
              <w:rPr>
                <w:rFonts w:ascii="Arial" w:cs="Arial" w:eastAsia="Arial" w:hAnsi="Arial"/>
                <w:sz w:val="14"/>
                <w:szCs w:val="14"/>
                <w:color w:val="auto"/>
              </w:rPr>
              <w:t>Interest Expense</w:t>
            </w: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Depreciation and amortization expense</w:t>
            </w:r>
          </w:p>
        </w:tc>
        <w:tc>
          <w:tcPr>
            <w:tcW w:w="216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676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color w:val="auto"/>
              </w:rPr>
              <w:t>Stock-based compensation expense</w:t>
            </w:r>
          </w:p>
        </w:tc>
        <w:tc>
          <w:tcPr>
            <w:tcW w:w="21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16"/>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Adjusted EBITDA (Non-GAAP)</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($2.2) to ($3.2)</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($9.8) to ($10.8)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spacing w:after="0" w:line="290" w:lineRule="auto"/>
        <w:rPr>
          <w:sz w:val="20"/>
          <w:szCs w:val="20"/>
          <w:color w:val="auto"/>
        </w:rPr>
      </w:pPr>
      <w:r>
        <w:rPr>
          <w:rFonts w:ascii="Calibri" w:cs="Calibri" w:eastAsia="Calibri" w:hAnsi="Calibri"/>
          <w:sz w:val="20"/>
          <w:szCs w:val="20"/>
          <w:color w:val="auto"/>
        </w:rPr>
        <w:t>Management believes that this non-GAAP fnancial measure, taken in conjuncton with GAAP fnancial measures, provides useful informaton for both management and investors by excluding certain non-cash and other expenses that are not indicatve of the company’s core operatng results. Management uses non-GAAP measures to compare the company’s performance relatve to forecasts and strategic plans and to benchmark the company’s performance externally against compettors. However, this non-GAAP fnancial measure may be diferent from non-GAAP fnancial measures used by other companies, even when the same or similarly ttled terms are used to identfy such measures, limitng their usefulness for comparatve purposes. Non-GAAP informaton is not prepared under a comprehensive set of accountng rules and should only be used to supplement an understanding of the company’s operatng results as reported under U.S. GAAP.</w:t>
      </w:r>
    </w:p>
    <w:p>
      <w:pPr>
        <w:sectPr>
          <w:pgSz w:w="11900" w:h="16838" w:orient="portrait"/>
          <w:cols w:equalWidth="0" w:num="1">
            <w:col w:w="11220"/>
          </w:cols>
          <w:pgMar w:left="320" w:top="1440" w:right="359" w:bottom="1440" w:gutter="0" w:footer="0" w:header="0"/>
        </w:sectPr>
      </w:pPr>
    </w:p>
    <w:bookmarkStart w:id="6" w:name="page7"/>
    <w:bookmarkEnd w:id="6"/>
    <w:p>
      <w:pPr>
        <w:ind w:right="100"/>
        <w:spacing w:after="0" w:line="290" w:lineRule="auto"/>
        <w:rPr>
          <w:sz w:val="20"/>
          <w:szCs w:val="20"/>
          <w:color w:val="auto"/>
        </w:rPr>
      </w:pPr>
      <w:r>
        <w:rPr>
          <w:rFonts w:ascii="Calibri" w:cs="Calibri" w:eastAsia="Calibri" w:hAnsi="Calibri"/>
          <w:sz w:val="20"/>
          <w:szCs w:val="20"/>
          <w:color w:val="auto"/>
        </w:rPr>
        <w:t>This non-GAAP fnancial measure is not meant to be considered in isolaton or used as a substtute for net loss reported in accordance with GAAP, should be considered in conjuncton with fnancial informaton presented in accordance with GAAP, has no standardized meaning prescribed by GAAP, is unaudited, and is not prepared under any comprehensive set of accountng rules or principles. In additon, from tme to tme in the future, there may be other items that management may exclude for purposes of this non-GAAP fnancial measure, and may in the future cease to exclude items that historically have been excluded for purposes of this non-GAAP fnancial measure. Likewise, management may determine to modify the nature of adjustments to arrive at this non-GAAP fnancial measure.</w:t>
      </w: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Exagen</w:t>
      </w:r>
    </w:p>
    <w:p>
      <w:pPr>
        <w:spacing w:after="0" w:line="279" w:lineRule="exact"/>
        <w:rPr>
          <w:sz w:val="20"/>
          <w:szCs w:val="20"/>
          <w:color w:val="auto"/>
        </w:rPr>
      </w:pPr>
    </w:p>
    <w:p>
      <w:pPr>
        <w:spacing w:after="0" w:line="290" w:lineRule="auto"/>
        <w:rPr>
          <w:sz w:val="20"/>
          <w:szCs w:val="20"/>
          <w:color w:val="auto"/>
        </w:rPr>
      </w:pPr>
      <w:r>
        <w:rPr>
          <w:rFonts w:ascii="Calibri" w:cs="Calibri" w:eastAsia="Calibri" w:hAnsi="Calibri"/>
          <w:sz w:val="20"/>
          <w:szCs w:val="20"/>
          <w:color w:val="auto"/>
        </w:rPr>
        <w:t>Exagen Inc. (Nasdaq: XGN) is a leading provider of autoimmune diagnostcs, commited to transforming care for patents with chronic and debilitatng autoimmune conditons. Based in San Diego County, California, Exagen’s mission is to provide clarity in autoimmune disease decision making and improve clinical outcomes through its innovatve testng portolio. The company’s fagship product, AVISE® CTD, enables clinicians to more efectvely diagnose complex autoimmune conditons such as lupus, rheumatoid arthrits, and Sjögren’s syndrome earlier and with greater accuracy. Exagen’s laboratory specializes in the testng of rheumatc diseases, delivering precise and tmely results, supported by a full suite of AVISE-branded tests for disease diagnosis, prognosis, and monitoring. With a focus on research, innovaton, educaton, and patent-centered care, Exagen is dedicated to addressing the ongoing challenges of autoimmune disease management.</w:t>
      </w:r>
    </w:p>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color w:val="auto"/>
        </w:rPr>
        <w:t>For more informaton, please visit Exagen.com or follow @ExagenInc on X (formerly known as Twiter).</w:t>
      </w:r>
    </w:p>
    <w:p>
      <w:pPr>
        <w:sectPr>
          <w:pgSz w:w="11900" w:h="16838" w:orient="portrait"/>
          <w:cols w:equalWidth="0" w:num="1">
            <w:col w:w="11080"/>
          </w:cols>
          <w:pgMar w:left="320" w:top="1438" w:right="499" w:bottom="1440" w:gutter="0" w:footer="0" w:header="0"/>
        </w:sectPr>
      </w:pPr>
    </w:p>
    <w:bookmarkStart w:id="7" w:name="page8"/>
    <w:bookmarkEnd w:id="7"/>
    <w:p>
      <w:pPr>
        <w:spacing w:after="0"/>
        <w:rPr>
          <w:sz w:val="20"/>
          <w:szCs w:val="20"/>
          <w:color w:val="auto"/>
        </w:rPr>
      </w:pPr>
      <w:r>
        <w:rPr>
          <w:rFonts w:ascii="Calibri" w:cs="Calibri" w:eastAsia="Calibri" w:hAnsi="Calibri"/>
          <w:sz w:val="20"/>
          <w:szCs w:val="20"/>
          <w:b w:val="1"/>
          <w:bCs w:val="1"/>
          <w:color w:val="auto"/>
        </w:rPr>
        <w:t>Forward Looking Statements</w:t>
      </w:r>
    </w:p>
    <w:p>
      <w:pPr>
        <w:spacing w:after="0" w:line="279" w:lineRule="exact"/>
        <w:rPr>
          <w:sz w:val="20"/>
          <w:szCs w:val="20"/>
          <w:color w:val="auto"/>
        </w:rPr>
      </w:pPr>
    </w:p>
    <w:p>
      <w:pPr>
        <w:ind w:right="60"/>
        <w:spacing w:after="0" w:line="290" w:lineRule="auto"/>
        <w:rPr>
          <w:sz w:val="20"/>
          <w:szCs w:val="20"/>
          <w:color w:val="auto"/>
        </w:rPr>
      </w:pPr>
      <w:r>
        <w:rPr>
          <w:rFonts w:ascii="Calibri" w:cs="Calibri" w:eastAsia="Calibri" w:hAnsi="Calibri"/>
          <w:sz w:val="20"/>
          <w:szCs w:val="20"/>
          <w:color w:val="auto"/>
        </w:rPr>
        <w:t>Exagen cautons you that statements contained in this press release regarding maters that are not historical facts are forward-looking statements. These statements are based on Exagen’s current beliefs and expectatons. Such forward-looking statements include, but are not limited to, statements regarding: Exagen’s goals, strategies and ambitons; the potental utlity and efectveness of Exagen’s services and testng solutons, including the newly approved SLE and RA biomarkers; potental shareholder value and growth and proftability; preliminary fnancial informaton as of and for December 31, 2024; and guidance. The inclusion of forward-looking statements should not be regarded as a representaton by Exagen that any of its plans will be achieved. Actual results may difer from those set forth in this</w:t>
      </w:r>
    </w:p>
    <w:p>
      <w:pPr>
        <w:spacing w:after="0" w:line="53" w:lineRule="exact"/>
        <w:rPr>
          <w:sz w:val="20"/>
          <w:szCs w:val="20"/>
          <w:color w:val="auto"/>
        </w:rPr>
      </w:pPr>
    </w:p>
    <w:p>
      <w:pPr>
        <w:spacing w:after="0" w:line="291" w:lineRule="auto"/>
        <w:rPr>
          <w:sz w:val="20"/>
          <w:szCs w:val="20"/>
          <w:color w:val="auto"/>
        </w:rPr>
      </w:pPr>
      <w:r>
        <w:rPr>
          <w:rFonts w:ascii="Calibri" w:cs="Calibri" w:eastAsia="Calibri" w:hAnsi="Calibri"/>
          <w:sz w:val="20"/>
          <w:szCs w:val="20"/>
          <w:color w:val="auto"/>
        </w:rPr>
        <w:t>press release due to the risks and uncertaintes inherent in Exagen’s business, including, without limitaton: delays in reimbursement and coverage decisions from Medicare and third-party payors and in interactons with regulatory authorites, and delays in ongoing and planned clinical trials involving its tests; Exagen’s commercial success depends upon ataining and maintaining signifcant market acceptance of its testng products among rheumatologists, patents, third-party payors and others in the medical community; Exagen’s ability to successfully execute on its business strategies; third-party payors not providing coverage and adequate reimbursement for Exagen’s testng products, including Exagen’s ability to collect on funds due; Exagen’s ability to obtain and maintain intellectual property protecton for its testng products; regulatory developments afectng Exagen’s business; and other risks described in Exagen’s prior press releases and Exagen’s flings with the Securites and Exchange Commission (SEC), including under the heading “Risk Factors” in Exagen’s Annual Report on Form 10-K for the year ended December 31, 2023, fled with the SEC on March 18, 2024 and any subsequent flings with the SEC. You are cautoned not to place undue reliance on these forward-looking statements, which speak only as of the date hereof, and Exagen undertakes no obligaton to update such statements to refect events that occur or circumstances that exist afer the date hereof. All forward-looking statements are qualifed in their entrety by this cautonary statement, which is made under the safe harbor provisions of the Private Securites Litgaton Reform Act of 1995.</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w:t>
      </w:r>
    </w:p>
    <w:p>
      <w:pPr>
        <w:spacing w:after="0" w:line="238" w:lineRule="auto"/>
        <w:rPr>
          <w:sz w:val="20"/>
          <w:szCs w:val="20"/>
          <w:color w:val="auto"/>
        </w:rPr>
      </w:pPr>
      <w:r>
        <w:rPr>
          <w:rFonts w:ascii="Calibri" w:cs="Calibri" w:eastAsia="Calibri" w:hAnsi="Calibri"/>
          <w:sz w:val="20"/>
          <w:szCs w:val="20"/>
          <w:color w:val="auto"/>
        </w:rPr>
        <w:t>Ryan Douglas</w:t>
      </w:r>
    </w:p>
    <w:p>
      <w:pPr>
        <w:spacing w:after="0"/>
        <w:rPr>
          <w:sz w:val="20"/>
          <w:szCs w:val="20"/>
          <w:color w:val="auto"/>
        </w:rPr>
      </w:pPr>
      <w:r>
        <w:rPr>
          <w:rFonts w:ascii="Calibri" w:cs="Calibri" w:eastAsia="Calibri" w:hAnsi="Calibri"/>
          <w:sz w:val="20"/>
          <w:szCs w:val="20"/>
          <w:color w:val="auto"/>
        </w:rPr>
        <w:t>Exagen Inc.</w:t>
      </w:r>
    </w:p>
    <w:p>
      <w:pPr>
        <w:spacing w:after="0" w:line="225" w:lineRule="auto"/>
        <w:rPr>
          <w:sz w:val="20"/>
          <w:szCs w:val="20"/>
          <w:color w:val="auto"/>
        </w:rPr>
      </w:pPr>
      <w:r>
        <w:rPr>
          <w:rFonts w:ascii="Calibri" w:cs="Calibri" w:eastAsia="Calibri" w:hAnsi="Calibri"/>
          <w:sz w:val="20"/>
          <w:szCs w:val="20"/>
          <w:u w:val="single" w:color="auto"/>
          <w:color w:val="0563C1"/>
        </w:rPr>
        <w:t>ir@exagen.com</w:t>
      </w:r>
    </w:p>
    <w:p>
      <w:pPr>
        <w:spacing w:after="0"/>
        <w:rPr>
          <w:sz w:val="20"/>
          <w:szCs w:val="20"/>
          <w:color w:val="auto"/>
        </w:rPr>
      </w:pPr>
      <w:r>
        <w:rPr>
          <w:rFonts w:ascii="Calibri" w:cs="Calibri" w:eastAsia="Calibri" w:hAnsi="Calibri"/>
          <w:sz w:val="20"/>
          <w:szCs w:val="20"/>
          <w:color w:val="auto"/>
        </w:rPr>
        <w:t>760.560.1525</w:t>
      </w:r>
    </w:p>
    <w:sectPr>
      <w:pgSz w:w="11900" w:h="16838" w:orient="portrait"/>
      <w:cols w:equalWidth="0" w:num="1">
        <w:col w:w="11220"/>
      </w:cols>
      <w:pgMar w:left="320" w:top="140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2025-01-13T07:10:13Z</dcterms:created>
  <dcterms:modified xsi:type="dcterms:W3CDTF">2025-01-13T07:10:13Z</dcterms:modified>
</cp:coreProperties>
</file>