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4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-629285</wp:posOffset>
            </wp:positionV>
            <wp:extent cx="58420" cy="642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4081780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429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42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Rocca Fortunato R.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EXAGEN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1261 LIBERTY WAY, SUITE 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EXAGEN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1" w:right="740" w:firstLine="1"/>
        <w:spacing w:after="0" w:line="239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5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VISTA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5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9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24.19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3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01/08/2030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20" w:firstLine="3"/>
        <w:spacing w:after="0" w:line="25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exercisable as it vests. 25% of the shares subject to the option vest on January 1, 2021, and 1/48th of the total number of shares subject to the option vest monthly thereafter, subject to the Reporting Person's continued service to the Issuer through each such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Kamal Adawi, as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-26670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-19685</wp:posOffset>
            </wp:positionV>
            <wp:extent cx="1600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5814060</wp:posOffset>
            </wp:positionH>
            <wp:positionV relativeFrom="paragraph">
              <wp:posOffset>-85725</wp:posOffset>
            </wp:positionV>
            <wp:extent cx="4876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firstLine="3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734" TargetMode="External"/><Relationship Id="rId13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2020-01-09T16:11:40Z</dcterms:created>
  <dcterms:modified xsi:type="dcterms:W3CDTF">2020-01-09T16:11:40Z</dcterms:modified>
</cp:coreProperties>
</file>