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19, 2019</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400"/>
          </w:cols>
          <w:pgMar w:left="240" w:top="1254" w:right="259" w:bottom="1440" w:gutter="0" w:footer="0" w:header="0"/>
        </w:sectPr>
      </w:pPr>
    </w:p>
    <w:p>
      <w:pPr>
        <w:spacing w:after="0" w:line="309"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20-0434866</w:t>
      </w:r>
    </w:p>
    <w:p>
      <w:pPr>
        <w:spacing w:after="0" w:line="72" w:lineRule="exact"/>
        <w:rPr>
          <w:sz w:val="24"/>
          <w:szCs w:val="24"/>
          <w:color w:val="auto"/>
        </w:rPr>
      </w:pPr>
    </w:p>
    <w:p>
      <w:pPr>
        <w:sectPr>
          <w:pgSz w:w="11900" w:h="16838" w:orient="portrait"/>
          <w:cols w:equalWidth="0" w:num="3">
            <w:col w:w="4740" w:space="720"/>
            <w:col w:w="2660" w:space="720"/>
            <w:col w:w="2560"/>
          </w:cols>
          <w:pgMar w:left="240" w:top="1254" w:right="259" w:bottom="1440" w:gutter="0" w:footer="0" w:header="0"/>
          <w:type w:val="continuous"/>
        </w:sect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9"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560" w:space="720"/>
            <w:col w:w="2700"/>
          </w:cols>
          <w:pgMar w:left="240" w:top="1254" w:right="259" w:bottom="1440" w:gutter="0" w:footer="0" w:header="0"/>
          <w:type w:val="continuous"/>
        </w:sectPr>
      </w:pPr>
    </w:p>
    <w:p>
      <w:pPr>
        <w:spacing w:after="0" w:line="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1261 Liberty Way, Suite C</w:t>
      </w:r>
    </w:p>
    <w:p>
      <w:pPr>
        <w:spacing w:after="0" w:line="3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include area code)</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400"/>
          </w:cols>
          <w:pgMar w:left="240" w:top="1254" w:right="25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240" w:hanging="214"/>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0" w:lineRule="exact"/>
        <w:rPr>
          <w:rFonts w:ascii="MS PGothic" w:cs="MS PGothic" w:eastAsia="MS PGothic" w:hAnsi="MS PGothic"/>
          <w:sz w:val="18"/>
          <w:szCs w:val="18"/>
          <w:color w:val="auto"/>
        </w:rPr>
      </w:pPr>
    </w:p>
    <w:p>
      <w:pPr>
        <w:ind w:left="240" w:hanging="214"/>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0" w:lineRule="exact"/>
        <w:rPr>
          <w:rFonts w:ascii="MS PGothic" w:cs="MS PGothic" w:eastAsia="MS PGothic" w:hAnsi="MS PGothic"/>
          <w:sz w:val="18"/>
          <w:szCs w:val="18"/>
          <w:color w:val="auto"/>
        </w:rPr>
      </w:pPr>
    </w:p>
    <w:p>
      <w:pPr>
        <w:ind w:left="240" w:hanging="214"/>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0" w:lineRule="exact"/>
        <w:rPr>
          <w:rFonts w:ascii="MS PGothic" w:cs="MS PGothic" w:eastAsia="MS PGothic" w:hAnsi="MS PGothic"/>
          <w:sz w:val="18"/>
          <w:szCs w:val="18"/>
          <w:color w:val="auto"/>
        </w:rPr>
      </w:pPr>
    </w:p>
    <w:p>
      <w:pPr>
        <w:ind w:left="240" w:hanging="214"/>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22"/>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 w:type="dxa"/>
            <w:vAlign w:val="bottom"/>
          </w:tcPr>
          <w:p>
            <w:pPr>
              <w:spacing w:after="0"/>
              <w:rPr>
                <w:sz w:val="19"/>
                <w:szCs w:val="19"/>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60" w:type="dxa"/>
            <w:vAlign w:val="bottom"/>
          </w:tcPr>
          <w:p>
            <w:pPr>
              <w:spacing w:after="0"/>
              <w:rPr>
                <w:sz w:val="19"/>
                <w:szCs w:val="19"/>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2"/>
        </w:trPr>
        <w:tc>
          <w:tcPr>
            <w:tcW w:w="39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3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202" w:lineRule="exact"/>
        <w:rPr>
          <w:sz w:val="24"/>
          <w:szCs w:val="24"/>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8"/>
          <w:szCs w:val="18"/>
          <w:color w:val="auto"/>
        </w:rPr>
        <w:t>☒</w:t>
      </w:r>
    </w:p>
    <w:p>
      <w:pPr>
        <w:spacing w:after="0" w:line="218" w:lineRule="exact"/>
        <w:rPr>
          <w:sz w:val="24"/>
          <w:szCs w:val="24"/>
          <w:color w:val="auto"/>
        </w:rPr>
      </w:pPr>
    </w:p>
    <w:p>
      <w:pPr>
        <w:ind w:right="1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00"/>
          </w:cols>
          <w:pgMar w:left="240" w:top="1254" w:right="2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62"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Effective November 19, 2019, Exagen Inc. (the “Company”), entered into the First Amendment to Loan and Security Agreement with Innovatus Life Sciences Lending I, LP and the other lenders party thereto (the “Loan Amendment”), which amended the Company’s term loan agreement, dated as of September 7, 2017 (the “Original Loan Agreement”).</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Loan Amendment amends the Original Loan Agreement by, among other things, (i) decreasing the interest rate on all borrowings to 8.5%, of which 2.0% is paid in-kind and capitalized to the principal amount of the outstanding term loan on a monthly basis until December 2022; after which interest accrues at an annual rate of 8.5%; (ii) extending the interest-only period to December 2022 and the maturity date to November 19, 2024; (iii) revising the prepayment terms to (x) restrict prepayments for the initial year following the date of the Loan Amendment and (y) setting the prepayment premium at 3% of the principal amount of any term loans prepaid prior to November 19, 2020, with such prepayment premium decreasing by 1% during each subsequent twelve-month period after November 19, 2020; and (iv) replacing the interest-only milestones with a financial covenant requiring that the Company achieve a specified level of revenue, as measured quarterly on a rolling twelve-month basis, and commencing with the quarter ending December 31, 2019, subject to exceptions based on achievement of performance milestones and the ability to cure any default thereof with the issuance of equity securities or subordinated indebtedness.</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foregoing is a summary description of certain terms contained in the Loan Amendment and does not purport to be complete, and it is qualified in its entirety by reference to: (i) the copy of the Original Loan Agreement, filed with the Securities and Exchange Commission (the “SEC”) as Exhibit 10.32 to the Company's Registration Statement on Form S-1 on August 23, 2019, (ii) the terms and conditions of the Loan Amendment, which will be filed as an exhibit to the Company's Annual Report on Form 10-K for the year ending December 31,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above in Item 1.01 of this Current Report on Form 8-K is hereby incorporated by reference into this Item 2.03.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November 21, 2019, the Company issued a press release announcing the entry into the Loan Amendment. A copy of the press release is attached hereto as Exhibit 99.1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16"/>
                <w:szCs w:val="16"/>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71"/>
        </w:trPr>
        <w:tc>
          <w:tcPr>
            <w:tcW w:w="98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24"/>
                <w:szCs w:val="24"/>
                <w:color w:val="auto"/>
              </w:rPr>
            </w:pPr>
          </w:p>
        </w:tc>
        <w:tc>
          <w:tcPr>
            <w:tcW w:w="290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Press Release dated November 21, 2019</w:t>
              </w:r>
            </w:hyperlink>
          </w:p>
        </w:tc>
      </w:tr>
    </w:tbl>
    <w:p>
      <w:pPr>
        <w:sectPr>
          <w:pgSz w:w="11900" w:h="16838" w:orient="portrait"/>
          <w:cols w:equalWidth="0" w:num="1">
            <w:col w:w="11420"/>
          </w:cols>
          <w:pgMar w:left="240" w:top="1090" w:right="2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EXAGEN INC.</w:t>
      </w:r>
    </w:p>
    <w:p>
      <w:pPr>
        <w:spacing w:after="0" w:line="333" w:lineRule="exact"/>
        <w:rPr>
          <w:sz w:val="20"/>
          <w:szCs w:val="20"/>
          <w:color w:val="auto"/>
        </w:rPr>
      </w:pPr>
    </w:p>
    <w:p>
      <w:pPr>
        <w:ind w:left="20"/>
        <w:spacing w:after="0"/>
        <w:tabs>
          <w:tab w:leader="none" w:pos="5240" w:val="left"/>
          <w:tab w:leader="none" w:pos="5720" w:val="left"/>
        </w:tabs>
        <w:rPr>
          <w:sz w:val="20"/>
          <w:szCs w:val="20"/>
          <w:color w:val="auto"/>
        </w:rPr>
      </w:pPr>
      <w:r>
        <w:rPr>
          <w:rFonts w:ascii="Times New Roman" w:cs="Times New Roman" w:eastAsia="Times New Roman" w:hAnsi="Times New Roman"/>
          <w:sz w:val="18"/>
          <w:szCs w:val="18"/>
          <w:color w:val="auto"/>
        </w:rPr>
        <w:t>Date: November 21, 2019</w:t>
      </w:r>
      <w:r>
        <w:rPr>
          <w:sz w:val="20"/>
          <w:szCs w:val="20"/>
          <w:color w:val="auto"/>
        </w:rPr>
        <w:tab/>
      </w:r>
      <w:r>
        <w:rPr>
          <w:rFonts w:ascii="Times New Roman" w:cs="Times New Roman" w:eastAsia="Times New Roman" w:hAnsi="Times New Roman"/>
          <w:sz w:val="18"/>
          <w:szCs w:val="18"/>
          <w:color w:val="auto"/>
        </w:rPr>
        <w:t>By:</w:t>
        <w:tab/>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29756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Fortunato Ron Rocca</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20"/>
          </w:cols>
          <w:pgMar w:left="240" w:top="1094" w:right="4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912495</wp:posOffset>
            </wp:positionV>
            <wp:extent cx="146621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662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Exagen Inc. Announces $26.2 Million Debt Refinancing</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21, 2019</w:t>
      </w:r>
    </w:p>
    <w:p>
      <w:pPr>
        <w:spacing w:after="0" w:line="24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SAN DIEGO, CA – Exagen Inc. (Nasdaq: XGN), an organization dedicated to transforming the care continuum for patients suffering from debilitating and chronic autoimmune diseases by enabling timely differential diagnosis and optimizing therapeutic intervention, announced today that it entered into an amendment to its loan and security agreement with its primary lender, an affiliate of Innovatus Capital Partners, LLC (“Innovatus”). The amended agreement provides a $26.2 million, 5-year term loan at 8.5% interest, of which 2.0% is paid in-kind in the form of additional term loans. Additional information regarding the amendment is available in the company’s Current Report on Form 8-K filed with the Securities and Exchange Commission on November 21, 2019.</w:t>
      </w:r>
    </w:p>
    <w:p>
      <w:pPr>
        <w:spacing w:after="0" w:line="11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“This refinancing is a continuation of Innovatus Capital Partners’ investment in Exagen’s future. This agreement, following our recent IPO, further strengthens our financial position and will assist us in executing on our strategic vision to ‘Own the Rheumatology Hilltop,’” said Ron Rocca, President and Chief Executive Officer of Exagen.</w:t>
      </w:r>
    </w:p>
    <w:p>
      <w:pPr>
        <w:spacing w:after="0" w:line="107" w:lineRule="exact"/>
        <w:rPr>
          <w:sz w:val="20"/>
          <w:szCs w:val="20"/>
          <w:color w:val="auto"/>
        </w:rPr>
      </w:pPr>
    </w:p>
    <w:p>
      <w:pPr>
        <w:ind w:right="420"/>
        <w:spacing w:after="0" w:line="254" w:lineRule="auto"/>
        <w:rPr>
          <w:sz w:val="20"/>
          <w:szCs w:val="20"/>
          <w:color w:val="auto"/>
        </w:rPr>
      </w:pPr>
      <w:r>
        <w:rPr>
          <w:rFonts w:ascii="Times New Roman" w:cs="Times New Roman" w:eastAsia="Times New Roman" w:hAnsi="Times New Roman"/>
          <w:sz w:val="20"/>
          <w:szCs w:val="20"/>
          <w:color w:val="auto"/>
        </w:rPr>
        <w:t>“We are delighted to continue our support of Exagen in its pursuit of transforming the care for patients suffering from chronic autoimmune diseases,” said Claes Ekstrom, Managing Director at Innovatus. “We look forward to supporting the outstanding team at Exagen in their mission to improve patient outcomes and lower healthcare costs.”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Exagen</w:t>
      </w:r>
    </w:p>
    <w:p>
      <w:pPr>
        <w:spacing w:after="0" w:line="15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9"/>
          <w:szCs w:val="19"/>
          <w:color w:val="auto"/>
        </w:rPr>
        <w:t xml:space="preserve">Exagen is dedicated to transforming the care continuum for patients suffering from debilitating and chronic autoimmune diseases by enabling timely differential diagnosis and optimizing therapeutic intervention. Exagen has developed and is commercializing a portfolio of innovative testing products under its AVISE®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Exagen’s goal is to enable rheumatologists to improve care for patients through the differential diagnosis, prognosis and monitoring of complex autoimmune and autoimmune-related diseases, including SLE and rheumatoid arthritis, or RA. Exagen’s model of integrating testing products and therapeutics positions Exagen to offer targeted solutions to rheumatologists and, ultimately, better serve patients. For more information, please visit </w:t>
      </w:r>
      <w:r>
        <w:rPr>
          <w:rFonts w:ascii="Times New Roman" w:cs="Times New Roman" w:eastAsia="Times New Roman" w:hAnsi="Times New Roman"/>
          <w:sz w:val="19"/>
          <w:szCs w:val="19"/>
          <w:u w:val="single" w:color="auto"/>
          <w:color w:val="0563C1"/>
        </w:rPr>
        <w:t>www.Exagen.com</w:t>
      </w:r>
      <w:r>
        <w:rPr>
          <w:rFonts w:ascii="Times New Roman" w:cs="Times New Roman" w:eastAsia="Times New Roman" w:hAnsi="Times New Roman"/>
          <w:sz w:val="19"/>
          <w:szCs w:val="19"/>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Innovatus Capital Partners, LLC</w:t>
      </w:r>
    </w:p>
    <w:p>
      <w:pPr>
        <w:spacing w:after="0" w:line="139"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color w:val="auto"/>
        </w:rPr>
        <w:t>Innovatus Capital Partners, LLC, is an independent adviser and portfolio management firm with approximately $1.7B in assets under management. Innovatus adheres to an investment strategy that identifies disruptive and growth opportunities across multiple asset categories with a unifying theme of</w:t>
      </w:r>
    </w:p>
    <w:p>
      <w:pPr>
        <w:sectPr>
          <w:pgSz w:w="11900" w:h="16838" w:orient="portrait"/>
          <w:cols w:equalWidth="0" w:num="1">
            <w:col w:w="11420"/>
          </w:cols>
          <w:pgMar w:left="240" w:top="1440" w:right="239" w:bottom="1440" w:gutter="0" w:footer="0" w:header="0"/>
        </w:sectPr>
      </w:pPr>
    </w:p>
    <w:bookmarkStart w:id="4" w:name="page5"/>
    <w:bookmarkEnd w:id="4"/>
    <w:p>
      <w:pPr>
        <w:ind w:right="300"/>
        <w:spacing w:after="0" w:line="249" w:lineRule="auto"/>
        <w:rPr>
          <w:sz w:val="20"/>
          <w:szCs w:val="20"/>
          <w:color w:val="auto"/>
        </w:rPr>
      </w:pPr>
      <w:r>
        <w:rPr>
          <w:rFonts w:ascii="Times New Roman" w:cs="Times New Roman" w:eastAsia="Times New Roman" w:hAnsi="Times New Roman"/>
          <w:sz w:val="20"/>
          <w:szCs w:val="20"/>
          <w:color w:val="auto"/>
        </w:rPr>
        <w:t>capital preservation, income generation, and upside optionality. The firm has a dedicated team of life sciences investment professionals with deep experience in healthcare, including life sciences. Innovatus and its principals have significant experience providing debt financing to medical device, diagnostics, and biotechnology companies that address unmet medical needs, improve patient outcomes, and reduce overall healthcare expenditures. Further information can be found at www.innovatuscp.com.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13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Exagen cautions you that statements contained in this press release regarding matters that are not historical facts are forward-looking statements. These statements are based on the company’s current beliefs and expectations. Such forward-looking statements include, but are not limited to, express or implied statements regarding the company’s anticipated future growth.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the company’s commercial success depends upon attaining and maintaining significant market acceptance of its testing products and promoted therapeutics among rheumatologists, patients, third-party payers and others in the medical community; the company’s ability to successfully execute on its Dx/Rx strategy, including its promotion efforts for SIMPONI®; the company’s dependence on third parties for reagents, equipment and other materials used in its testing products; third-party payers not providing coverage and adequate reimbursement for the company’s testing products or promoted therapeutics; the company’s ability to obtain and maintain intellectual property protection for its testing products; regulatory developments affecting the company’s business; the company may not achieve its guidance for 2019; and other risks described in the company’s prior press releases and the Company’s filings with the Securities and Exchange Commission (SEC), including under the heading “Risk Factors” in the Company’s Quarterly Report on Form 10-Q for the quarter ended September 30, 2019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CONTACTS: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Westwicke Partners</w:t>
      </w:r>
    </w:p>
    <w:p>
      <w:pPr>
        <w:spacing w:after="0"/>
        <w:rPr>
          <w:sz w:val="20"/>
          <w:szCs w:val="20"/>
          <w:color w:val="auto"/>
        </w:rPr>
      </w:pPr>
      <w:r>
        <w:rPr>
          <w:rFonts w:ascii="Times New Roman" w:cs="Times New Roman" w:eastAsia="Times New Roman" w:hAnsi="Times New Roman"/>
          <w:sz w:val="20"/>
          <w:szCs w:val="20"/>
          <w:color w:val="auto"/>
        </w:rPr>
        <w:t>Mike Cavanaugh</w:t>
      </w:r>
    </w:p>
    <w:p>
      <w:pPr>
        <w:spacing w:after="0"/>
        <w:rPr>
          <w:sz w:val="20"/>
          <w:szCs w:val="20"/>
          <w:color w:val="auto"/>
        </w:rPr>
      </w:pPr>
      <w:r>
        <w:rPr>
          <w:rFonts w:ascii="Times New Roman" w:cs="Times New Roman" w:eastAsia="Times New Roman" w:hAnsi="Times New Roman"/>
          <w:sz w:val="20"/>
          <w:szCs w:val="20"/>
          <w:u w:val="single" w:color="auto"/>
          <w:color w:val="0563C1"/>
        </w:rPr>
        <w:t>Mike.Cavanaugh@westwicke.com</w:t>
      </w:r>
    </w:p>
    <w:p>
      <w:pPr>
        <w:spacing w:after="0"/>
        <w:rPr>
          <w:sz w:val="20"/>
          <w:szCs w:val="20"/>
          <w:color w:val="auto"/>
        </w:rPr>
      </w:pPr>
      <w:r>
        <w:rPr>
          <w:rFonts w:ascii="Times New Roman" w:cs="Times New Roman" w:eastAsia="Times New Roman" w:hAnsi="Times New Roman"/>
          <w:sz w:val="20"/>
          <w:szCs w:val="20"/>
          <w:color w:val="auto"/>
        </w:rPr>
        <w:t>646.677.1838</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Exagen Inc.</w:t>
      </w:r>
    </w:p>
    <w:p>
      <w:pPr>
        <w:spacing w:after="0"/>
        <w:rPr>
          <w:sz w:val="20"/>
          <w:szCs w:val="20"/>
          <w:color w:val="auto"/>
        </w:rPr>
      </w:pPr>
      <w:r>
        <w:rPr>
          <w:rFonts w:ascii="Times New Roman" w:cs="Times New Roman" w:eastAsia="Times New Roman" w:hAnsi="Times New Roman"/>
          <w:sz w:val="20"/>
          <w:szCs w:val="20"/>
          <w:color w:val="auto"/>
        </w:rPr>
        <w:t>Kamal Adawi</w:t>
      </w:r>
    </w:p>
    <w:p>
      <w:pPr>
        <w:spacing w:after="0"/>
        <w:rPr>
          <w:sz w:val="20"/>
          <w:szCs w:val="20"/>
          <w:color w:val="auto"/>
        </w:rPr>
      </w:pPr>
      <w:r>
        <w:rPr>
          <w:rFonts w:ascii="Times New Roman" w:cs="Times New Roman" w:eastAsia="Times New Roman" w:hAnsi="Times New Roman"/>
          <w:sz w:val="20"/>
          <w:szCs w:val="20"/>
          <w:u w:val="single" w:color="auto"/>
          <w:color w:val="0563C1"/>
        </w:rPr>
        <w:t>kadawi@exagen.com</w:t>
      </w:r>
    </w:p>
    <w:p>
      <w:pPr>
        <w:spacing w:after="0"/>
        <w:rPr>
          <w:sz w:val="20"/>
          <w:szCs w:val="20"/>
          <w:color w:val="auto"/>
        </w:rPr>
      </w:pPr>
      <w:r>
        <w:rPr>
          <w:rFonts w:ascii="Times New Roman" w:cs="Times New Roman" w:eastAsia="Times New Roman" w:hAnsi="Times New Roman"/>
          <w:sz w:val="20"/>
          <w:szCs w:val="20"/>
          <w:color w:val="auto"/>
        </w:rPr>
        <w:t>760.477.5514</w:t>
      </w:r>
    </w:p>
    <w:sectPr>
      <w:pgSz w:w="11900" w:h="16838" w:orient="portrait"/>
      <w:cols w:equalWidth="0" w:num="1">
        <w:col w:w="11420"/>
      </w:cols>
      <w:pgMar w:left="240" w:top="14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2019-12-28T01:24:59Z</dcterms:created>
  <dcterms:modified xsi:type="dcterms:W3CDTF">2019-12-28T01:24:59Z</dcterms:modified>
</cp:coreProperties>
</file>