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September 20, 2019</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900" w:type="dxa"/>
        <w:tblCellMar>
          <w:top w:w="0" w:type="dxa"/>
          <w:left w:w="0" w:type="dxa"/>
          <w:bottom w:w="0" w:type="dxa"/>
          <w:right w:w="0" w:type="dxa"/>
        </w:tblCellMar>
      </w:tblPr>
      <w:tr>
        <w:trPr>
          <w:trHeight w:val="368"/>
        </w:trPr>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60" w:type="dxa"/>
            <w:vAlign w:val="bottom"/>
            <w:gridSpan w:val="2"/>
          </w:tcPr>
          <w:p>
            <w:pPr>
              <w:jc w:val="center"/>
              <w:ind w:right="3068"/>
              <w:spacing w:after="0"/>
              <w:rPr>
                <w:sz w:val="20"/>
                <w:szCs w:val="20"/>
                <w:color w:val="auto"/>
              </w:rPr>
            </w:pPr>
            <w:r>
              <w:rPr>
                <w:rFonts w:ascii="Arial" w:cs="Arial" w:eastAsia="Arial" w:hAnsi="Arial"/>
                <w:sz w:val="32"/>
                <w:szCs w:val="32"/>
                <w:b w:val="1"/>
                <w:bCs w:val="1"/>
                <w:color w:val="auto"/>
                <w:w w:val="99"/>
              </w:rPr>
              <w:t>FORM S-8</w:t>
            </w:r>
          </w:p>
        </w:tc>
      </w:tr>
      <w:tr>
        <w:trPr>
          <w:trHeight w:val="384"/>
        </w:trPr>
        <w:tc>
          <w:tcPr>
            <w:tcW w:w="2040" w:type="dxa"/>
            <w:vAlign w:val="bottom"/>
          </w:tcPr>
          <w:p>
            <w:pPr>
              <w:spacing w:after="0"/>
              <w:rPr>
                <w:sz w:val="24"/>
                <w:szCs w:val="24"/>
                <w:color w:val="auto"/>
              </w:rPr>
            </w:pPr>
          </w:p>
        </w:tc>
        <w:tc>
          <w:tcPr>
            <w:tcW w:w="6880" w:type="dxa"/>
            <w:vAlign w:val="bottom"/>
            <w:gridSpan w:val="3"/>
          </w:tcPr>
          <w:p>
            <w:pPr>
              <w:jc w:val="center"/>
              <w:ind w:right="1648"/>
              <w:spacing w:after="0"/>
              <w:rPr>
                <w:sz w:val="20"/>
                <w:szCs w:val="20"/>
                <w:color w:val="auto"/>
              </w:rPr>
            </w:pPr>
            <w:r>
              <w:rPr>
                <w:rFonts w:ascii="Arial" w:cs="Arial" w:eastAsia="Arial" w:hAnsi="Arial"/>
                <w:sz w:val="32"/>
                <w:szCs w:val="32"/>
                <w:b w:val="1"/>
                <w:bCs w:val="1"/>
                <w:color w:val="auto"/>
              </w:rPr>
              <w:t>REGISTRATION STATEMENT</w:t>
            </w:r>
          </w:p>
        </w:tc>
      </w:tr>
      <w:tr>
        <w:trPr>
          <w:trHeight w:val="243"/>
        </w:trPr>
        <w:tc>
          <w:tcPr>
            <w:tcW w:w="2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60" w:type="dxa"/>
            <w:vAlign w:val="bottom"/>
            <w:gridSpan w:val="2"/>
          </w:tcPr>
          <w:p>
            <w:pPr>
              <w:jc w:val="center"/>
              <w:ind w:right="3068"/>
              <w:spacing w:after="0" w:line="243" w:lineRule="exact"/>
              <w:rPr>
                <w:sz w:val="20"/>
                <w:szCs w:val="20"/>
                <w:color w:val="auto"/>
              </w:rPr>
            </w:pPr>
            <w:r>
              <w:rPr>
                <w:rFonts w:ascii="Arial" w:cs="Arial" w:eastAsia="Arial" w:hAnsi="Arial"/>
                <w:sz w:val="22"/>
                <w:szCs w:val="22"/>
                <w:b w:val="1"/>
                <w:bCs w:val="1"/>
                <w:i w:val="1"/>
                <w:iCs w:val="1"/>
                <w:color w:val="auto"/>
                <w:w w:val="97"/>
              </w:rPr>
              <w:t>UNDER</w:t>
            </w:r>
          </w:p>
        </w:tc>
      </w:tr>
      <w:tr>
        <w:trPr>
          <w:trHeight w:val="275"/>
        </w:trPr>
        <w:tc>
          <w:tcPr>
            <w:tcW w:w="2040" w:type="dxa"/>
            <w:vAlign w:val="bottom"/>
          </w:tcPr>
          <w:p>
            <w:pPr>
              <w:spacing w:after="0"/>
              <w:rPr>
                <w:sz w:val="23"/>
                <w:szCs w:val="23"/>
                <w:color w:val="auto"/>
              </w:rPr>
            </w:pPr>
          </w:p>
        </w:tc>
        <w:tc>
          <w:tcPr>
            <w:tcW w:w="6880" w:type="dxa"/>
            <w:vAlign w:val="bottom"/>
            <w:gridSpan w:val="3"/>
          </w:tcPr>
          <w:p>
            <w:pPr>
              <w:jc w:val="center"/>
              <w:ind w:right="1648"/>
              <w:spacing w:after="0"/>
              <w:rPr>
                <w:sz w:val="20"/>
                <w:szCs w:val="20"/>
                <w:color w:val="auto"/>
              </w:rPr>
            </w:pPr>
            <w:r>
              <w:rPr>
                <w:rFonts w:ascii="Arial" w:cs="Arial" w:eastAsia="Arial" w:hAnsi="Arial"/>
                <w:sz w:val="22"/>
                <w:szCs w:val="22"/>
                <w:b w:val="1"/>
                <w:bCs w:val="1"/>
                <w:i w:val="1"/>
                <w:iCs w:val="1"/>
                <w:color w:val="auto"/>
                <w:w w:val="94"/>
              </w:rPr>
              <w:t>THE SECURITIES ACT OF 1933</w:t>
            </w:r>
          </w:p>
        </w:tc>
      </w:tr>
      <w:tr>
        <w:trPr>
          <w:trHeight w:val="355"/>
        </w:trPr>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r>
      <w:tr>
        <w:trPr>
          <w:trHeight w:val="691"/>
        </w:trPr>
        <w:tc>
          <w:tcPr>
            <w:tcW w:w="2040" w:type="dxa"/>
            <w:vAlign w:val="bottom"/>
          </w:tcPr>
          <w:p>
            <w:pPr>
              <w:spacing w:after="0"/>
              <w:rPr>
                <w:sz w:val="24"/>
                <w:szCs w:val="24"/>
                <w:color w:val="auto"/>
              </w:rPr>
            </w:pPr>
          </w:p>
        </w:tc>
        <w:tc>
          <w:tcPr>
            <w:tcW w:w="6880" w:type="dxa"/>
            <w:vAlign w:val="bottom"/>
            <w:gridSpan w:val="3"/>
          </w:tcPr>
          <w:p>
            <w:pPr>
              <w:jc w:val="center"/>
              <w:ind w:right="1668"/>
              <w:spacing w:after="0"/>
              <w:rPr>
                <w:sz w:val="20"/>
                <w:szCs w:val="20"/>
                <w:color w:val="auto"/>
              </w:rPr>
            </w:pPr>
            <w:r>
              <w:rPr>
                <w:rFonts w:ascii="Arial" w:cs="Arial" w:eastAsia="Arial" w:hAnsi="Arial"/>
                <w:sz w:val="43"/>
                <w:szCs w:val="43"/>
                <w:b w:val="1"/>
                <w:bCs w:val="1"/>
                <w:color w:val="auto"/>
              </w:rPr>
              <w:t>EXAGEN INC.</w:t>
            </w:r>
          </w:p>
        </w:tc>
      </w:tr>
      <w:tr>
        <w:trPr>
          <w:trHeight w:val="234"/>
        </w:trPr>
        <w:tc>
          <w:tcPr>
            <w:tcW w:w="2040" w:type="dxa"/>
            <w:vAlign w:val="bottom"/>
          </w:tcPr>
          <w:p>
            <w:pPr>
              <w:spacing w:after="0"/>
              <w:rPr>
                <w:sz w:val="20"/>
                <w:szCs w:val="20"/>
                <w:color w:val="auto"/>
              </w:rPr>
            </w:pPr>
          </w:p>
        </w:tc>
        <w:tc>
          <w:tcPr>
            <w:tcW w:w="6880" w:type="dxa"/>
            <w:vAlign w:val="bottom"/>
            <w:gridSpan w:val="3"/>
          </w:tcPr>
          <w:p>
            <w:pPr>
              <w:jc w:val="center"/>
              <w:ind w:right="16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51"/>
        </w:trPr>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r>
      <w:tr>
        <w:trPr>
          <w:trHeight w:val="470"/>
        </w:trPr>
        <w:tc>
          <w:tcPr>
            <w:tcW w:w="204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Delaware</w:t>
            </w:r>
          </w:p>
        </w:tc>
        <w:tc>
          <w:tcPr>
            <w:tcW w:w="6880" w:type="dxa"/>
            <w:vAlign w:val="bottom"/>
            <w:gridSpan w:val="3"/>
          </w:tcPr>
          <w:p>
            <w:pPr>
              <w:jc w:val="center"/>
              <w:ind w:left="5652"/>
              <w:spacing w:after="0"/>
              <w:rPr>
                <w:sz w:val="20"/>
                <w:szCs w:val="20"/>
                <w:color w:val="auto"/>
              </w:rPr>
            </w:pPr>
            <w:r>
              <w:rPr>
                <w:rFonts w:ascii="Arial" w:cs="Arial" w:eastAsia="Arial" w:hAnsi="Arial"/>
                <w:sz w:val="18"/>
                <w:szCs w:val="18"/>
                <w:b w:val="1"/>
                <w:bCs w:val="1"/>
                <w:color w:val="auto"/>
                <w:w w:val="91"/>
              </w:rPr>
              <w:t>20-0434866</w:t>
            </w:r>
          </w:p>
        </w:tc>
      </w:tr>
      <w:tr>
        <w:trPr>
          <w:trHeight w:val="149"/>
        </w:trPr>
        <w:tc>
          <w:tcPr>
            <w:tcW w:w="20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16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4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Incorporation or Organization)</w:t>
            </w:r>
          </w:p>
        </w:tc>
        <w:tc>
          <w:tcPr>
            <w:tcW w:w="1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160" w:type="dxa"/>
            <w:vAlign w:val="bottom"/>
          </w:tcPr>
          <w:p>
            <w:pPr>
              <w:jc w:val="center"/>
              <w:ind w:left="1968"/>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60" w:type="dxa"/>
            <w:vAlign w:val="bottom"/>
            <w:gridSpan w:val="2"/>
          </w:tcPr>
          <w:p>
            <w:pPr>
              <w:jc w:val="center"/>
              <w:ind w:right="3088"/>
              <w:spacing w:after="0"/>
              <w:rPr>
                <w:sz w:val="20"/>
                <w:szCs w:val="20"/>
                <w:color w:val="auto"/>
              </w:rPr>
            </w:pPr>
            <w:r>
              <w:rPr>
                <w:rFonts w:ascii="Arial" w:cs="Arial" w:eastAsia="Arial" w:hAnsi="Arial"/>
                <w:sz w:val="18"/>
                <w:szCs w:val="18"/>
                <w:b w:val="1"/>
                <w:bCs w:val="1"/>
                <w:color w:val="auto"/>
                <w:w w:val="92"/>
              </w:rPr>
              <w:t>1261 Liberty Way, Suite C</w:t>
            </w:r>
          </w:p>
        </w:tc>
      </w:tr>
      <w:tr>
        <w:trPr>
          <w:trHeight w:val="216"/>
        </w:trPr>
        <w:tc>
          <w:tcPr>
            <w:tcW w:w="2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60" w:type="dxa"/>
            <w:vAlign w:val="bottom"/>
            <w:gridSpan w:val="2"/>
          </w:tcPr>
          <w:p>
            <w:pPr>
              <w:jc w:val="center"/>
              <w:ind w:right="3088"/>
              <w:spacing w:after="0"/>
              <w:rPr>
                <w:sz w:val="20"/>
                <w:szCs w:val="20"/>
                <w:color w:val="auto"/>
              </w:rPr>
            </w:pPr>
            <w:r>
              <w:rPr>
                <w:rFonts w:ascii="Arial" w:cs="Arial" w:eastAsia="Arial" w:hAnsi="Arial"/>
                <w:sz w:val="18"/>
                <w:szCs w:val="18"/>
                <w:b w:val="1"/>
                <w:bCs w:val="1"/>
                <w:color w:val="auto"/>
                <w:w w:val="93"/>
              </w:rPr>
              <w:t>Vista, California 92081</w:t>
            </w:r>
          </w:p>
        </w:tc>
      </w:tr>
      <w:tr>
        <w:trPr>
          <w:trHeight w:val="212"/>
        </w:trPr>
        <w:tc>
          <w:tcPr>
            <w:tcW w:w="2040" w:type="dxa"/>
            <w:vAlign w:val="bottom"/>
          </w:tcPr>
          <w:p>
            <w:pPr>
              <w:spacing w:after="0"/>
              <w:rPr>
                <w:sz w:val="18"/>
                <w:szCs w:val="18"/>
                <w:color w:val="auto"/>
              </w:rPr>
            </w:pPr>
          </w:p>
        </w:tc>
        <w:tc>
          <w:tcPr>
            <w:tcW w:w="3720" w:type="dxa"/>
            <w:vAlign w:val="bottom"/>
            <w:gridSpan w:val="2"/>
          </w:tcPr>
          <w:p>
            <w:pPr>
              <w:jc w:val="center"/>
              <w:ind w:left="1332"/>
              <w:spacing w:after="0"/>
              <w:rPr>
                <w:sz w:val="20"/>
                <w:szCs w:val="20"/>
                <w:color w:val="auto"/>
              </w:rPr>
            </w:pPr>
            <w:r>
              <w:rPr>
                <w:rFonts w:ascii="Arial" w:cs="Arial" w:eastAsia="Arial" w:hAnsi="Arial"/>
                <w:sz w:val="18"/>
                <w:szCs w:val="18"/>
                <w:b w:val="1"/>
                <w:bCs w:val="1"/>
                <w:color w:val="auto"/>
                <w:w w:val="90"/>
              </w:rPr>
              <w:t>(760) 560-1501</w:t>
            </w:r>
          </w:p>
        </w:tc>
        <w:tc>
          <w:tcPr>
            <w:tcW w:w="3160" w:type="dxa"/>
            <w:vAlign w:val="bottom"/>
          </w:tcPr>
          <w:p>
            <w:pPr>
              <w:spacing w:after="0"/>
              <w:rPr>
                <w:sz w:val="18"/>
                <w:szCs w:val="18"/>
                <w:color w:val="auto"/>
              </w:rPr>
            </w:pPr>
          </w:p>
        </w:tc>
      </w:tr>
      <w:tr>
        <w:trPr>
          <w:trHeight w:val="186"/>
        </w:trPr>
        <w:tc>
          <w:tcPr>
            <w:tcW w:w="2040" w:type="dxa"/>
            <w:vAlign w:val="bottom"/>
          </w:tcPr>
          <w:p>
            <w:pPr>
              <w:spacing w:after="0"/>
              <w:rPr>
                <w:sz w:val="16"/>
                <w:szCs w:val="16"/>
                <w:color w:val="auto"/>
              </w:rPr>
            </w:pPr>
          </w:p>
        </w:tc>
        <w:tc>
          <w:tcPr>
            <w:tcW w:w="6880" w:type="dxa"/>
            <w:vAlign w:val="bottom"/>
            <w:gridSpan w:val="3"/>
          </w:tcPr>
          <w:p>
            <w:pPr>
              <w:jc w:val="center"/>
              <w:ind w:right="1668"/>
              <w:spacing w:after="0"/>
              <w:rPr>
                <w:sz w:val="20"/>
                <w:szCs w:val="20"/>
                <w:color w:val="auto"/>
              </w:rPr>
            </w:pPr>
            <w:r>
              <w:rPr>
                <w:rFonts w:ascii="Arial" w:cs="Arial" w:eastAsia="Arial" w:hAnsi="Arial"/>
                <w:sz w:val="14"/>
                <w:szCs w:val="14"/>
                <w:b w:val="1"/>
                <w:bCs w:val="1"/>
                <w:color w:val="auto"/>
                <w:w w:val="92"/>
              </w:rPr>
              <w:t>(Address of Principal Executive Offices)</w:t>
            </w:r>
          </w:p>
        </w:tc>
      </w:tr>
      <w:tr>
        <w:trPr>
          <w:trHeight w:val="399"/>
        </w:trPr>
        <w:tc>
          <w:tcPr>
            <w:tcW w:w="2040" w:type="dxa"/>
            <w:vAlign w:val="bottom"/>
          </w:tcPr>
          <w:p>
            <w:pPr>
              <w:spacing w:after="0"/>
              <w:rPr>
                <w:sz w:val="24"/>
                <w:szCs w:val="24"/>
                <w:color w:val="auto"/>
              </w:rPr>
            </w:pPr>
          </w:p>
        </w:tc>
        <w:tc>
          <w:tcPr>
            <w:tcW w:w="6880" w:type="dxa"/>
            <w:vAlign w:val="bottom"/>
            <w:gridSpan w:val="3"/>
          </w:tcPr>
          <w:p>
            <w:pPr>
              <w:jc w:val="center"/>
              <w:ind w:right="1668"/>
              <w:spacing w:after="0"/>
              <w:rPr>
                <w:sz w:val="20"/>
                <w:szCs w:val="20"/>
                <w:color w:val="auto"/>
              </w:rPr>
            </w:pPr>
            <w:r>
              <w:rPr>
                <w:rFonts w:ascii="Arial" w:cs="Arial" w:eastAsia="Arial" w:hAnsi="Arial"/>
                <w:sz w:val="18"/>
                <w:szCs w:val="18"/>
                <w:b w:val="1"/>
                <w:bCs w:val="1"/>
                <w:color w:val="auto"/>
                <w:w w:val="99"/>
              </w:rPr>
              <w:t>EXAGEN CORPORATION 2002 STOCK OPTION PLAN</w:t>
            </w:r>
          </w:p>
        </w:tc>
      </w:tr>
      <w:tr>
        <w:trPr>
          <w:trHeight w:val="216"/>
        </w:trPr>
        <w:tc>
          <w:tcPr>
            <w:tcW w:w="2040" w:type="dxa"/>
            <w:vAlign w:val="bottom"/>
          </w:tcPr>
          <w:p>
            <w:pPr>
              <w:spacing w:after="0"/>
              <w:rPr>
                <w:sz w:val="18"/>
                <w:szCs w:val="18"/>
                <w:color w:val="auto"/>
              </w:rPr>
            </w:pPr>
          </w:p>
        </w:tc>
        <w:tc>
          <w:tcPr>
            <w:tcW w:w="6880" w:type="dxa"/>
            <w:vAlign w:val="bottom"/>
            <w:gridSpan w:val="3"/>
          </w:tcPr>
          <w:p>
            <w:pPr>
              <w:jc w:val="center"/>
              <w:ind w:right="1668"/>
              <w:spacing w:after="0"/>
              <w:rPr>
                <w:sz w:val="20"/>
                <w:szCs w:val="20"/>
                <w:color w:val="auto"/>
              </w:rPr>
            </w:pPr>
            <w:r>
              <w:rPr>
                <w:rFonts w:ascii="Arial" w:cs="Arial" w:eastAsia="Arial" w:hAnsi="Arial"/>
                <w:sz w:val="18"/>
                <w:szCs w:val="18"/>
                <w:b w:val="1"/>
                <w:bCs w:val="1"/>
                <w:color w:val="auto"/>
                <w:w w:val="99"/>
              </w:rPr>
              <w:t>EXAGEN DIAGNOSTICS, INC. 2013 STOCK OPTION PLAN</w:t>
            </w:r>
          </w:p>
        </w:tc>
      </w:tr>
      <w:tr>
        <w:trPr>
          <w:trHeight w:val="216"/>
        </w:trPr>
        <w:tc>
          <w:tcPr>
            <w:tcW w:w="2040" w:type="dxa"/>
            <w:vAlign w:val="bottom"/>
          </w:tcPr>
          <w:p>
            <w:pPr>
              <w:spacing w:after="0"/>
              <w:rPr>
                <w:sz w:val="18"/>
                <w:szCs w:val="18"/>
                <w:color w:val="auto"/>
              </w:rPr>
            </w:pPr>
          </w:p>
        </w:tc>
        <w:tc>
          <w:tcPr>
            <w:tcW w:w="6880" w:type="dxa"/>
            <w:vAlign w:val="bottom"/>
            <w:gridSpan w:val="3"/>
          </w:tcPr>
          <w:p>
            <w:pPr>
              <w:jc w:val="center"/>
              <w:ind w:right="1668"/>
              <w:spacing w:after="0"/>
              <w:rPr>
                <w:sz w:val="20"/>
                <w:szCs w:val="20"/>
                <w:color w:val="auto"/>
              </w:rPr>
            </w:pPr>
            <w:r>
              <w:rPr>
                <w:rFonts w:ascii="Arial" w:cs="Arial" w:eastAsia="Arial" w:hAnsi="Arial"/>
                <w:sz w:val="18"/>
                <w:szCs w:val="18"/>
                <w:b w:val="1"/>
                <w:bCs w:val="1"/>
                <w:color w:val="auto"/>
                <w:w w:val="99"/>
              </w:rPr>
              <w:t>EXAGEN INC. 2019 INCENTIVE AWARD PLAN</w:t>
            </w:r>
          </w:p>
        </w:tc>
      </w:tr>
      <w:tr>
        <w:trPr>
          <w:trHeight w:val="212"/>
        </w:trPr>
        <w:tc>
          <w:tcPr>
            <w:tcW w:w="2040" w:type="dxa"/>
            <w:vAlign w:val="bottom"/>
          </w:tcPr>
          <w:p>
            <w:pPr>
              <w:spacing w:after="0"/>
              <w:rPr>
                <w:sz w:val="18"/>
                <w:szCs w:val="18"/>
                <w:color w:val="auto"/>
              </w:rPr>
            </w:pPr>
          </w:p>
        </w:tc>
        <w:tc>
          <w:tcPr>
            <w:tcW w:w="6880" w:type="dxa"/>
            <w:vAlign w:val="bottom"/>
            <w:gridSpan w:val="3"/>
          </w:tcPr>
          <w:p>
            <w:pPr>
              <w:jc w:val="center"/>
              <w:ind w:right="1648"/>
              <w:spacing w:after="0"/>
              <w:rPr>
                <w:sz w:val="20"/>
                <w:szCs w:val="20"/>
                <w:color w:val="auto"/>
              </w:rPr>
            </w:pPr>
            <w:r>
              <w:rPr>
                <w:rFonts w:ascii="Arial" w:cs="Arial" w:eastAsia="Arial" w:hAnsi="Arial"/>
                <w:sz w:val="18"/>
                <w:szCs w:val="18"/>
                <w:b w:val="1"/>
                <w:bCs w:val="1"/>
                <w:color w:val="auto"/>
                <w:w w:val="99"/>
              </w:rPr>
              <w:t>EXAGEN INC. 2019 EMPLOYEE STOCK PURCHASE PLAN</w:t>
            </w:r>
          </w:p>
        </w:tc>
      </w:tr>
      <w:tr>
        <w:trPr>
          <w:trHeight w:val="186"/>
        </w:trPr>
        <w:tc>
          <w:tcPr>
            <w:tcW w:w="2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460" w:type="dxa"/>
            <w:vAlign w:val="bottom"/>
            <w:gridSpan w:val="2"/>
          </w:tcPr>
          <w:p>
            <w:pPr>
              <w:jc w:val="center"/>
              <w:ind w:right="3088"/>
              <w:spacing w:after="0"/>
              <w:rPr>
                <w:sz w:val="20"/>
                <w:szCs w:val="20"/>
                <w:color w:val="auto"/>
              </w:rPr>
            </w:pPr>
            <w:r>
              <w:rPr>
                <w:rFonts w:ascii="Arial" w:cs="Arial" w:eastAsia="Arial" w:hAnsi="Arial"/>
                <w:sz w:val="14"/>
                <w:szCs w:val="14"/>
                <w:b w:val="1"/>
                <w:bCs w:val="1"/>
                <w:color w:val="auto"/>
                <w:w w:val="94"/>
              </w:rPr>
              <w:t>(Full Title of the Plans)</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Fortunato Ron Rocca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Exagen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1261 Liberty Way, Suite 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Vista, California 92081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(760) 560-1501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0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4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2,011,832 shares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$14.00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$28,165,648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$3,413.68</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658,165 shares (4)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$1.06 (5)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$697,654.90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$84.56</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4,694 shares (6)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$25.88 (7)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$121,480.72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$14.72</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120,000 shares (8)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$14.00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$1,680,000.00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$203.62</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2,794,691 shares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$30,664,783.62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$3,716.58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29" w:right="419" w:bottom="346" w:gutter="0" w:footer="0" w:header="0"/>
        </w:sectPr>
      </w:pPr>
    </w:p>
    <w:bookmarkStart w:id="1" w:name="page2"/>
    <w:bookmarkEnd w:id="1"/>
    <w:p>
      <w:pPr>
        <w:ind w:left="440" w:hanging="436"/>
        <w:spacing w:after="0" w:line="25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also registers an indeterminate number of additional shares that may be issued pursuant to the above-named plans as the result of any future stock dividend, stock split, recapitalization or any other similar transaction effected without the receipt of consideration which results in an increase in the number of our outstanding shares of common stock.</w:t>
      </w:r>
    </w:p>
    <w:p>
      <w:pPr>
        <w:spacing w:after="0" w:line="2" w:lineRule="exact"/>
        <w:rPr>
          <w:rFonts w:ascii="Arial" w:cs="Arial" w:eastAsia="Arial" w:hAnsi="Arial"/>
          <w:sz w:val="18"/>
          <w:szCs w:val="18"/>
          <w:color w:val="auto"/>
        </w:rPr>
      </w:pPr>
    </w:p>
    <w:p>
      <w:pPr>
        <w:ind w:left="440" w:right="6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2,011,832 shares of common stock available for future issuance under the Exagen Inc. 2019 Incentive Award Plan (the “2019 Plan”). To the extent outstanding awards under the Exagen Diagnostics, Inc. 2013 Stock Option Plan (the “2013 Plan”) are forfeited or lapse unexercised, the shares of common stock subject to such awards will be available for future issuance under the 2019 Plan. See footnote 4.</w:t>
      </w:r>
    </w:p>
    <w:p>
      <w:pPr>
        <w:ind w:left="440" w:right="18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estimate is made pursuant to Rule 457 of the Securities Act solely for purposes of calculating the registration fee. The computation is based upon the initial public offering price of the registrant’s common stock set forth on the cover page of the registrant’s prospectus dated September 18, 2019 relating to its initial public offering.</w:t>
      </w:r>
    </w:p>
    <w:p>
      <w:pPr>
        <w:spacing w:after="0" w:line="1" w:lineRule="exact"/>
        <w:rPr>
          <w:rFonts w:ascii="Arial" w:cs="Arial" w:eastAsia="Arial" w:hAnsi="Arial"/>
          <w:sz w:val="18"/>
          <w:szCs w:val="18"/>
          <w:color w:val="auto"/>
        </w:rPr>
      </w:pPr>
    </w:p>
    <w:p>
      <w:pPr>
        <w:ind w:left="440" w:right="8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658,165 shares of common stock subject to outstanding options under the 2013 Plan. To the extent outstanding options under the 2013 Plan are forfeited or lapse unexercised, the shares of common stock subject to such awards will be available for future issuance under the 2019 Plan. See footnote 2 above.</w:t>
      </w:r>
    </w:p>
    <w:p>
      <w:pPr>
        <w:spacing w:after="0" w:line="1" w:lineRule="exact"/>
        <w:rPr>
          <w:rFonts w:ascii="Arial" w:cs="Arial" w:eastAsia="Arial" w:hAnsi="Arial"/>
          <w:sz w:val="18"/>
          <w:szCs w:val="18"/>
          <w:color w:val="auto"/>
        </w:rPr>
      </w:pPr>
    </w:p>
    <w:p>
      <w:pPr>
        <w:ind w:left="440" w:right="2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estimate is made pursuant to Rule 457 of the Securities Act solely for purposes of calculating the registration fee. The Proposed Maximum Offering Price Per Share is $1.06 per share, which is the weighted average exercise price of outstanding options granted under the 2013 Plan being registered.</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4,694 shares of common stock subject to outstanding options under the Exagen Corporation 2002 Stock Option Plan (the “2002 Plan”).</w:t>
      </w:r>
    </w:p>
    <w:p>
      <w:pPr>
        <w:spacing w:after="0" w:line="32" w:lineRule="exact"/>
        <w:rPr>
          <w:rFonts w:ascii="Arial" w:cs="Arial" w:eastAsia="Arial" w:hAnsi="Arial"/>
          <w:sz w:val="16"/>
          <w:szCs w:val="16"/>
          <w:color w:val="auto"/>
        </w:rPr>
      </w:pPr>
    </w:p>
    <w:p>
      <w:pPr>
        <w:ind w:left="440" w:right="24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estimate is made pursuant to Rule 457 of the Securities Act solely for purposes of calculating the registration fee. The Proposed Maximum Offering Price Per Share is $25.88 per share, which is the weighted average exercise price of outstanding options granted under the 2002 Plan being registered.</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120,000 shares of common stock available for future issuance under the Exagen Inc. 2019 Employee Stock Purchase Plan.</w:t>
      </w:r>
    </w:p>
    <w:p>
      <w:pPr>
        <w:spacing w:after="0" w:line="21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Proposed sales to take place as soon after the effective date of the registration statement as awards granted under the above-named plans are granted, exercised and/or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jc w:val="both"/>
        <w:ind w:right="220" w:firstLine="441"/>
        <w:spacing w:after="0" w:line="312" w:lineRule="auto"/>
        <w:rPr>
          <w:sz w:val="20"/>
          <w:szCs w:val="20"/>
          <w:color w:val="auto"/>
        </w:rPr>
      </w:pPr>
      <w:r>
        <w:rPr>
          <w:rFonts w:ascii="Arial" w:cs="Arial" w:eastAsia="Arial" w:hAnsi="Arial"/>
          <w:sz w:val="16"/>
          <w:szCs w:val="16"/>
          <w:color w:val="auto"/>
        </w:rPr>
        <w:t>The documents containing the information specified in Part I of Form S-8 will be sent or given to participants as specified by Rule 428(b)(1)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registration statement, Exagen Inc. is sometimes referred to as “Registrant,” “we,” “us” or “our.”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Securities and Exchange Commission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92" w:lineRule="exact"/>
        <w:rPr>
          <w:sz w:val="20"/>
          <w:szCs w:val="20"/>
          <w:color w:val="auto"/>
        </w:rPr>
      </w:pPr>
    </w:p>
    <w:p>
      <w:pPr>
        <w:ind w:left="980" w:right="200" w:hanging="54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prospectus filed by the Registrant with the SEC pursuant to Rule 424(b) under the Securities Act, on September 20, 2019 relating to the registration statement on </w:t>
      </w:r>
      <w:hyperlink r:id="rId16">
        <w:r>
          <w:rPr>
            <w:rFonts w:ascii="Arial" w:cs="Arial" w:eastAsia="Arial" w:hAnsi="Arial"/>
            <w:sz w:val="18"/>
            <w:szCs w:val="18"/>
            <w:u w:val="single" w:color="auto"/>
            <w:color w:val="0000EE"/>
          </w:rPr>
          <w:t>Form S-1</w:t>
        </w:r>
      </w:hyperlink>
      <w:r>
        <w:rPr>
          <w:rFonts w:ascii="Arial" w:cs="Arial" w:eastAsia="Arial" w:hAnsi="Arial"/>
          <w:sz w:val="18"/>
          <w:szCs w:val="18"/>
          <w:color w:val="auto"/>
        </w:rPr>
        <w:t>, as amended (Registration No. 333-233446), which contains the Registrant’s audited financial statements for the latest fiscal year for which such statements have been filed; and</w:t>
      </w:r>
    </w:p>
    <w:p>
      <w:pPr>
        <w:spacing w:after="0" w:line="86" w:lineRule="exact"/>
        <w:rPr>
          <w:rFonts w:ascii="Arial" w:cs="Arial" w:eastAsia="Arial" w:hAnsi="Arial"/>
          <w:sz w:val="18"/>
          <w:szCs w:val="18"/>
          <w:color w:val="auto"/>
        </w:rPr>
      </w:pPr>
    </w:p>
    <w:p>
      <w:pPr>
        <w:jc w:val="both"/>
        <w:ind w:left="980" w:right="560" w:hanging="544"/>
        <w:spacing w:after="0" w:line="31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set forth in the Registrant’s registration statement on </w:t>
      </w:r>
      <w:hyperlink r:id="rId17">
        <w:r>
          <w:rPr>
            <w:rFonts w:ascii="Arial" w:cs="Arial" w:eastAsia="Arial" w:hAnsi="Arial"/>
            <w:sz w:val="16"/>
            <w:szCs w:val="16"/>
            <w:u w:val="single" w:color="auto"/>
            <w:color w:val="0000EE"/>
          </w:rPr>
          <w:t>Form 8-A12B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(Registration No. 001-39049), filed by the Registrant with the SEC under Section 12(b) of the Securities Exchange Act of 1934, as amended (the “Exchange Act”), on September 13, 2019, including any amendments or reports filed for the purpose of updating such description.</w:t>
      </w:r>
    </w:p>
    <w:p>
      <w:pPr>
        <w:spacing w:after="0" w:line="147" w:lineRule="exact"/>
        <w:rPr>
          <w:rFonts w:ascii="Arial" w:cs="Arial" w:eastAsia="Arial" w:hAnsi="Arial"/>
          <w:sz w:val="18"/>
          <w:szCs w:val="18"/>
          <w:color w:val="auto"/>
        </w:rPr>
      </w:pPr>
    </w:p>
    <w:p>
      <w:pPr>
        <w:ind w:right="60" w:firstLine="441"/>
        <w:spacing w:after="0" w:line="288" w:lineRule="auto"/>
        <w:rPr>
          <w:sz w:val="20"/>
          <w:szCs w:val="20"/>
          <w:color w:val="auto"/>
        </w:rPr>
      </w:pPr>
      <w:r>
        <w:rPr>
          <w:rFonts w:ascii="Arial" w:cs="Arial" w:eastAsia="Arial" w:hAnsi="Arial"/>
          <w:sz w:val="16"/>
          <w:szCs w:val="16"/>
          <w:color w:val="auto"/>
        </w:rPr>
        <w:t>In addition, 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69" w:lineRule="exact"/>
        <w:rPr>
          <w:rFonts w:ascii="Arial" w:cs="Arial" w:eastAsia="Arial" w:hAnsi="Arial"/>
          <w:sz w:val="18"/>
          <w:szCs w:val="18"/>
          <w:color w:val="auto"/>
        </w:rPr>
      </w:pPr>
    </w:p>
    <w:p>
      <w:pPr>
        <w:ind w:right="100" w:firstLine="441"/>
        <w:spacing w:after="0" w:line="277" w:lineRule="auto"/>
        <w:rPr>
          <w:sz w:val="20"/>
          <w:szCs w:val="20"/>
          <w:color w:val="auto"/>
        </w:rPr>
      </w:pPr>
      <w:r>
        <w:rPr>
          <w:rFonts w:ascii="Arial" w:cs="Arial" w:eastAsia="Arial" w:hAnsi="Arial"/>
          <w:sz w:val="18"/>
          <w:szCs w:val="18"/>
          <w:color w:val="auto"/>
        </w:rPr>
        <w:t>Under no circumstances shall any information furnished under Item 2.02 or 7.01 of Form 8-K be deemed incorporated herein by reference unless such Form 8-K expressly provides to the contrary.</w:t>
      </w:r>
    </w:p>
    <w:p>
      <w:pPr>
        <w:spacing w:after="0" w:line="2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87" w:lineRule="exact"/>
        <w:rPr>
          <w:sz w:val="20"/>
          <w:szCs w:val="20"/>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or</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171" w:lineRule="exact"/>
        <w:rPr>
          <w:sz w:val="20"/>
          <w:szCs w:val="20"/>
          <w:color w:val="auto"/>
        </w:rPr>
      </w:pPr>
    </w:p>
    <w:p>
      <w:pPr>
        <w:ind w:right="400" w:firstLine="441"/>
        <w:spacing w:after="0" w:line="302" w:lineRule="auto"/>
        <w:rPr>
          <w:sz w:val="20"/>
          <w:szCs w:val="20"/>
          <w:color w:val="auto"/>
        </w:rPr>
      </w:pPr>
      <w:r>
        <w:rPr>
          <w:rFonts w:ascii="Arial" w:cs="Arial" w:eastAsia="Arial" w:hAnsi="Arial"/>
          <w:sz w:val="16"/>
          <w:szCs w:val="16"/>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15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93"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181"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Exhibit Index on the page immediately preceding the signature page is incorporated herein by reference as the list of exhibits required as part of this registration statement.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 Undertakings.</w:t>
      </w:r>
    </w:p>
    <w:p>
      <w:pPr>
        <w:spacing w:after="0" w:line="121" w:lineRule="exact"/>
        <w:rPr>
          <w:sz w:val="20"/>
          <w:szCs w:val="20"/>
          <w:color w:val="auto"/>
        </w:rPr>
      </w:pPr>
    </w:p>
    <w:p>
      <w:pPr>
        <w:ind w:left="680" w:hanging="236"/>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20" w:hanging="223"/>
        <w:spacing w:after="0"/>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000" w:firstLine="397"/>
        <w:spacing w:after="0" w:line="272" w:lineRule="auto"/>
        <w:tabs>
          <w:tab w:leader="none" w:pos="1666"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000" w:right="60" w:firstLine="397"/>
        <w:spacing w:after="0" w:line="277" w:lineRule="auto"/>
        <w:tabs>
          <w:tab w:leader="none" w:pos="171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this registration statement is on Form S-8 and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57" w:lineRule="exact"/>
        <w:rPr>
          <w:sz w:val="20"/>
          <w:szCs w:val="20"/>
          <w:color w:val="auto"/>
        </w:rPr>
      </w:pPr>
    </w:p>
    <w:p>
      <w:pPr>
        <w:ind w:firstLine="996"/>
        <w:spacing w:after="0" w:line="264" w:lineRule="auto"/>
        <w:tabs>
          <w:tab w:leader="none" w:pos="124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60" w:firstLine="996"/>
        <w:spacing w:after="0" w:line="277" w:lineRule="auto"/>
        <w:tabs>
          <w:tab w:leader="none" w:pos="124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40" w:firstLine="444"/>
        <w:spacing w:after="0" w:line="257" w:lineRule="auto"/>
        <w:tabs>
          <w:tab w:leader="none" w:pos="6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right="100" w:firstLine="444"/>
        <w:spacing w:after="0" w:line="254"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2"/>
              </w:rPr>
              <w:t>Incorporated by Reference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3"/>
        </w:trPr>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3880" w:type="dxa"/>
            <w:vAlign w:val="bottom"/>
            <w:gridSpan w:val="10"/>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gridSpan w:val="2"/>
            <w:vMerge w:val="restart"/>
          </w:tcPr>
          <w:p>
            <w:pPr>
              <w:jc w:val="center"/>
              <w:ind w:left="10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29"/>
        </w:trPr>
        <w:tc>
          <w:tcPr>
            <w:tcW w:w="5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File No.</w:t>
            </w:r>
          </w:p>
        </w:tc>
        <w:tc>
          <w:tcPr>
            <w:tcW w:w="880" w:type="dxa"/>
            <w:vAlign w:val="bottom"/>
            <w:gridSpan w:val="3"/>
          </w:tcPr>
          <w:p>
            <w:pPr>
              <w:ind w:left="220"/>
              <w:spacing w:after="0" w:line="12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7"/>
              </w:rPr>
              <w:t>Filing Date</w:t>
            </w: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3"/>
                <w:szCs w:val="23"/>
                <w:color w:val="auto"/>
              </w:rPr>
            </w:pPr>
          </w:p>
        </w:tc>
        <w:tc>
          <w:tcPr>
            <w:tcW w:w="3680" w:type="dxa"/>
            <w:vAlign w:val="bottom"/>
            <w:tcBorders>
              <w:bottom w:val="single" w:sz="8" w:color="0000EE"/>
            </w:tcBorders>
            <w:gridSpan w:val="5"/>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Amended and Restated Certificate of Incorporation</w:t>
              </w:r>
            </w:hyperlink>
          </w:p>
        </w:tc>
        <w:tc>
          <w:tcPr>
            <w:tcW w:w="2440" w:type="dxa"/>
            <w:vAlign w:val="bottom"/>
            <w:gridSpan w:val="6"/>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333-233446</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5"/>
              </w:rPr>
              <w:t>3.3</w:t>
            </w:r>
          </w:p>
        </w:tc>
        <w:tc>
          <w:tcPr>
            <w:tcW w:w="200" w:type="dxa"/>
            <w:vAlign w:val="bottom"/>
          </w:tcPr>
          <w:p>
            <w:pPr>
              <w:spacing w:after="0"/>
              <w:rPr>
                <w:sz w:val="23"/>
                <w:szCs w:val="23"/>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8/23/2019</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2240" w:type="dxa"/>
            <w:vAlign w:val="bottom"/>
            <w:tcBorders>
              <w:bottom w:val="single" w:sz="8" w:color="0000EE"/>
            </w:tcBorders>
          </w:tcPr>
          <w:p>
            <w:pPr>
              <w:spacing w:after="0"/>
              <w:rPr>
                <w:rFonts w:ascii="Arial" w:cs="Arial" w:eastAsia="Arial" w:hAnsi="Arial"/>
                <w:sz w:val="18"/>
                <w:szCs w:val="18"/>
                <w:color w:val="0000EE"/>
                <w:w w:val="88"/>
              </w:rPr>
            </w:pPr>
            <w:hyperlink r:id="rId22">
              <w:r>
                <w:rPr>
                  <w:rFonts w:ascii="Arial" w:cs="Arial" w:eastAsia="Arial" w:hAnsi="Arial"/>
                  <w:sz w:val="18"/>
                  <w:szCs w:val="18"/>
                  <w:color w:val="0000EE"/>
                  <w:w w:val="88"/>
                </w:rPr>
                <w:t>Amended and Restated Bylaws</w:t>
              </w:r>
            </w:hyperlink>
          </w:p>
        </w:tc>
        <w:tc>
          <w:tcPr>
            <w:tcW w:w="388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333-233446</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5"/>
              </w:rPr>
              <w:t>3.4</w:t>
            </w:r>
          </w:p>
        </w:tc>
        <w:tc>
          <w:tcPr>
            <w:tcW w:w="20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8/23/2019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6120" w:type="dxa"/>
            <w:vAlign w:val="bottom"/>
            <w:gridSpan w:val="11"/>
          </w:tcPr>
          <w:p>
            <w:pPr>
              <w:spacing w:after="0"/>
              <w:rPr>
                <w:rFonts w:ascii="Arial" w:cs="Arial" w:eastAsia="Arial" w:hAnsi="Arial"/>
                <w:sz w:val="18"/>
                <w:szCs w:val="18"/>
                <w:color w:val="0000EE"/>
              </w:rPr>
            </w:pPr>
            <w:hyperlink r:id="rId23">
              <w:r>
                <w:rPr>
                  <w:rFonts w:ascii="Arial" w:cs="Arial" w:eastAsia="Arial" w:hAnsi="Arial"/>
                  <w:sz w:val="18"/>
                  <w:szCs w:val="18"/>
                  <w:color w:val="0000EE"/>
                </w:rPr>
                <w:t>Specimen stock certificate evidencing the shares of common stock</w:t>
              </w:r>
            </w:hyperlink>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S-1/A</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333-233446</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5"/>
              </w:rPr>
              <w:t>4.1</w:t>
            </w:r>
          </w:p>
        </w:tc>
        <w:tc>
          <w:tcPr>
            <w:tcW w:w="20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9/9/2019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25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3"/>
              </w:rPr>
              <w:t>Opinion of Latham &amp; Watkins LLP</w:t>
            </w:r>
          </w:p>
        </w:tc>
        <w:tc>
          <w:tcPr>
            <w:tcW w:w="2220" w:type="dxa"/>
            <w:vAlign w:val="bottom"/>
            <w:tcBorders>
              <w:top w:val="single" w:sz="8" w:color="0000EE"/>
            </w:tcBorders>
            <w:gridSpan w:val="7"/>
          </w:tcPr>
          <w:p>
            <w:pPr>
              <w:spacing w:after="0"/>
              <w:rPr>
                <w:sz w:val="24"/>
                <w:szCs w:val="24"/>
                <w:color w:val="auto"/>
              </w:rPr>
            </w:pPr>
          </w:p>
        </w:tc>
        <w:tc>
          <w:tcPr>
            <w:tcW w:w="13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6120" w:type="dxa"/>
            <w:vAlign w:val="bottom"/>
            <w:gridSpan w:val="11"/>
          </w:tcPr>
          <w:p>
            <w:pPr>
              <w:spacing w:after="0"/>
              <w:rPr>
                <w:rFonts w:ascii="Arial" w:cs="Arial" w:eastAsia="Arial" w:hAnsi="Arial"/>
                <w:sz w:val="18"/>
                <w:szCs w:val="18"/>
                <w:color w:val="0000EE"/>
              </w:rPr>
            </w:pPr>
            <w:hyperlink r:id="rId24">
              <w:r>
                <w:rPr>
                  <w:rFonts w:ascii="Arial" w:cs="Arial" w:eastAsia="Arial" w:hAnsi="Arial"/>
                  <w:sz w:val="18"/>
                  <w:szCs w:val="18"/>
                  <w:color w:val="0000EE"/>
                </w:rPr>
                <w:t>Exagen Corporation 2002 Stock Option Plan, as amended.</w:t>
              </w:r>
            </w:hyperlink>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333-233446</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8/23/2019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6120" w:type="dxa"/>
            <w:vAlign w:val="bottom"/>
            <w:gridSpan w:val="11"/>
          </w:tcPr>
          <w:p>
            <w:pPr>
              <w:spacing w:after="0"/>
              <w:rPr>
                <w:rFonts w:ascii="Arial" w:cs="Arial" w:eastAsia="Arial" w:hAnsi="Arial"/>
                <w:sz w:val="18"/>
                <w:szCs w:val="18"/>
                <w:color w:val="0000EE"/>
              </w:rPr>
            </w:pPr>
            <w:hyperlink r:id="rId25">
              <w:r>
                <w:rPr>
                  <w:rFonts w:ascii="Arial" w:cs="Arial" w:eastAsia="Arial" w:hAnsi="Arial"/>
                  <w:sz w:val="18"/>
                  <w:szCs w:val="18"/>
                  <w:color w:val="0000EE"/>
                </w:rPr>
                <w:t>Exagen Diagnostics, Inc. 2013 Stock Option Plan, as amended.</w:t>
              </w:r>
            </w:hyperlink>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333-233446</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10.2</w:t>
            </w:r>
          </w:p>
        </w:tc>
        <w:tc>
          <w:tcPr>
            <w:tcW w:w="20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8/23/2019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24"/>
                <w:szCs w:val="24"/>
                <w:color w:val="auto"/>
              </w:rPr>
            </w:pPr>
          </w:p>
        </w:tc>
        <w:tc>
          <w:tcPr>
            <w:tcW w:w="4520" w:type="dxa"/>
            <w:vAlign w:val="bottom"/>
            <w:tcBorders>
              <w:top w:val="single" w:sz="8" w:color="0000EE"/>
            </w:tcBorders>
            <w:gridSpan w:val="8"/>
          </w:tcPr>
          <w:p>
            <w:pPr>
              <w:spacing w:after="0"/>
              <w:rPr>
                <w:rFonts w:ascii="Arial" w:cs="Arial" w:eastAsia="Arial" w:hAnsi="Arial"/>
                <w:sz w:val="18"/>
                <w:szCs w:val="18"/>
                <w:color w:val="0000EE"/>
              </w:rPr>
            </w:pPr>
            <w:hyperlink r:id="rId26">
              <w:r>
                <w:rPr>
                  <w:rFonts w:ascii="Arial" w:cs="Arial" w:eastAsia="Arial" w:hAnsi="Arial"/>
                  <w:sz w:val="18"/>
                  <w:szCs w:val="18"/>
                  <w:color w:val="0000EE"/>
                </w:rPr>
                <w:t>Exagen Inc. 2019 Incentive Award Plan</w:t>
              </w:r>
            </w:hyperlink>
          </w:p>
        </w:tc>
        <w:tc>
          <w:tcPr>
            <w:tcW w:w="1600" w:type="dxa"/>
            <w:vAlign w:val="bottom"/>
            <w:gridSpan w:val="3"/>
          </w:tcPr>
          <w:p>
            <w:pPr>
              <w:spacing w:after="0"/>
              <w:rPr>
                <w:sz w:val="24"/>
                <w:szCs w:val="24"/>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S-1/A</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333-233446</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10.3</w:t>
            </w:r>
          </w:p>
        </w:tc>
        <w:tc>
          <w:tcPr>
            <w:tcW w:w="20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9/9/2019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10.4</w:t>
            </w:r>
          </w:p>
        </w:tc>
        <w:tc>
          <w:tcPr>
            <w:tcW w:w="220" w:type="dxa"/>
            <w:vAlign w:val="bottom"/>
          </w:tcPr>
          <w:p>
            <w:pPr>
              <w:spacing w:after="0"/>
              <w:rPr>
                <w:sz w:val="24"/>
                <w:szCs w:val="24"/>
                <w:color w:val="auto"/>
              </w:rPr>
            </w:pPr>
          </w:p>
        </w:tc>
        <w:tc>
          <w:tcPr>
            <w:tcW w:w="3540" w:type="dxa"/>
            <w:vAlign w:val="bottom"/>
            <w:tcBorders>
              <w:bottom w:val="single" w:sz="8" w:color="0000EE"/>
            </w:tcBorders>
            <w:gridSpan w:val="4"/>
          </w:tcPr>
          <w:p>
            <w:pPr>
              <w:spacing w:after="0"/>
              <w:rPr>
                <w:rFonts w:ascii="Arial" w:cs="Arial" w:eastAsia="Arial" w:hAnsi="Arial"/>
                <w:sz w:val="18"/>
                <w:szCs w:val="18"/>
                <w:color w:val="0000EE"/>
                <w:w w:val="88"/>
              </w:rPr>
            </w:pPr>
            <w:hyperlink r:id="rId27">
              <w:r>
                <w:rPr>
                  <w:rFonts w:ascii="Arial" w:cs="Arial" w:eastAsia="Arial" w:hAnsi="Arial"/>
                  <w:sz w:val="18"/>
                  <w:szCs w:val="18"/>
                  <w:color w:val="0000EE"/>
                  <w:w w:val="88"/>
                </w:rPr>
                <w:t>Exagen Inc. 2019 Employee Stock Purchase Plan</w:t>
              </w:r>
            </w:hyperlink>
          </w:p>
        </w:tc>
        <w:tc>
          <w:tcPr>
            <w:tcW w:w="2580" w:type="dxa"/>
            <w:vAlign w:val="bottom"/>
            <w:gridSpan w:val="7"/>
          </w:tcPr>
          <w:p>
            <w:pPr>
              <w:spacing w:after="0"/>
              <w:rPr>
                <w:sz w:val="24"/>
                <w:szCs w:val="24"/>
                <w:color w:val="auto"/>
              </w:rPr>
            </w:pP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S-1/A</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333-233446</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9/9/2019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23.1</w:t>
            </w:r>
          </w:p>
        </w:tc>
        <w:tc>
          <w:tcPr>
            <w:tcW w:w="2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Consent of BDO USA, LLP, independent registered public accounting firm</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23.2</w:t>
            </w:r>
          </w:p>
        </w:tc>
        <w:tc>
          <w:tcPr>
            <w:tcW w:w="220" w:type="dxa"/>
            <w:vAlign w:val="bottom"/>
          </w:tcPr>
          <w:p>
            <w:pPr>
              <w:spacing w:after="0"/>
              <w:rPr>
                <w:sz w:val="24"/>
                <w:szCs w:val="24"/>
                <w:color w:val="auto"/>
              </w:rPr>
            </w:pPr>
          </w:p>
        </w:tc>
        <w:tc>
          <w:tcPr>
            <w:tcW w:w="43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Consent of Latham &amp; Watkins LLP (included in Exhibit 5.1)</w:t>
            </w:r>
          </w:p>
        </w:tc>
        <w:tc>
          <w:tcPr>
            <w:tcW w:w="176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24.1</w:t>
            </w:r>
          </w:p>
        </w:tc>
        <w:tc>
          <w:tcPr>
            <w:tcW w:w="220" w:type="dxa"/>
            <w:vAlign w:val="bottom"/>
          </w:tcPr>
          <w:p>
            <w:pPr>
              <w:spacing w:after="0"/>
              <w:rPr>
                <w:sz w:val="24"/>
                <w:szCs w:val="24"/>
                <w:color w:val="auto"/>
              </w:rPr>
            </w:pPr>
          </w:p>
        </w:tc>
        <w:tc>
          <w:tcPr>
            <w:tcW w:w="612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(see signature page)</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Borders>
              <w:top w:val="single" w:sz="8" w:color="0000EE"/>
            </w:tcBorders>
            <w:gridSpan w:val="3"/>
          </w:tcPr>
          <w:p>
            <w:pPr>
              <w:spacing w:after="0"/>
              <w:rPr>
                <w:sz w:val="24"/>
                <w:szCs w:val="24"/>
                <w:color w:val="auto"/>
              </w:rPr>
            </w:pPr>
          </w:p>
        </w:tc>
        <w:tc>
          <w:tcPr>
            <w:tcW w:w="2560" w:type="dxa"/>
            <w:vAlign w:val="bottom"/>
            <w:gridSpan w:val="7"/>
          </w:tcPr>
          <w:p>
            <w:pPr>
              <w:jc w:val="right"/>
              <w:ind w:right="58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660" w:firstLine="441"/>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September 20, 2019.</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EXAGEN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Fortunato Ron Rocca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Each person whose signature appears below hereby constitutes and appoints Fortunato Ron Rocca and Kamal Adawi, and each of them singly (with full power to each of them to act alone), his attorneys-in-fact, each with the full power of substitution, for him in any and all capacities, to sign this registration statement, and any amendments thereto (including post-effective amendments), and to file the same, with all exhibits thereto and other documents in connection therewith, with the SEC, hereby ratifying and confirming all that each of said attorneys-in-fact,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sectPr>
          <w:pgSz w:w="11900" w:h="16838" w:orient="portrait"/>
          <w:cols w:equalWidth="0" w:num="1">
            <w:col w:w="11040"/>
          </w:cols>
          <w:pgMar w:left="440" w:top="270" w:right="41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2452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Fortunato Ron Rocca</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452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Kamal Adawi</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4523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Brian Birk</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4523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Chet Burrell</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Chet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4523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Jeff Elliott</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Jeff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4523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Tina S. Nova, Ph.D.</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Tina S. Nova,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452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Ebetuel Pallares, Ph.D.</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Ebetuel Pallares,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4523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Bruce C. Robertson, Ph.D.</w:t>
      </w:r>
    </w:p>
    <w:p>
      <w:pPr>
        <w:spacing w:after="0" w:line="4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Bruce C. Robertson,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4523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James L.L. Tullis</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452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1"/>
        </w:trPr>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President, Chief Executive Officer and Director</w:t>
            </w:r>
          </w:p>
        </w:tc>
        <w:tc>
          <w:tcPr>
            <w:tcW w:w="3420" w:type="dxa"/>
            <w:vAlign w:val="bottom"/>
          </w:tcPr>
          <w:p>
            <w:pPr>
              <w:spacing w:after="0"/>
              <w:rPr>
                <w:sz w:val="24"/>
                <w:szCs w:val="24"/>
                <w:color w:val="auto"/>
              </w:rPr>
            </w:pPr>
          </w:p>
        </w:tc>
      </w:tr>
      <w:tr>
        <w:trPr>
          <w:trHeight w:val="244"/>
        </w:trPr>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 20, 2019</w:t>
            </w:r>
          </w:p>
        </w:tc>
      </w:tr>
      <w:tr>
        <w:trPr>
          <w:trHeight w:val="431"/>
        </w:trPr>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Financial Officer</w:t>
            </w:r>
          </w:p>
        </w:tc>
        <w:tc>
          <w:tcPr>
            <w:tcW w:w="3420" w:type="dxa"/>
            <w:vAlign w:val="bottom"/>
          </w:tcPr>
          <w:p>
            <w:pPr>
              <w:spacing w:after="0"/>
              <w:rPr>
                <w:sz w:val="24"/>
                <w:szCs w:val="24"/>
                <w:color w:val="auto"/>
              </w:rPr>
            </w:pPr>
          </w:p>
        </w:tc>
      </w:tr>
      <w:tr>
        <w:trPr>
          <w:trHeight w:val="244"/>
        </w:trPr>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 20, 2019</w:t>
            </w:r>
          </w:p>
        </w:tc>
      </w:tr>
      <w:tr>
        <w:trPr>
          <w:trHeight w:val="675"/>
        </w:trPr>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Chairman of the Board of Directors</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 20, 2019</w:t>
            </w:r>
          </w:p>
        </w:tc>
      </w:tr>
      <w:tr>
        <w:trPr>
          <w:trHeight w:val="675"/>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 20, 2019</w:t>
            </w:r>
          </w:p>
        </w:tc>
      </w:tr>
      <w:tr>
        <w:trPr>
          <w:trHeight w:val="675"/>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 20, 2019</w:t>
            </w:r>
          </w:p>
        </w:tc>
      </w:tr>
      <w:tr>
        <w:trPr>
          <w:trHeight w:val="675"/>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 20, 2019</w:t>
            </w:r>
          </w:p>
        </w:tc>
      </w:tr>
      <w:tr>
        <w:trPr>
          <w:trHeight w:val="675"/>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 20, 2019</w:t>
            </w:r>
          </w:p>
        </w:tc>
      </w:tr>
      <w:tr>
        <w:trPr>
          <w:trHeight w:val="675"/>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 20, 2019</w:t>
            </w:r>
          </w:p>
        </w:tc>
      </w:tr>
      <w:tr>
        <w:trPr>
          <w:trHeight w:val="675"/>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 20, 2019</w:t>
            </w:r>
          </w:p>
        </w:tc>
      </w:tr>
      <w:tr>
        <w:trPr>
          <w:trHeight w:val="365"/>
        </w:trPr>
        <w:tc>
          <w:tcPr>
            <w:tcW w:w="3520" w:type="dxa"/>
            <w:vAlign w:val="bottom"/>
          </w:tcPr>
          <w:p>
            <w:pPr>
              <w:jc w:val="right"/>
              <w:ind w:right="187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2">
            <w:col w:w="3280" w:space="720"/>
            <w:col w:w="7040"/>
          </w:cols>
          <w:pgMar w:left="440" w:top="270" w:right="41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12670 High Bluff Drive,</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Tel: +1.858.523.5400 Fax: +1.858.523.5450</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www.lw.com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5180" w:type="dxa"/>
            <w:vAlign w:val="bottom"/>
            <w:gridSpan w:val="2"/>
          </w:tcPr>
          <w:p>
            <w:pPr>
              <w:ind w:left="2360"/>
              <w:spacing w:after="0"/>
              <w:rPr>
                <w:sz w:val="20"/>
                <w:szCs w:val="20"/>
                <w:color w:val="auto"/>
              </w:rPr>
            </w:pPr>
            <w:r>
              <w:rPr>
                <w:rFonts w:ascii="Arial" w:cs="Arial" w:eastAsia="Arial" w:hAnsi="Arial"/>
                <w:sz w:val="18"/>
                <w:szCs w:val="18"/>
                <w:color w:val="auto"/>
              </w:rPr>
              <w:t>FIRM / AFFILIATE OFFICES</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Abu Dhabi</w:t>
            </w:r>
          </w:p>
        </w:tc>
        <w:tc>
          <w:tcPr>
            <w:tcW w:w="1600" w:type="dxa"/>
            <w:vAlign w:val="bottom"/>
          </w:tcPr>
          <w:p>
            <w:pPr>
              <w:ind w:left="320"/>
              <w:spacing w:after="0"/>
              <w:rPr>
                <w:sz w:val="20"/>
                <w:szCs w:val="20"/>
                <w:color w:val="auto"/>
              </w:rPr>
            </w:pPr>
            <w:r>
              <w:rPr>
                <w:rFonts w:ascii="Arial" w:cs="Arial" w:eastAsia="Arial" w:hAnsi="Arial"/>
                <w:sz w:val="18"/>
                <w:szCs w:val="18"/>
                <w:color w:val="auto"/>
              </w:rPr>
              <w:t>Milan</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Barcelona</w:t>
            </w:r>
          </w:p>
        </w:tc>
        <w:tc>
          <w:tcPr>
            <w:tcW w:w="1600" w:type="dxa"/>
            <w:vAlign w:val="bottom"/>
          </w:tcPr>
          <w:p>
            <w:pPr>
              <w:ind w:left="320"/>
              <w:spacing w:after="0"/>
              <w:rPr>
                <w:sz w:val="20"/>
                <w:szCs w:val="20"/>
                <w:color w:val="auto"/>
              </w:rPr>
            </w:pPr>
            <w:r>
              <w:rPr>
                <w:rFonts w:ascii="Arial" w:cs="Arial" w:eastAsia="Arial" w:hAnsi="Arial"/>
                <w:sz w:val="18"/>
                <w:szCs w:val="18"/>
                <w:color w:val="auto"/>
              </w:rPr>
              <w:t>Moscow</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Beijing</w:t>
            </w:r>
          </w:p>
        </w:tc>
        <w:tc>
          <w:tcPr>
            <w:tcW w:w="1600" w:type="dxa"/>
            <w:vAlign w:val="bottom"/>
          </w:tcPr>
          <w:p>
            <w:pPr>
              <w:ind w:left="320"/>
              <w:spacing w:after="0"/>
              <w:rPr>
                <w:sz w:val="20"/>
                <w:szCs w:val="20"/>
                <w:color w:val="auto"/>
              </w:rPr>
            </w:pPr>
            <w:r>
              <w:rPr>
                <w:rFonts w:ascii="Arial" w:cs="Arial" w:eastAsia="Arial" w:hAnsi="Arial"/>
                <w:sz w:val="18"/>
                <w:szCs w:val="18"/>
                <w:color w:val="auto"/>
              </w:rPr>
              <w:t>Munich</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Boston</w:t>
            </w:r>
          </w:p>
        </w:tc>
        <w:tc>
          <w:tcPr>
            <w:tcW w:w="1600" w:type="dxa"/>
            <w:vAlign w:val="bottom"/>
          </w:tcPr>
          <w:p>
            <w:pPr>
              <w:ind w:left="320"/>
              <w:spacing w:after="0"/>
              <w:rPr>
                <w:sz w:val="20"/>
                <w:szCs w:val="20"/>
                <w:color w:val="auto"/>
              </w:rPr>
            </w:pPr>
            <w:r>
              <w:rPr>
                <w:rFonts w:ascii="Arial" w:cs="Arial" w:eastAsia="Arial" w:hAnsi="Arial"/>
                <w:sz w:val="18"/>
                <w:szCs w:val="18"/>
                <w:color w:val="auto"/>
              </w:rPr>
              <w:t>New Jersey</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Brussels</w:t>
            </w:r>
          </w:p>
        </w:tc>
        <w:tc>
          <w:tcPr>
            <w:tcW w:w="1600" w:type="dxa"/>
            <w:vAlign w:val="bottom"/>
          </w:tcPr>
          <w:p>
            <w:pPr>
              <w:ind w:left="320"/>
              <w:spacing w:after="0"/>
              <w:rPr>
                <w:sz w:val="20"/>
                <w:szCs w:val="20"/>
                <w:color w:val="auto"/>
              </w:rPr>
            </w:pPr>
            <w:r>
              <w:rPr>
                <w:rFonts w:ascii="Arial" w:cs="Arial" w:eastAsia="Arial" w:hAnsi="Arial"/>
                <w:sz w:val="18"/>
                <w:szCs w:val="18"/>
                <w:color w:val="auto"/>
              </w:rPr>
              <w:t>New York</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Chicago</w:t>
            </w:r>
          </w:p>
        </w:tc>
        <w:tc>
          <w:tcPr>
            <w:tcW w:w="1600" w:type="dxa"/>
            <w:vAlign w:val="bottom"/>
          </w:tcPr>
          <w:p>
            <w:pPr>
              <w:ind w:left="320"/>
              <w:spacing w:after="0"/>
              <w:rPr>
                <w:sz w:val="20"/>
                <w:szCs w:val="20"/>
                <w:color w:val="auto"/>
              </w:rPr>
            </w:pPr>
            <w:r>
              <w:rPr>
                <w:rFonts w:ascii="Arial" w:cs="Arial" w:eastAsia="Arial" w:hAnsi="Arial"/>
                <w:sz w:val="18"/>
                <w:szCs w:val="18"/>
                <w:color w:val="auto"/>
              </w:rPr>
              <w:t>Orange County</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September 20, 2019</w:t>
            </w:r>
          </w:p>
        </w:tc>
        <w:tc>
          <w:tcPr>
            <w:tcW w:w="3580" w:type="dxa"/>
            <w:vAlign w:val="bottom"/>
          </w:tcPr>
          <w:p>
            <w:pPr>
              <w:ind w:left="2360"/>
              <w:spacing w:after="0"/>
              <w:rPr>
                <w:sz w:val="20"/>
                <w:szCs w:val="20"/>
                <w:color w:val="auto"/>
              </w:rPr>
            </w:pPr>
            <w:r>
              <w:rPr>
                <w:rFonts w:ascii="Arial" w:cs="Arial" w:eastAsia="Arial" w:hAnsi="Arial"/>
                <w:sz w:val="18"/>
                <w:szCs w:val="18"/>
                <w:color w:val="auto"/>
              </w:rPr>
              <w:t>Doha</w:t>
            </w:r>
          </w:p>
        </w:tc>
        <w:tc>
          <w:tcPr>
            <w:tcW w:w="1600" w:type="dxa"/>
            <w:vAlign w:val="bottom"/>
          </w:tcPr>
          <w:p>
            <w:pPr>
              <w:ind w:left="320"/>
              <w:spacing w:after="0"/>
              <w:rPr>
                <w:sz w:val="20"/>
                <w:szCs w:val="20"/>
                <w:color w:val="auto"/>
              </w:rPr>
            </w:pPr>
            <w:r>
              <w:rPr>
                <w:rFonts w:ascii="Arial" w:cs="Arial" w:eastAsia="Arial" w:hAnsi="Arial"/>
                <w:sz w:val="18"/>
                <w:szCs w:val="18"/>
                <w:color w:val="auto"/>
              </w:rPr>
              <w:t>Paris</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Dubai</w:t>
            </w:r>
          </w:p>
        </w:tc>
        <w:tc>
          <w:tcPr>
            <w:tcW w:w="1600" w:type="dxa"/>
            <w:vAlign w:val="bottom"/>
          </w:tcPr>
          <w:p>
            <w:pPr>
              <w:ind w:left="320"/>
              <w:spacing w:after="0"/>
              <w:rPr>
                <w:sz w:val="20"/>
                <w:szCs w:val="20"/>
                <w:color w:val="auto"/>
              </w:rPr>
            </w:pPr>
            <w:r>
              <w:rPr>
                <w:rFonts w:ascii="Arial" w:cs="Arial" w:eastAsia="Arial" w:hAnsi="Arial"/>
                <w:sz w:val="18"/>
                <w:szCs w:val="18"/>
                <w:color w:val="auto"/>
              </w:rPr>
              <w:t>Riyadh</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Düsseldorf</w:t>
            </w:r>
          </w:p>
        </w:tc>
        <w:tc>
          <w:tcPr>
            <w:tcW w:w="1600" w:type="dxa"/>
            <w:vAlign w:val="bottom"/>
          </w:tcPr>
          <w:p>
            <w:pPr>
              <w:ind w:left="320"/>
              <w:spacing w:after="0"/>
              <w:rPr>
                <w:sz w:val="20"/>
                <w:szCs w:val="20"/>
                <w:color w:val="auto"/>
              </w:rPr>
            </w:pPr>
            <w:r>
              <w:rPr>
                <w:rFonts w:ascii="Arial" w:cs="Arial" w:eastAsia="Arial" w:hAnsi="Arial"/>
                <w:sz w:val="18"/>
                <w:szCs w:val="18"/>
                <w:color w:val="auto"/>
              </w:rPr>
              <w:t>Rome</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Frankfurt</w:t>
            </w:r>
          </w:p>
        </w:tc>
        <w:tc>
          <w:tcPr>
            <w:tcW w:w="1600" w:type="dxa"/>
            <w:vAlign w:val="bottom"/>
          </w:tcPr>
          <w:p>
            <w:pPr>
              <w:ind w:left="320"/>
              <w:spacing w:after="0"/>
              <w:rPr>
                <w:sz w:val="20"/>
                <w:szCs w:val="20"/>
                <w:color w:val="auto"/>
              </w:rPr>
            </w:pPr>
            <w:r>
              <w:rPr>
                <w:rFonts w:ascii="Arial" w:cs="Arial" w:eastAsia="Arial" w:hAnsi="Arial"/>
                <w:sz w:val="18"/>
                <w:szCs w:val="18"/>
                <w:color w:val="auto"/>
              </w:rPr>
              <w:t>San Diego</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Hamburg</w:t>
            </w:r>
          </w:p>
        </w:tc>
        <w:tc>
          <w:tcPr>
            <w:tcW w:w="1600" w:type="dxa"/>
            <w:vAlign w:val="bottom"/>
          </w:tcPr>
          <w:p>
            <w:pPr>
              <w:ind w:left="320"/>
              <w:spacing w:after="0"/>
              <w:rPr>
                <w:sz w:val="20"/>
                <w:szCs w:val="20"/>
                <w:color w:val="auto"/>
              </w:rPr>
            </w:pPr>
            <w:r>
              <w:rPr>
                <w:rFonts w:ascii="Arial" w:cs="Arial" w:eastAsia="Arial" w:hAnsi="Arial"/>
                <w:sz w:val="18"/>
                <w:szCs w:val="18"/>
                <w:color w:val="auto"/>
              </w:rPr>
              <w:t>San Francisco</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Hong Kong</w:t>
            </w:r>
          </w:p>
        </w:tc>
        <w:tc>
          <w:tcPr>
            <w:tcW w:w="1600" w:type="dxa"/>
            <w:vAlign w:val="bottom"/>
          </w:tcPr>
          <w:p>
            <w:pPr>
              <w:ind w:left="320"/>
              <w:spacing w:after="0"/>
              <w:rPr>
                <w:sz w:val="20"/>
                <w:szCs w:val="20"/>
                <w:color w:val="auto"/>
              </w:rPr>
            </w:pPr>
            <w:r>
              <w:rPr>
                <w:rFonts w:ascii="Arial" w:cs="Arial" w:eastAsia="Arial" w:hAnsi="Arial"/>
                <w:sz w:val="18"/>
                <w:szCs w:val="18"/>
                <w:color w:val="auto"/>
              </w:rPr>
              <w:t>Shanghai</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Houston</w:t>
            </w:r>
          </w:p>
        </w:tc>
        <w:tc>
          <w:tcPr>
            <w:tcW w:w="1600" w:type="dxa"/>
            <w:vAlign w:val="bottom"/>
          </w:tcPr>
          <w:p>
            <w:pPr>
              <w:ind w:left="320"/>
              <w:spacing w:after="0"/>
              <w:rPr>
                <w:sz w:val="20"/>
                <w:szCs w:val="20"/>
                <w:color w:val="auto"/>
              </w:rPr>
            </w:pPr>
            <w:r>
              <w:rPr>
                <w:rFonts w:ascii="Arial" w:cs="Arial" w:eastAsia="Arial" w:hAnsi="Arial"/>
                <w:sz w:val="18"/>
                <w:szCs w:val="18"/>
                <w:color w:val="auto"/>
              </w:rPr>
              <w:t>Silicon Valley</w:t>
            </w:r>
          </w:p>
        </w:tc>
      </w:tr>
      <w:tr>
        <w:trPr>
          <w:trHeight w:val="216"/>
        </w:trPr>
        <w:tc>
          <w:tcPr>
            <w:tcW w:w="4280" w:type="dxa"/>
            <w:vAlign w:val="bottom"/>
          </w:tcPr>
          <w:p>
            <w:pPr>
              <w:spacing w:after="0"/>
              <w:rPr>
                <w:sz w:val="18"/>
                <w:szCs w:val="18"/>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London</w:t>
            </w:r>
          </w:p>
        </w:tc>
        <w:tc>
          <w:tcPr>
            <w:tcW w:w="1600" w:type="dxa"/>
            <w:vAlign w:val="bottom"/>
          </w:tcPr>
          <w:p>
            <w:pPr>
              <w:ind w:left="320"/>
              <w:spacing w:after="0"/>
              <w:rPr>
                <w:sz w:val="20"/>
                <w:szCs w:val="20"/>
                <w:color w:val="auto"/>
              </w:rPr>
            </w:pPr>
            <w:r>
              <w:rPr>
                <w:rFonts w:ascii="Arial" w:cs="Arial" w:eastAsia="Arial" w:hAnsi="Arial"/>
                <w:sz w:val="18"/>
                <w:szCs w:val="18"/>
                <w:color w:val="auto"/>
              </w:rPr>
              <w:t>Singapore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Exagen Inc.</w:t>
            </w:r>
          </w:p>
        </w:tc>
        <w:tc>
          <w:tcPr>
            <w:tcW w:w="3580" w:type="dxa"/>
            <w:vAlign w:val="bottom"/>
          </w:tcPr>
          <w:p>
            <w:pPr>
              <w:ind w:left="2360"/>
              <w:spacing w:after="0"/>
              <w:rPr>
                <w:sz w:val="20"/>
                <w:szCs w:val="20"/>
                <w:color w:val="auto"/>
              </w:rPr>
            </w:pPr>
            <w:r>
              <w:rPr>
                <w:rFonts w:ascii="Arial" w:cs="Arial" w:eastAsia="Arial" w:hAnsi="Arial"/>
                <w:sz w:val="18"/>
                <w:szCs w:val="18"/>
                <w:color w:val="auto"/>
              </w:rPr>
              <w:t>Los Angeles</w:t>
            </w:r>
          </w:p>
        </w:tc>
        <w:tc>
          <w:tcPr>
            <w:tcW w:w="1600" w:type="dxa"/>
            <w:vAlign w:val="bottom"/>
          </w:tcPr>
          <w:p>
            <w:pPr>
              <w:ind w:left="320"/>
              <w:spacing w:after="0"/>
              <w:rPr>
                <w:sz w:val="20"/>
                <w:szCs w:val="20"/>
                <w:color w:val="auto"/>
              </w:rPr>
            </w:pPr>
            <w:r>
              <w:rPr>
                <w:rFonts w:ascii="Arial" w:cs="Arial" w:eastAsia="Arial" w:hAnsi="Arial"/>
                <w:sz w:val="18"/>
                <w:szCs w:val="18"/>
                <w:color w:val="auto"/>
              </w:rPr>
              <w:t>Tokyo</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1261 Liberty Way, Suite C</w:t>
            </w:r>
          </w:p>
        </w:tc>
        <w:tc>
          <w:tcPr>
            <w:tcW w:w="3580" w:type="dxa"/>
            <w:vAlign w:val="bottom"/>
          </w:tcPr>
          <w:p>
            <w:pPr>
              <w:ind w:left="2360"/>
              <w:spacing w:after="0"/>
              <w:rPr>
                <w:sz w:val="20"/>
                <w:szCs w:val="20"/>
                <w:color w:val="auto"/>
              </w:rPr>
            </w:pPr>
            <w:r>
              <w:rPr>
                <w:rFonts w:ascii="Arial" w:cs="Arial" w:eastAsia="Arial" w:hAnsi="Arial"/>
                <w:sz w:val="18"/>
                <w:szCs w:val="18"/>
                <w:color w:val="auto"/>
              </w:rPr>
              <w:t>Madrid</w:t>
            </w:r>
          </w:p>
        </w:tc>
        <w:tc>
          <w:tcPr>
            <w:tcW w:w="1600" w:type="dxa"/>
            <w:vAlign w:val="bottom"/>
          </w:tcPr>
          <w:p>
            <w:pPr>
              <w:ind w:left="320"/>
              <w:spacing w:after="0"/>
              <w:rPr>
                <w:sz w:val="20"/>
                <w:szCs w:val="20"/>
                <w:color w:val="auto"/>
              </w:rPr>
            </w:pPr>
            <w:r>
              <w:rPr>
                <w:rFonts w:ascii="Arial" w:cs="Arial" w:eastAsia="Arial" w:hAnsi="Arial"/>
                <w:sz w:val="18"/>
                <w:szCs w:val="18"/>
                <w:color w:val="auto"/>
                <w:w w:val="89"/>
              </w:rPr>
              <w:t>Washington, D.C.</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Vista CA 92081</w:t>
            </w:r>
          </w:p>
        </w:tc>
        <w:tc>
          <w:tcPr>
            <w:tcW w:w="358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-2468880</wp:posOffset>
            </wp:positionV>
            <wp:extent cx="2066925"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2066925" cy="222885"/>
                    </a:xfrm>
                    <a:prstGeom prst="rect">
                      <a:avLst/>
                    </a:prstGeom>
                    <a:noFill/>
                  </pic:spPr>
                </pic:pic>
              </a:graphicData>
            </a:graphic>
          </wp:anchor>
        </w:drawing>
      </w:r>
    </w:p>
    <w:p>
      <w:pPr>
        <w:spacing w:after="0" w:line="209"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 2,794,691 shares of Common Stock, par value $0.001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color w:val="auto"/>
        </w:rPr>
        <w:t>We have acted as special counsel to Exagen Inc., a Delaware corporation (the “Company”), in connection with the proposed issuance of an aggregate of 2,794,6941 shares of common stock, $0.001 par value per share (the “Shares”) of the Company, pursuant to the Company’s 2019 Incentive Award Plan (the “</w:t>
      </w:r>
      <w:r>
        <w:rPr>
          <w:rFonts w:ascii="Arial" w:cs="Arial" w:eastAsia="Arial" w:hAnsi="Arial"/>
          <w:sz w:val="16"/>
          <w:szCs w:val="16"/>
          <w:b w:val="1"/>
          <w:bCs w:val="1"/>
          <w:i w:val="1"/>
          <w:iCs w:val="1"/>
          <w:color w:val="auto"/>
        </w:rPr>
        <w:t>2019 Plan</w:t>
      </w:r>
      <w:r>
        <w:rPr>
          <w:rFonts w:ascii="Arial" w:cs="Arial" w:eastAsia="Arial" w:hAnsi="Arial"/>
          <w:sz w:val="16"/>
          <w:szCs w:val="16"/>
          <w:color w:val="auto"/>
        </w:rPr>
        <w:t>”), the Company’s 2013 Equity Incentive Plan (the “</w:t>
      </w:r>
      <w:r>
        <w:rPr>
          <w:rFonts w:ascii="Arial" w:cs="Arial" w:eastAsia="Arial" w:hAnsi="Arial"/>
          <w:sz w:val="16"/>
          <w:szCs w:val="16"/>
          <w:b w:val="1"/>
          <w:bCs w:val="1"/>
          <w:i w:val="1"/>
          <w:iCs w:val="1"/>
          <w:color w:val="auto"/>
        </w:rPr>
        <w:t>2017 Plan</w:t>
      </w:r>
      <w:r>
        <w:rPr>
          <w:rFonts w:ascii="Arial" w:cs="Arial" w:eastAsia="Arial" w:hAnsi="Arial"/>
          <w:sz w:val="16"/>
          <w:szCs w:val="16"/>
          <w:color w:val="auto"/>
        </w:rPr>
        <w:t>”), the Company’s 2002 Equity Incentive Plan (the “</w:t>
      </w:r>
      <w:r>
        <w:rPr>
          <w:rFonts w:ascii="Arial" w:cs="Arial" w:eastAsia="Arial" w:hAnsi="Arial"/>
          <w:sz w:val="16"/>
          <w:szCs w:val="16"/>
          <w:b w:val="1"/>
          <w:bCs w:val="1"/>
          <w:i w:val="1"/>
          <w:iCs w:val="1"/>
          <w:color w:val="auto"/>
        </w:rPr>
        <w:t>2002</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the Company’s 2019 Employee Stock Purchase Plan (the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and together with the 2019 Plan, the 2017 Plan and the 2002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 The Shares are included in a registration statement on Form S-8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September 20, 2019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w:t>
      </w:r>
    </w:p>
    <w:p>
      <w:pPr>
        <w:spacing w:after="0" w:line="166"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87"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In our examination, we have assumed the genuineness of all signatures, the authenticity of all documents submitted to us as originals and the conformity to authentic original documents of all documents submitted to us as copies.</w:t>
      </w:r>
    </w:p>
    <w:p>
      <w:pPr>
        <w:spacing w:after="0" w:line="170"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Shares have been duly registered on the books of the transfer agent and registrar therefor in the name or on behalf of the recipients, or certificates representing the Shares (in the form of the specimen certificate filed as an exhibit to the Company’s Registration Statement on Form S-1) have</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20,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148336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483360" cy="18859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been manually signed by an authorized officer of the transfer agent and registrar therefor, and subject to the Company completing all actions and proceedings required on its part to be taken prior to the issuance of the Shares, and when the Shares have been issued by the Company in the circumstances contemplated by the Plans for legal consideration in excess of par value, the issuance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9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020"/>
          </w:cols>
          <w:pgMar w:left="440" w:top="274"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1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hereby consent to the incorporation by reference in this Registration Statement of our report dated May 31, 2019, except for Note 16 which is as of August 23, 2019 and the “Reverse Stock Split” paragraph of Note 17 which is as of September 9, 2019, relating to the financial statements of Exagen Inc. (the “Company”), which is included in the Company’s Registration Statement on Form S-1 (333-233446),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jpeg"/><Relationship Id="rId41" Type="http://schemas.openxmlformats.org/officeDocument/2006/relationships/image" Target="media/image25.png"/><Relationship Id="rId42" Type="http://schemas.openxmlformats.org/officeDocument/2006/relationships/image" Target="media/image26.jpeg"/><Relationship Id="rId16" Type="http://schemas.openxmlformats.org/officeDocument/2006/relationships/hyperlink" Target="http://www.sec.gov/Archives/edgar/data/1274737/000119312519250698/d692844d424b4.htm" TargetMode="External"/><Relationship Id="rId17" Type="http://schemas.openxmlformats.org/officeDocument/2006/relationships/hyperlink" Target="http://www.sec.gov/Archives/edgar/data/1274737/000119312519244881/d756255d8a12b.htm" TargetMode="External"/><Relationship Id="rId21" Type="http://schemas.openxmlformats.org/officeDocument/2006/relationships/hyperlink" Target="http://www.sec.gov/Archives/edgar/data/1274737/000119312519228011/d692844dex33.htm" TargetMode="External"/><Relationship Id="rId22" Type="http://schemas.openxmlformats.org/officeDocument/2006/relationships/hyperlink" Target="http://www.sec.gov/Archives/edgar/data/1274737/000119312519228011/d692844dex34.htm" TargetMode="External"/><Relationship Id="rId23" Type="http://schemas.openxmlformats.org/officeDocument/2006/relationships/hyperlink" Target="http://www.sec.gov/Archives/edgar/data/1274737/000119312519240403/d692844dex41.htm" TargetMode="External"/><Relationship Id="rId24" Type="http://schemas.openxmlformats.org/officeDocument/2006/relationships/hyperlink" Target="http://www.sec.gov/Archives/edgar/data/1274737/000119312519228011/d692844dex101.htm" TargetMode="External"/><Relationship Id="rId25" Type="http://schemas.openxmlformats.org/officeDocument/2006/relationships/hyperlink" Target="http://www.sec.gov/Archives/edgar/data/1274737/000119312519228011/d692844dex102.htm" TargetMode="External"/><Relationship Id="rId26" Type="http://schemas.openxmlformats.org/officeDocument/2006/relationships/hyperlink" Target="http://www.sec.gov/Archives/edgar/data/1274737/000119312519240403/d692844dex103.htm" TargetMode="External"/><Relationship Id="rId27" Type="http://schemas.openxmlformats.org/officeDocument/2006/relationships/hyperlink" Target="http://www.sec.gov/Archives/edgar/data/1274737/000119312519240403/d692844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2019-12-15T08:29:36Z</dcterms:created>
  <dcterms:modified xsi:type="dcterms:W3CDTF">2019-12-15T08:29:36Z</dcterms:modified>
</cp:coreProperties>
</file>