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83702d424b5.htm"/>
        <w:bookmarkStart w:id="1" w:name="ksd783702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424(b)(5) </w:t>
        <w:br/>
        <w:t xml:space="preserve">Registration No. 333-275632 </w:t>
      </w:r>
    </w:p>
    <w:p>
      <w:pPr>
        <w:pStyle w:val="TextBody"/>
        <w:bidi w:val="0"/>
        <w:spacing w:before="0" w:after="0"/>
        <w:jc w:val="left"/>
        <w:rPr/>
      </w:pPr>
      <w:r>
        <w:rPr/>
        <w:t> </w:t>
      </w:r>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supplement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they are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color w:val="FF4338"/>
          <w:sz w:val="20"/>
        </w:rPr>
      </w:pPr>
      <w:r>
        <w:rPr>
          <w:rFonts w:ascii="Times New Roman" w:hAnsi="Times New Roman"/>
          <w:b/>
          <w:color w:val="FF4338"/>
          <w:sz w:val="20"/>
        </w:rPr>
        <w:t>SUBJECT TO COMPLETION, DATED MAY 7</w:t>
      </w:r>
      <w:r>
        <w:rPr>
          <w:rFonts w:ascii="Times New Roman" w:hAnsi="Times New Roman"/>
          <w:b/>
          <w:i/>
          <w:color w:val="FF4338"/>
          <w:sz w:val="20"/>
        </w:rPr>
        <w:t xml:space="preserve">, </w:t>
      </w:r>
      <w:r>
        <w:rPr>
          <w:rFonts w:ascii="Times New Roman" w:hAnsi="Times New Roman"/>
          <w:b/>
          <w:color w:val="FF4338"/>
          <w:sz w:val="20"/>
        </w:rPr>
        <w:t xml:space="preserve">2025.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PRELIMINARY PROSPECTUS SUPPLEMENT </w:t>
      </w:r>
    </w:p>
    <w:p>
      <w:pPr>
        <w:pStyle w:val="TextBody"/>
        <w:bidi w:val="0"/>
        <w:spacing w:before="0" w:after="0"/>
        <w:ind w:left="960" w:right="960" w:hanging="0"/>
        <w:jc w:val="left"/>
        <w:rPr>
          <w:rFonts w:ascii="Times New Roman" w:hAnsi="Times New Roman"/>
          <w:b/>
          <w:sz w:val="20"/>
        </w:rPr>
      </w:pPr>
      <w:r>
        <w:rPr>
          <w:rFonts w:ascii="Times New Roman" w:hAnsi="Times New Roman"/>
          <w:b/>
          <w:sz w:val="20"/>
        </w:rPr>
        <w:t xml:space="preserve">(To Prospectus dated November 29, 2023)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659255" cy="6235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9255" cy="623570"/>
                    </a:xfrm>
                    <a:prstGeom prst="rect">
                      <a:avLst/>
                    </a:prstGeom>
                  </pic:spPr>
                </pic:pic>
              </a:graphicData>
            </a:graphic>
          </wp:inline>
        </w:drawing>
      </w:r>
      <w:r>
        <w:rPr/>
        <w:t xml:space="preserve"> </w:t>
      </w:r>
    </w:p>
    <w:p>
      <w:pPr>
        <w:pStyle w:val="TextBody"/>
        <w:bidi w:val="0"/>
        <w:spacing w:before="480" w:after="0"/>
        <w:ind w:left="960" w:right="960" w:hanging="0"/>
        <w:jc w:val="center"/>
        <w:rPr>
          <w:rFonts w:ascii="Times New Roman" w:hAnsi="Times New Roman"/>
          <w:b/>
          <w:sz w:val="28"/>
        </w:rPr>
      </w:pPr>
      <w:r>
        <w:rPr>
          <w:rFonts w:ascii="Times New Roman" w:hAnsi="Times New Roman"/>
          <w:b/>
          <w:sz w:val="28"/>
        </w:rPr>
        <w:t xml:space="preserve">Shares of Common Stock </w:t>
      </w:r>
    </w:p>
    <w:p>
      <w:pPr>
        <w:pStyle w:val="TextBody"/>
        <w:bidi w:val="0"/>
        <w:spacing w:before="480" w:after="0"/>
        <w:ind w:left="960" w:right="960" w:hanging="0"/>
        <w:jc w:val="left"/>
        <w:rPr>
          <w:rFonts w:ascii="Times New Roman" w:hAnsi="Times New Roman"/>
          <w:sz w:val="18"/>
        </w:rPr>
      </w:pPr>
      <w:r>
        <w:rPr>
          <w:rFonts w:ascii="Times New Roman" w:hAnsi="Times New Roman"/>
          <w:sz w:val="18"/>
        </w:rPr>
        <w:t xml:space="preserve">We are offering    shares of our common stock. </w:t>
      </w:r>
    </w:p>
    <w:p>
      <w:pPr>
        <w:pStyle w:val="TextBody"/>
        <w:bidi w:val="0"/>
        <w:spacing w:before="240" w:after="0"/>
        <w:ind w:left="960" w:right="960" w:hanging="0"/>
        <w:jc w:val="left"/>
        <w:rPr>
          <w:rFonts w:ascii="Times New Roman" w:hAnsi="Times New Roman"/>
          <w:sz w:val="18"/>
        </w:rPr>
      </w:pPr>
      <w:r>
        <w:rPr>
          <w:rFonts w:ascii="Times New Roman" w:hAnsi="Times New Roman"/>
          <w:sz w:val="18"/>
        </w:rPr>
        <w:t xml:space="preserve">Our common stock is listed on The Nasdaq Global Market under the symbol XGN. On May 6, 2025, the last reported sale price of our common stock on The Nasdaq Global Market was $6.42 per share. </w:t>
      </w:r>
    </w:p>
    <w:p>
      <w:pPr>
        <w:pStyle w:val="TextBody"/>
        <w:bidi w:val="0"/>
        <w:spacing w:before="240" w:after="0"/>
        <w:ind w:left="960" w:right="960" w:hanging="0"/>
        <w:jc w:val="left"/>
        <w:rPr>
          <w:rFonts w:ascii="Times New Roman" w:hAnsi="Times New Roman"/>
          <w:sz w:val="18"/>
        </w:rPr>
      </w:pPr>
      <w:r>
        <w:rPr>
          <w:rFonts w:ascii="Times New Roman" w:hAnsi="Times New Roman"/>
          <w:sz w:val="18"/>
        </w:rPr>
        <w:t xml:space="preserve">We are a smaller reporting company as defined under the federal securities laws, and, as such, have elected to comply with certain reduced public company reporting requirements for future filings. See Prospectus Supplement SummaryImplications of Being a Smaller Reporting Company. </w:t>
      </w:r>
    </w:p>
    <w:p>
      <w:pPr>
        <w:pStyle w:val="TextBody"/>
        <w:bidi w:val="0"/>
        <w:spacing w:before="240" w:after="0"/>
        <w:ind w:left="960" w:right="960" w:hanging="0"/>
        <w:jc w:val="left"/>
        <w:rPr/>
      </w:pPr>
      <w:r>
        <w:rPr>
          <w:rFonts w:ascii="Times New Roman" w:hAnsi="Times New Roman"/>
          <w:b/>
          <w:sz w:val="18"/>
        </w:rPr>
        <w:t>Investing in our common stock involves a high degree of risk. Please read </w:t>
      </w:r>
      <w:hyperlink w:anchor="suptoc783702_4">
        <w:r>
          <w:rPr>
            <w:rStyle w:val="InternetLink"/>
            <w:rFonts w:ascii="Times New Roman" w:hAnsi="Times New Roman"/>
            <w:b/>
            <w:sz w:val="18"/>
          </w:rPr>
          <w:t>Risk Factors</w:t>
        </w:r>
      </w:hyperlink>
      <w:r>
        <w:rPr>
          <w:rFonts w:ascii="Times New Roman" w:hAnsi="Times New Roman"/>
          <w:b/>
          <w:sz w:val="18"/>
        </w:rPr>
        <w:t xml:space="preserve"> beginning on page S-8 of this prospectus supplement and under similar headings in documents incorporated by reference into this prospectus supplement. </w:t>
      </w:r>
    </w:p>
    <w:p>
      <w:pPr>
        <w:pStyle w:val="TextBody"/>
        <w:bidi w:val="0"/>
        <w:spacing w:before="240" w:after="0"/>
        <w:ind w:left="960" w:right="960" w:hanging="0"/>
        <w:jc w:val="left"/>
        <w:rPr>
          <w:rFonts w:ascii="Times New Roman" w:hAnsi="Times New Roman"/>
          <w:b/>
          <w:sz w:val="18"/>
        </w:rPr>
      </w:pPr>
      <w:r>
        <w:rPr>
          <w:rFonts w:ascii="Times New Roman" w:hAnsi="Times New Roman"/>
          <w:b/>
          <w:sz w:val="18"/>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960" w:right="960" w:hanging="0"/>
        <w:jc w:val="left"/>
        <w:rPr/>
      </w:pPr>
      <w:r>
        <w:rPr/>
        <w:t> </w:t>
      </w:r>
    </w:p>
    <w:tbl>
      <w:tblPr>
        <w:tblW w:w="4200" w:type="pct"/>
        <w:jc w:val="center"/>
        <w:tblInd w:w="0" w:type="dxa"/>
        <w:tblLayout w:type="fixed"/>
        <w:tblCellMar>
          <w:top w:w="0" w:type="dxa"/>
          <w:left w:w="0" w:type="dxa"/>
          <w:bottom w:w="0" w:type="dxa"/>
          <w:right w:w="0" w:type="dxa"/>
        </w:tblCellMar>
      </w:tblPr>
      <w:tblGrid>
        <w:gridCol w:w="5423"/>
        <w:gridCol w:w="337"/>
        <w:gridCol w:w="173"/>
        <w:gridCol w:w="989"/>
        <w:gridCol w:w="74"/>
        <w:gridCol w:w="337"/>
        <w:gridCol w:w="172"/>
        <w:gridCol w:w="989"/>
        <w:gridCol w:w="78"/>
      </w:tblGrid>
      <w:tr>
        <w:trPr/>
        <w:tc>
          <w:tcPr>
            <w:tcW w:w="5423"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5423"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74"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8" w:type="dxa"/>
            <w:tcBorders/>
            <w:vAlign w:val="bottom"/>
          </w:tcPr>
          <w:p>
            <w:pPr>
              <w:pStyle w:val="TableContents"/>
              <w:bidi w:val="0"/>
              <w:spacing w:before="0" w:after="283"/>
              <w:jc w:val="left"/>
              <w:rPr/>
            </w:pPr>
            <w:r>
              <w:rPr/>
              <w:t> </w:t>
            </w:r>
          </w:p>
        </w:tc>
      </w:tr>
      <w:tr>
        <w:trPr/>
        <w:tc>
          <w:tcPr>
            <w:tcW w:w="542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Public offering price</w:t>
            </w:r>
          </w:p>
        </w:tc>
        <w:tc>
          <w:tcPr>
            <w:tcW w:w="337"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r>
      <w:tr>
        <w:trPr/>
        <w:tc>
          <w:tcPr>
            <w:tcW w:w="5423" w:type="dxa"/>
            <w:tcBorders/>
          </w:tcPr>
          <w:p>
            <w:pPr>
              <w:pStyle w:val="TableContents"/>
              <w:bidi w:val="0"/>
              <w:spacing w:before="0" w:after="0"/>
              <w:jc w:val="left"/>
              <w:rPr>
                <w:rFonts w:ascii="Times New Roman" w:hAnsi="Times New Roman"/>
                <w:sz w:val="18"/>
              </w:rPr>
            </w:pPr>
            <w:r>
              <w:rPr>
                <w:rFonts w:ascii="Times New Roman" w:hAnsi="Times New Roman"/>
                <w:sz w:val="18"/>
              </w:rPr>
              <w:t>Underwriting discounts and commissions(1)</w:t>
            </w:r>
          </w:p>
        </w:tc>
        <w:tc>
          <w:tcPr>
            <w:tcW w:w="337"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r>
      <w:tr>
        <w:trPr/>
        <w:tc>
          <w:tcPr>
            <w:tcW w:w="542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to us before expenses</w:t>
            </w:r>
          </w:p>
        </w:tc>
        <w:tc>
          <w:tcPr>
            <w:tcW w:w="337"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ind w:left="960" w:right="960" w:hanging="0"/>
        <w:jc w:val="left"/>
        <w:rPr>
          <w:bdr w:val="single" w:sz="2" w:space="1" w:color="000000"/>
        </w:rPr>
      </w:pPr>
      <w:r>
        <w:rPr>
          <w:bdr w:val="single" w:sz="2" w:space="1" w:color="000000"/>
        </w:rPr>
        <w:t> </w:t>
      </w:r>
    </w:p>
    <w:tbl>
      <w:tblPr>
        <w:tblW w:w="5000" w:type="pct"/>
        <w:jc w:val="left"/>
        <w:tblInd w:w="96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We have agreed to reimburse the underwriter for certain expenses. See Underwriting beginning on page S-22 of this prospectus supplement. </w:t>
            </w:r>
          </w:p>
        </w:tc>
      </w:tr>
    </w:tbl>
    <w:p>
      <w:pPr>
        <w:pStyle w:val="TextBody"/>
        <w:bidi w:val="0"/>
        <w:spacing w:before="240" w:after="0"/>
        <w:ind w:left="960" w:right="960" w:hanging="0"/>
        <w:jc w:val="left"/>
        <w:rPr>
          <w:rFonts w:ascii="Times New Roman" w:hAnsi="Times New Roman"/>
          <w:sz w:val="18"/>
        </w:rPr>
      </w:pPr>
      <w:r>
        <w:rPr>
          <w:rFonts w:ascii="Times New Roman" w:hAnsi="Times New Roman"/>
          <w:sz w:val="18"/>
        </w:rPr>
        <w:t xml:space="preserve">We have granted the underwriter an option to purchase up to additional shares of common stock from us at the public offering price, less underwriting discounts and commissions. The underwriter can exercise this right at any time within 30 days after the date of this prospectus supplement. </w:t>
      </w:r>
    </w:p>
    <w:p>
      <w:pPr>
        <w:pStyle w:val="TextBody"/>
        <w:bidi w:val="0"/>
        <w:spacing w:before="240" w:after="0"/>
        <w:ind w:left="960" w:right="960" w:hanging="0"/>
        <w:jc w:val="left"/>
        <w:rPr>
          <w:rFonts w:ascii="Times New Roman" w:hAnsi="Times New Roman"/>
          <w:sz w:val="18"/>
        </w:rPr>
      </w:pPr>
      <w:r>
        <w:rPr>
          <w:rFonts w:ascii="Times New Roman" w:hAnsi="Times New Roman"/>
          <w:sz w:val="18"/>
        </w:rPr>
        <w:t xml:space="preserve">The underwriter expects to deliver the shares of common stock to purchasers on or about    , 2025. </w:t>
      </w:r>
    </w:p>
    <w:p>
      <w:pPr>
        <w:pStyle w:val="TextBody"/>
        <w:bidi w:val="0"/>
        <w:spacing w:before="480" w:after="0"/>
        <w:ind w:left="960" w:right="960" w:hanging="0"/>
        <w:jc w:val="center"/>
        <w:rPr>
          <w:rFonts w:ascii="Times New Roman" w:hAnsi="Times New Roman"/>
          <w:sz w:val="20"/>
        </w:rPr>
      </w:pPr>
      <w:r>
        <w:rPr>
          <w:rFonts w:ascii="Times New Roman" w:hAnsi="Times New Roman"/>
          <w:i/>
          <w:sz w:val="20"/>
        </w:rPr>
        <w:t>Sole Bookrunner</w:t>
      </w:r>
      <w:r>
        <w:rPr>
          <w:rFonts w:ascii="Times New Roman" w:hAnsi="Times New Roman"/>
          <w:sz w:val="20"/>
        </w:rPr>
        <w:t xml:space="preserve"> </w:t>
      </w:r>
    </w:p>
    <w:p>
      <w:pPr>
        <w:pStyle w:val="TextBody"/>
        <w:bidi w:val="0"/>
        <w:spacing w:before="360" w:after="0"/>
        <w:ind w:left="960" w:right="960" w:hanging="0"/>
        <w:jc w:val="center"/>
        <w:rPr>
          <w:rFonts w:ascii="Times New Roman" w:hAnsi="Times New Roman"/>
          <w:b/>
          <w:sz w:val="32"/>
        </w:rPr>
      </w:pPr>
      <w:r>
        <w:rPr>
          <w:rFonts w:ascii="Times New Roman" w:hAnsi="Times New Roman"/>
          <w:b/>
          <w:sz w:val="32"/>
        </w:rPr>
        <w:t xml:space="preserve">Canaccord Genuity </w:t>
      </w:r>
    </w:p>
    <w:p>
      <w:pPr>
        <w:pStyle w:val="TextBody"/>
        <w:bidi w:val="0"/>
        <w:spacing w:before="600" w:after="0"/>
        <w:ind w:left="960" w:right="960" w:hanging="0"/>
        <w:jc w:val="center"/>
        <w:rPr>
          <w:rFonts w:ascii="Times New Roman" w:hAnsi="Times New Roman"/>
          <w:b/>
          <w:sz w:val="18"/>
        </w:rPr>
      </w:pPr>
      <w:r>
        <w:rPr>
          <w:rFonts w:ascii="Times New Roman" w:hAnsi="Times New Roman"/>
          <w:b/>
          <w:sz w:val="18"/>
        </w:rPr>
        <w:t xml:space="preserve">The date of this prospectus supplement is    , 2025. </w:t>
      </w:r>
    </w:p>
    <w:p>
      <w:pPr>
        <w:pStyle w:val="TextBody"/>
        <w:bidi w:val="0"/>
        <w:spacing w:before="0" w:after="0"/>
        <w:ind w:left="960" w:right="960" w:hanging="0"/>
        <w:jc w:val="left"/>
        <w:rPr/>
      </w:pPr>
      <w:r>
        <w:rPr/>
        <w:t>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2">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3">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5">
              <w:r>
                <w:rPr>
                  <w:rStyle w:val="InternetLink"/>
                  <w:rFonts w:ascii="Times New Roman" w:hAnsi="Times New Roman"/>
                  <w:sz w:val="20"/>
                </w:rPr>
                <w:t>CAUTIONARY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7">
              <w:r>
                <w:rPr>
                  <w:rStyle w:val="InternetLink"/>
                  <w:rFonts w:ascii="Times New Roman" w:hAnsi="Times New Roman"/>
                  <w:sz w:val="20"/>
                </w:rPr>
                <w:t>DIVIDEND POLICY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8">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9">
              <w:r>
                <w:rPr>
                  <w:rStyle w:val="InternetLink"/>
                  <w:rFonts w:ascii="Times New Roman" w:hAnsi="Times New Roman"/>
                  <w:sz w:val="20"/>
                </w:rPr>
                <w:t>DESCRIPTION OF SECURITIES OFFERED</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10">
              <w:r>
                <w:rPr>
                  <w:rStyle w:val="InternetLink"/>
                  <w:rFonts w:ascii="Times New Roman" w:hAnsi="Times New Roman"/>
                  <w:sz w:val="20"/>
                </w:rPr>
                <w:t>MATERIAL U.S. FEDERAL INCOME TAX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11">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12">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13">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14">
              <w:r>
                <w:rPr>
                  <w:rStyle w:val="InternetLink"/>
                  <w:rFonts w:ascii="Times New Roman" w:hAnsi="Times New Roman"/>
                  <w:sz w:val="20"/>
                </w:rPr>
                <w:t>WHERE YOU CAN FIND MORE INFORMATION; INCORPORATION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783702_1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783702_12">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783702_1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783702_14">
              <w:r>
                <w:rPr>
                  <w:rStyle w:val="InternetLink"/>
                  <w:rFonts w:ascii="Times New Roman" w:hAnsi="Times New Roman"/>
                  <w:sz w:val="20"/>
                </w:rPr>
                <w:t>CAUTIONARY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783702_1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783702_16">
              <w:r>
                <w:rPr>
                  <w:rStyle w:val="InternetLink"/>
                  <w:rFonts w:ascii="Times New Roman" w:hAnsi="Times New Roman"/>
                  <w:sz w:val="20"/>
                </w:rPr>
                <w:t>DIVIDEND POLICY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783702_17">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783702_18">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783702_19">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783702_110">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783702_111">
              <w:r>
                <w:rPr>
                  <w:rStyle w:val="InternetLink"/>
                  <w:rFonts w:ascii="Times New Roman" w:hAnsi="Times New Roman"/>
                  <w:sz w:val="20"/>
                </w:rPr>
                <w:t>GLOBAL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783702_112">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783702_113">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783702_114">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783702_115">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783702_116">
              <w:r>
                <w:rPr>
                  <w:rStyle w:val="InternetLink"/>
                  <w:rFonts w:ascii="Times New Roman" w:hAnsi="Times New Roman"/>
                  <w:sz w:val="20"/>
                </w:rPr>
                <w:t>INCORPORATION OF DOCUMENTS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toc783702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relate to an offering of our common stock. Before buying any of the common stock that we are offering, we urge you to carefully read this prospectus supplement and the accompanying prospectus, together with the information incorporated by reference as described under the headings Where You Can Find More Information and Incorporation by Reference in this prospectus supplement. These documents contain important information that you should consider when making your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terms of this offering of common stock and also adds to, updates and changes information contained in the accompanying prospectus and the documents incorporated by reference herein and therein. The second part is the accompanying prospectus, which provides more general information, some of which may not apply to this offering. To the extent the information contained in this prospectus supplement differs from or conflicts with the information contained in the accompanying prospectus or any document incorporated by reference herein and therein having an earlier date, the information in this prospectus supplement will control. If any statement in one of these documents is inconsistent with a statement in another document having a later datefor example, a document incorporated by reference into this prospectus supplement and the accompanying prospectusthe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not, and the underwriter has not, authorized anyone to provide you with information different from that which is contained in or incorporated by reference in this prospectus supplement, the accompanying prospectus and in any free writing prospectus that we may authorize for use in connection with this offering. Neither we, nor the underwriter, take any responsibility for, and can provide no assurance as to the reliability of, any other information that others may give you.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do not constitute an offer to sell, or a solicitation of an offer to purchase, the securities offered by this prospectus supplement and the accompanying prospectus in any jurisdiction to or from any person to whom or from whom it is unlawful to make such offer or solicitation of an offer in such jurisdiction. Persons into whose possession this prospectus supplement and the accompanying prospectus come are advised to inform themselves about and to observe any restrictions relating to the offering and the distribution of this prospectus supplement and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assume that the information contained in this prospectus supplement is accurate as of the date on the front cover of this prospectus supplement only and that any information we have incorporated by reference or included in the accompanying prospectus is accurate only as of the date given in the document incorporated by reference or as of the date of the accompanying prospectus, as applicable, regardless of the time of delivery of this prospectus supplement, the accompanying prospectus, any related free writing prospectus, or any sale of our common stock.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into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contain summaries of certain provisions contained in some of the documents described herein, but reference is made to the actual documents for complete information. All of the summaries are qualified in their entirety by the actual documents. Copies of some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documents referred to herein have been or will be filed as exhibits to the registration statement of which this prospectus is a part or as exhibits to documents incorporated by reference herein, and you may obtain copies of those documents as described below under the headings Where You Can Find More Information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provide estimates, projections and other information concerning our industry, the general business environment, and the markets for certain diseases.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included or incorporated by reference in this prospectus supplement, the accompanying prospectus and any free writing prospectus and the documents incorporated by reference into this prospectus supplement.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Exagen, we, our, us and the Company in this prospectus supplement and the accompanying prospectus, we mean Exagen Inc., unless otherwise specified. When we refer to you, we mean the potential holders of the applicable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including the information incorporated by reference herein and therein, and any free writing prospectuses we have authorized for use in connection with this offering, contains registered marks, trademarks and trade names owned by us or other companies, which are the property of their respective owners.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toc783702_2"/>
      <w:bookmarkEnd w:id="4"/>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description about us, our business and this offering highlights selected information contained elsewhere in this prospectus supplement, the accompanying prospectus or incorporated in this prospectus supplement and the accompanying prospectus by reference. This summary does not contain all of the information you should consider before deciding to invest in our common stock. You should carefully read this entire prospectus supplement, the accompanying prospectus, and each of the documents incorporated herein or therein by reference, before making an investment decision. Investors should carefully consider the information set forth under Risk Factors on page S-8 and in the documents incorporated by reference into this prospectus supplement and the accompanying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About Exagen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medical technology company primarily focused on the design, development and commercialization of a next-generation portfolio of innovative testing products under our AVISE® brand, which allow for the differential diagnosis, prognosis and monitoring of complex rheumatic, autoimmune and autoimmune-related disease including, among others, systemic lupus erythematosus and rheumatoid arthritis. We believe our strong focus and extensive background in the field of rheumatology, combined with our commitment to exceptional customer service and support, position us well to respond to the needs of rheumatologists, primary care physicians, other specialists, and the patients they 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tests are used in a variety of clinical settings to provide clarity in autoimmune disease decision-making with the goal of improving patients clinical outcomes. We commercially launched our flagship testing product, AVISE® CTD, in 2012. AVISE® CTD enables differential diagnosis for patients presenting with symptoms indicative of a wide variety of connective tissue diseases (CTDs) and other related diseases with overlapping symptoms. Traditional screening methods often lack accuracy, resulting in repeat testing and delayed diagnosis. With significant increases in autoimmune incidence in recent years, AVISE® CTD provides unique biomarkers that empower clinicians to confidently and quickly diagnose various CTDs.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Beginning in late 2022, we revitalized our organization with the addition of key members to our senior leadership team, including our Chief Executive Officer, Chief Financial Officer, Vice President of Sales, Chief Medical Officer, and Medical and Laboratory Director. By leveraging our teams extensive experience to create clinically distinct solutions that improve patient lives, we have created a strong foundation for growth and believe that we are well-positioned to positively impact patient care and address unmet clinical needs in autoimmune disease. We strive to become a partner of choice for doctors, hospitals, healthcare systems, and payors.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Under the leadership of our Chief Executive Officer, John Aballi, who joined Exagen in October 2022, we have been executing an operational turnaround of the business, which has resulted in a return to revenue growth and gross margin expansion while significantly reducing operating expenses and cash burn.</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April 25, 2025 (the Closing Date), we entered into a Credit Agreement and Guaranty (the Credit Agreement) with Perceptive Credit Holdings IV, LP, as lender and administrative agent (Perceptive), which provides for a senior secured delayed draw term loan facility in an aggregate principal amount of up to $75.0 million (the Perceptive Term Loan Facility). An initial tranche of $25.0 million (the Tranche A Loan) was funded under the Perceptive Term Loan Facility on the Closing Date. In addition to the Tranche A Loan, the Perceptive Term Loan Facility includes (i) available through March 31, 2026, an additional Tranche B Loan in an aggregate amount of up to $10.0 million (the Tranche B Loan), (ii) available from March 31, 2026 through December 31, 2026, an additional Tranche C Loan in an aggregate amount of up to $10.0 million (the Tranche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 Loan) and (iii) until March 31, 2027, an additional Tranche D Loan in an aggregate amount of up to $30.0 million (the Tranche D Loan and together with the Tranche A Loan, the Tranche B Loan, and the Tranche C Loan, the Term Loans), each of which will be accessible by us so long as the Company satisfies certain customary conditions precedent, including specified revenue milestones (the funding date of the Tranche B Loan, the Tranche B Borrowing Date, the funding date of the Tranche C Loan, the Tranche C Borrowing Date, and the funding date of the Tranche D Loan, the Tranche D Borrowing Date) and, for the Tranche D Loan, subject to certain business development milestones. The Perceptive Term Loan Facility has a maturity date of April 25, 2030 (the Maturity Date) and provides for an interest-only period during the term of the loan with principal due at the Maturity Date. The Perceptive Term Loan Facility accrues interest at an annual rate equal to the greater of (a) Term SOFR (as defined in the Credit Agreement) and (b) 4.75% per annum, plus an applicable margin of 7%. Accrued interest on the Term Loans is payable monthly in arrears. These interest rates are subject to adjustment as described further in the Credit Agreement and the Term Loans may be redeemed at a premium as described further in the Credit Agreement. In connection with the Credit Agreement, we also entered into a Security Agreement, dated as of the Closing Date, with Perceptive, pursuant to which all of its obligations under the Credit Agreement are secured by a first lien perfected security interest on substantially all of its existing and after-acquired assets, subject to customary exceptions.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on the Closing Date, as consideration for the Credit Agreement, we issued to Perceptive a warrant certificate (the Warrant Certificate) to purchase up to 1,150,000 shares (the Warrant Shares) of our common stock. 400,000 Warrant Shares (the Tranche A Warrant Shares) vested and became exercisable on the Closing Date, 150,000 Warrant Shares (the Tranche B Warrant Shares) will vest and become exercisable on the Tranche B Borrowing Date, 150,000 Warrant Shares (the Tranche C Warrant Shares) will vest and become exercisable on the Tranche C Borrowing Date and 450,000 Warrant Shares (the Tranche D Warrant Shares) will vest and become exercisable on the Tranche D Borrowing Date, if such borrowing is made. The per share exercise price for (i) 50% of the Tranche A Warrant Shares is $4.96 and (ii) the remaining balance of the Tranche A Warrant Shares is $5.58. Additionally, the per share exercise price for (i) 50% of each of the Tranche B Warrant Shares, the Tranche C Warrant Shares and the Tranche D Warrant Shares will be equal to the 10-day VWAP of the common stock on the business day immediately preceding the Tranche B Borrowing Date, Tranche C Borrowing Date and Tranche D Borrowing Date, as applicable, and (ii) the remaining balance of each of the Tranche B Warrant Shares, the Tranche C Warrant Shares and the Tranche D Warrant Shares will be equal to 1.125 multiplied by the 10-day VWAP of the common stock on the business day immediately preceding the Tranche B Borrowing Date, Tranche C Borrowing Date and Tranche D Borrowing Date, respectively. The Warrant Certificate will be exercisable, in whole or in part, until the 10th anniversary of the applicable vesting date, and may be exercised on a cashless or net basis. Our net proceeds from the Tranche A Loan were approximately $22.8 million, after deducting estimated debt issuance costs, fees and expenses. Out of these proceeds, we repaid our outstanding obligations pursuant to our credit facility with Innovatus Life Sciences Lending Fund I, LP.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New Mexico in 2002, under the name Exagen Corporation. In 2003, we changed our state of incorporation from New Mexico to Delaware by merging with and into Exagen Diagnostics, Inc., pursuant to which we changed our name to Exagen Diagnostics, Inc. In January 2019, we changed our name to Exagen Inc. Our principal executive offices are located at 1261 Liberty Way, Vista, California 92081. Our telephone number is (760) 560-1501. Our website address is www.exagen.com. The information contained in, or accessible through, our website is not part of, and is not incorporated by reference into, this prospectus supplement. Investors should not rely on any such information in deciding whether to purchase our common stock, and you should not consider any information contained in, or that can be accessed through, our website as part of this prospectus supplement or in deciding whether to purchase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as defined in the Securities and Exchange Act of 1934, as amended (the Exchange Act). Smaller reporting companies may take advantage of certain scaled disclosure obligations. We will remain a smaller reporting company until the last day of the fiscal year in which (1) the aggregate value of our voting and non-voting common stock held by non-affiliates equaled or exceeded $250.0 million on the last business day of our second fiscal quarter, or (2) our annual revenues equaled or exceeded $100.0 million during such completed fiscal year and the value of our voting and non-voting common stock held by non-affiliates equaled or exceeded $700.0 million measured on the last business day of our second fiscal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toc783702_3"/>
      <w:bookmarkEnd w:id="5"/>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to be offered by us</w:t>
            </w:r>
            <w:r>
              <w:rPr>
                <w:rFonts w:ascii="Times New Roman" w:hAnsi="Times New Roman"/>
                <w:sz w:val="20"/>
              </w:rPr>
              <w:t xml:space="preserve"> </w:t>
            </w:r>
          </w:p>
        </w:tc>
        <w:tc>
          <w:tcPr>
            <w:tcW w:w="6328" w:type="dxa"/>
            <w:tcBorders/>
          </w:tcPr>
          <w:p>
            <w:pPr>
              <w:pStyle w:val="TableContents"/>
              <w:bidi w:val="0"/>
              <w:spacing w:before="0" w:after="283"/>
              <w:jc w:val="left"/>
              <w:rPr/>
            </w:pPr>
            <w:r>
              <w:rPr/>
              <w:t>   </w:t>
            </w:r>
            <w:r>
              <w:rPr/>
              <w:t xml:space="preserve">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Underwriters option to purchase additional shares from us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We have granted the underwriter an option for a period of 30 days from the date of this prospectus supplement to purchase up to an additional   shares of our common stock from us at the public offering price, less underwriting discounts and commissions.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to be outstanding after this offering</w:t>
            </w:r>
            <w:r>
              <w:rPr>
                <w:rFonts w:ascii="Times New Roman" w:hAnsi="Times New Roman"/>
                <w:sz w:val="20"/>
              </w:rPr>
              <w:t xml:space="preserve"> </w:t>
            </w:r>
          </w:p>
        </w:tc>
        <w:tc>
          <w:tcPr>
            <w:tcW w:w="6328" w:type="dxa"/>
            <w:tcBorders/>
          </w:tcPr>
          <w:p>
            <w:pPr>
              <w:pStyle w:val="TableContents"/>
              <w:bidi w:val="0"/>
              <w:spacing w:before="0" w:after="283"/>
              <w:jc w:val="left"/>
              <w:rPr/>
            </w:pPr>
            <w:r>
              <w:rPr/>
              <w:t>    </w:t>
            </w:r>
            <w:r>
              <w:rPr/>
              <w:t xml:space="preserve">shares of common stock (or   shares if the underwriter exercises its option to purchase additional shares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We estimate that the net proceeds from this offering will be approximately $   million, or approximately $   million if the underwriter exercises its option to purchase additional shares in full, after deducting underwriting discounts and commissions and offering expenses payable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We intend to use the net proceeds from the sale of the common stock offered by us hereunder for working capital and other general corporate purposes. We may also use a portion of the net proceeds from this offering to acquire, in-license or invest in products, technologies or businesses that complement our business. However, we do not have binding agreements or commitments for any acquisitions or investments outside the ordinary course of business at this time. See Use of Proceeds on page S-12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Investing in our common stock involves a high degree of risk. See Risk Factors beginning on page S-8 of this prospectus supplement and other information included and incorporated by reference in this prospectus supplement and the accompanying prospectus for a discussion of factors you should carefully consider before deciding to invest in 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Nasdaq Global Market symbol</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XGN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common stock that will be outstanding after this offering is based on 17,950,033 shares of common stock outstanding as of March 31, 2025, and excludes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608,146 shares of our common stock issuable upon the exercise of stock options outstanding as of March 31, 2025 under our equity incentive plans at a weighted-average exercise price of $8.60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1,822,547 restricted stock units (RSUs), outstanding as of March 31, 2025 under our equity incentive plans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619,593 shares of our common stock reserved as of March 31, 2025 for future issuance under our 2019 Employee Stock Purchase Plan (the ESPP);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2,434,666 shares of our common stock reserved as of March 31, 2025 for future issuance under our 2019 Incentive Award Plan (the 2019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1,130,281 shares of our common stock issuable upon the exercise of warrants outstanding as of March 31, 2025 at a weighted-average exercise price of $0.76 per share;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1,150,000 shares of our common stock issuable upon the vesting and exercise of the Warrant Certificate issued to Perceptive with 200,000 of such vested shares having an exercise price of $4.96 per share, 200,000 of such vested shares having an exercise price of $5.58 per share and the remaining shares of common stock issuable thereunder subject to vesting and exercise prices based upon the future trading prices of our common stock.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in this prospectus supplement: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reflect the potential issuance of shares of common stock that remain available for sale as of the date of this prospectus supplement under our at-the-market offering program, pursuant to which we may sell our common stock from time to time under our sales agreement between us and TD Securities (USA) LLC, dated as of September 15, 2022, as amended on November 17, 2023;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no exercise of the outstanding options or warrants described above;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no exercise by the underwriter of its option to purchase additional shares from 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toc783702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any securities offered pursuant to this prospectus supplement and the accompanying prospectus involves risks. You should carefully consider the risk factors included in our most recent Annual Report on Form 10-K and any subsequent Annual Reports on Form 10-K, Quarterly Reports on Form 10-Q or Current Reports on Form 8-K we file after the date of this prospectus supplement, and all other information contained or incorporated by reference into this prospectus supplement and the accompanying prospectus, as updated by our subsequent filings under the Exchange Act. The occurrence of any of these risks might cause you to lose all or part of your investment in the offered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Management will have broad discretion over the use of the proceeds from this offering, and may not use the proceeds effectively.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will have broad discretion with respect to the use of proceeds of this offering, including for any of the purposes described in the section of this prospectus supplement entitled Use of Proceeds. Our management may use the net proceeds for corporate purposes that may not improve our financial condition or market value. Pending use, we may invest any net proceeds from this offering in a manner that does not produce income or loses value. Accordingly, you will be relying on the judgment of our management with regard to the use of these net proceeds, and you will not have the opportunity, as part of your investment decision, to assess whether the proceeds are being used appropriately. Our failure to apply these funds effectively could harm our business and cause the price of our common stock to decline. Please see the section entitled Use of Proceeds on page S-12 of this prospectus supplement for further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immediate and substantial dilution in the net tangible book value per share of the common stock you purchase. </w:t>
      </w:r>
    </w:p>
    <w:p>
      <w:pPr>
        <w:pStyle w:val="TextBody"/>
        <w:bidi w:val="0"/>
        <w:spacing w:before="120" w:after="0"/>
        <w:jc w:val="left"/>
        <w:rPr>
          <w:rFonts w:ascii="Times New Roman" w:hAnsi="Times New Roman"/>
          <w:sz w:val="20"/>
        </w:rPr>
      </w:pPr>
      <w:r>
        <w:rPr>
          <w:rFonts w:ascii="Times New Roman" w:hAnsi="Times New Roman"/>
          <w:sz w:val="20"/>
        </w:rPr>
        <w:t xml:space="preserve">If you purchase our common stock in this offering, you will incur an immediate dilution of $   in net tangible book value (deficit) per share from the price you paid, based on the public offering price of $    per share, and assuming no exercise of the underwriters option to purchase additional shares. The exercise of outstanding options or warrants, and vesting and settlement of service-based restricted stock units and performance-based restricted stock units will result in further dilution. For a further description of the dilution that you will experience immediately after this offering, see the section titled Dilution.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future dilution as a result of future equity offerings. </w:t>
      </w:r>
    </w:p>
    <w:p>
      <w:pPr>
        <w:pStyle w:val="TextBody"/>
        <w:bidi w:val="0"/>
        <w:spacing w:before="120" w:after="0"/>
        <w:jc w:val="left"/>
        <w:rPr>
          <w:rFonts w:ascii="Times New Roman" w:hAnsi="Times New Roman"/>
          <w:sz w:val="20"/>
        </w:rPr>
      </w:pPr>
      <w:r>
        <w:rPr>
          <w:rFonts w:ascii="Times New Roman" w:hAnsi="Times New Roman"/>
          <w:sz w:val="20"/>
        </w:rPr>
        <w:t xml:space="preserve">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or exchangeable into common stock, in future transactions may be higher or lower than the price per share paid by investors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and trading volume of our stock may be volatile. </w:t>
      </w:r>
    </w:p>
    <w:p>
      <w:pPr>
        <w:pStyle w:val="TextBody"/>
        <w:bidi w:val="0"/>
        <w:spacing w:before="120" w:after="0"/>
        <w:jc w:val="left"/>
        <w:rPr>
          <w:rFonts w:ascii="Times New Roman" w:hAnsi="Times New Roman"/>
          <w:sz w:val="20"/>
        </w:rPr>
      </w:pPr>
      <w:r>
        <w:rPr>
          <w:rFonts w:ascii="Times New Roman" w:hAnsi="Times New Roman"/>
          <w:sz w:val="20"/>
        </w:rPr>
        <w:t xml:space="preserve">The price of our common stock has been and may continue to be volatile. Even though our common stock is listed on The Nasdaq Global Market, an active trading market for our common stock may not be sustained. The lack of an active trading market may impair the value of your shares and your ability to sell your shares at the time you wish to sell them. An inactive trading market may also impair our ability to raise capital by selling shares of our common stock and enter into strategic partnerships or acquire other complementary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technologies or businesses by using shares of our common stock as consideration. Furthermore, there can be no guarantee that we will continue to satisfy the continued listing standards of The Nasdaq Global Market. If we fail to satisfy the continued listing standards, we could be de-listed, which would have a negative effect on the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the prices at which our shares of common stock may trade. The market price of our common stock is likely to be highly volatile and may fluctuate substantially due to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variations in our and our competitors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or our competitors of new products, strategic partnerships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reimbursement by current or potential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issuance of new securities analysts reports or changed recommendations for our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changes in regulatory oversight of our testing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or disputes concerning our intellectual property or other proprietary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commencement of, or our involvement in,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announced or completed acquisitions of businesses or technologies by us or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major change in our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 or expectation of additional financing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our common stock by our executive officers, directors and other stockholders;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conditions and slow or negative growth of our markets, including as a result of the current conflicts in the Ukraine and the Middle East.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recent years, the 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from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expect to pay dividends in the foreseeable future. As a result, you may have to rely on stock appreciation for any return on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We do not anticipate paying cash dividends on our common stock in the foreseeable future. In addition, our ability to pay cash dividends is currently prohibited by the terms of our Credit Agreement with Perceptive. Any payment of cash dividends will, among other things and in addition to being subject to the terms of our Credit Agreement with Perceptive, depend on our financial condition, results of operations, capital requirements and other factors and will be at the discretion of our board of directors. Accordingly, you may have to rely on capital </w:t>
      </w:r>
    </w:p>
    <w:p>
      <w:pPr>
        <w:pStyle w:val="TextBody"/>
        <w:bidi w:val="0"/>
        <w:spacing w:before="0" w:after="0"/>
        <w:jc w:val="left"/>
        <w:rPr>
          <w:rFonts w:ascii="Times New Roman" w:hAnsi="Times New Roman"/>
          <w:sz w:val="20"/>
        </w:rPr>
      </w:pPr>
      <w:r>
        <w:rPr>
          <w:rFonts w:ascii="Times New Roman" w:hAnsi="Times New Roman"/>
          <w:sz w:val="20"/>
        </w:rPr>
        <w:t xml:space="preserve">appreciation, if any, to earn a return on your investment in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toc783702_5"/>
      <w:bookmarkEnd w:id="7"/>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including documents incorporated by reference herein and therein, and any free writing prospectus that we have authorized for use in connection with this offering, contain forward-looking statements within the meaning of Section 27A of the Securities Act of 1933, as amended, or Securities Act, and Section 21E of the Securities Exchange Act of 1934, as amended, or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words believe, may, will, potentially, estimate, continue, anticipate, intend, could, would, project, plan, expect, possible, likely, probable, and similar expressions that convey uncertainty of future events or outcomes identify forward-looking statements. These statements include, among other things, statements regarding: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history of losses, we expect to incur net losses in the future and we may not be able to generate sufficient revenue to achieve and maintain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near-term, we expect that our financial results will depend primarily on sales of our testing products, and we will need to generate sufficient revenue from these testing products to grow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manage our ongoing growth effectively, which could make it difficult to execute our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commercial success depends on attaining and maintaining significant market acceptance of our testing products and promoted therapeutics among rheumatologists, patients, third-party payors and others in the medical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sole suppliers for some of the reagents, equipment and other materials used in our testing products, and we may not be able to fund replacements or transition to alternative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support demand for our current testing products or any of our future testing products or solutions, our business could suffer;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third-party payors do not provide coverage and adequate reimbursement for our testing products, or they breach, rescind or modify their contracts or reimbursement policies or delay payments for our tests, or if we or our partners are unable to successfully negotiate payor contracts, gross margins and commercial success could be materially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compete successfully, we may be unable to increase or sustain our revenue or achieve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new testing products involves a lengthy and complex process, and we may not be able to commercialize on a timely basis, or at all, other testing products we are developing;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sole laboratory facility becomes damaged or inoperable, we are required to vacate our existing facility or we are unable to expand our existing facility as needed, we will be unable to perform our testing services and our business will be harmed and, in addition, we are in the process of converting warehouse space into additional laboratory facilities, but this may not be successful;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require substantial additional capital to finance our planned operations, which may not be available to us on acceptable terms or at all. Our failure to obtain additional financing when needed on acceptable terms, or at all, could force us to delay, limit, reduce or eliminate our product development programs, commercialization efforts or ongoing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conduct business in a heavily regulated industry. Complying with the numerous statutes and regulations pertaining to our business is expensive and time-consuming, and any failure by us, our consultants or commercial partners to comply could result in substantial penalties;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maintain intellectual property protection our competitive position could be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comply with our obligations in the agreements under which we license intellectual property rights from third parties or otherwise experience disruptions to our business relationships with our licensors, we could lose license rights that are important to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the above factors and other future events on the market price of our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use of proceeds from this offering, if 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forward-looking statements in this prospectus supplement and the accompanying prospectus, including the documents incorporated by reference herein and therein, and in any free writing prospectus that we have authorized for use in connection with this offering, reflect the good faith judgment of our management, such statements can only be based on facts and factors currently known by us. Consequently, forward-looking statements are inherently subject to risks and uncertainties and actual results and outcomes may differ materially from the results and outcomes discussed in or anticipated by the forward-looking statements. Factors that could cause or contribute to such differences in results and outcomes include, without limitation, those specifically addressed under the heading Risk Factors contained in this prospectus supplement, the accompanying prospectus and any related free writing prospectus, and under similar headings in the other documents that are incorporated by reference into this prospectus supplement and the accompanying prospectus, including our most recent annual report on Form 10-K and quarterly reports on Form 10-Q, as well as any amendments thereto reflected in subsequent filings with the SEC. Readers are urged not to place undue reliance on these forward-looking statements, which speak only as of the date made. We file reports with the SEC, and our electronic filings with the SEC (including our annual reports on Form 10-K, quarterly reports on Form 10-Q and current reports on Form 8-K, and any amendments to these reports) are available free of charge on the SECs website at www.sec.gov. </w:t>
      </w:r>
    </w:p>
    <w:p>
      <w:pPr>
        <w:pStyle w:val="TextBody"/>
        <w:bidi w:val="0"/>
        <w:spacing w:before="240" w:after="0"/>
        <w:jc w:val="left"/>
        <w:rPr>
          <w:rFonts w:ascii="Times New Roman" w:hAnsi="Times New Roman"/>
          <w:sz w:val="20"/>
        </w:rPr>
      </w:pPr>
      <w:r>
        <w:rPr>
          <w:rFonts w:ascii="Times New Roman" w:hAnsi="Times New Roman"/>
          <w:sz w:val="20"/>
        </w:rPr>
        <w:t xml:space="preserve">We undertake no obligation to revise or update any forward-looking statements in order to reflect any event or circumstance that may arise after the date of this prospectus supplement, except as required by law. Readers are urged to carefully review and consider the various disclosures made throughout the entirety of this prospectus supplement, the accompanying prospectus and any related free writing prospectus, and the documents incorporated by reference into this prospectus supplement and the accompanying prospectus, which disclosures are designed to advise interested parties of the risks and factors that may affect our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toc783702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from our issuance and sale of shares of common stock in this offering at a public offering price of $   per share will be $   million after deducting estimated underwriting discounts and commissions and estimated offering expenses payable by us. If the underwriter exercises its option to purchase additional shares in full, we estimate that our net proceeds will be approximately $   million after deducting estimated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common stock offered by us hereunder for working capital and other general corporate purposes. We may also use a portion of the net proceeds from this offering to acquire, in-license or invest in products, technologies or businesses that complement our business. However, we do not have binding agreements or commitments for any acquisitions or investments outside the ordinary course of business at this time. We do not currently have specific plans or commitments with respect to the net proceeds from this offering and, accordingly, we are unable to quantify the allocations of such proceeds among the various potential uses. Our management will have broad discretion over the use of the net proceeds from this offering, and our investors will be relying on the judgment of our management regarding the application of the net proceeds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Pending the use of the net proceeds from this offering as described above, we intend to invest the net proceeds in a variety of capital preservation instruments including money market funds, certificates of deposit or direct or guaranteed obligations of the United States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toc783702_7"/>
      <w:bookmarkEnd w:id="9"/>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any cash dividends on our capital stock. We intend to retain future earnings, if any, to finance the operation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Credit Agreement with Perceptive.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toc783702_8"/>
      <w:bookmarkEnd w:id="10"/>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common stock in this offering, your ownership interest will be diluted immediately to the extent of the difference between the public offering price per share of our common stock and the as adjusted net tangible book value per share of our common stock after this offering. As of March 31, 2025, our net tangible book value was $6.4 million, or $0.36 per share. Net tangible book value per share represents our total tangible assets (excluding deferred issuance costs) less our total liabilities, divided by the number of shares outstanding.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sale of shares of our common stock at the public offering price of per share, and after deducting commissions and estimated offering expenses payable by us, our as adjusted net tangible book value as of March 31, 2025 would have been $    million, or $     per share. This amount represents an immediate [decrease/increase] in net tangible book value of $     per share to existing stockholders and an immediate dilution in net tangible book value of $    per share to new investors purchasing common stock in this offering. We determine dilution by subtracting the as adjusted net tangible book value per share after this offering from the price per share paid by an investor in this offering. The following table illustrates this dilution: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385"/>
        <w:gridCol w:w="386"/>
        <w:gridCol w:w="140"/>
        <w:gridCol w:w="561"/>
        <w:gridCol w:w="60"/>
        <w:gridCol w:w="386"/>
        <w:gridCol w:w="140"/>
        <w:gridCol w:w="817"/>
        <w:gridCol w:w="64"/>
      </w:tblGrid>
      <w:tr>
        <w:trPr/>
        <w:tc>
          <w:tcPr>
            <w:tcW w:w="4385"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Offering price per share</w:t>
            </w:r>
          </w:p>
        </w:tc>
        <w:tc>
          <w:tcPr>
            <w:tcW w:w="3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385"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March 31, 2025</w:t>
            </w:r>
          </w:p>
        </w:tc>
        <w:tc>
          <w:tcPr>
            <w:tcW w:w="3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0.36</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[Decrease/Increase] in net tangible book value per share attributable to investors purchasing shares in this offering</w:t>
            </w:r>
          </w:p>
        </w:tc>
        <w:tc>
          <w:tcPr>
            <w:tcW w:w="3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7"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385" w:type="dxa"/>
            <w:tcBorders/>
            <w:vAlign w:val="bottom"/>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385"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as of March 31, 2025 after giving effect to this offering</w:t>
            </w:r>
          </w:p>
        </w:tc>
        <w:tc>
          <w:tcPr>
            <w:tcW w:w="3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investors in this offering</w:t>
            </w:r>
          </w:p>
        </w:tc>
        <w:tc>
          <w:tcPr>
            <w:tcW w:w="3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385" w:type="dxa"/>
            <w:tcBorders/>
            <w:vAlign w:val="bottom"/>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discussion and table above assumes that the underwriter does not exercise its option to purchase additional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the underwriter exercises in full its option to purchase additional shares, our as adjusted net tangible book value per share after this offering would be $     per share, representing an immediate [decrease/increase] in as adjusted net tangible book value per share of $    to existing stockholders and immediate dilution of $     in as adjusted net tangible book value per share to new investors purchasing common stock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foregoing table and calculations are based on 17,950,033 shares of our common stock outstanding as of March 31, 2025, and exclude: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608,146 shares of our common stock issuable upon the exercise of stock options outstanding as of March 31, 2025 under our equity incentive plans at a weighted-average exercise price of $8.60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1,822,547 RSUs, outstanding as of March 31, 2025 under our equity incentive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619,593 shares of our common stock reserved as of March 31, 2025 for future issuance under the ESPP;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2,434,666 shares of our common stock reserved as of March 31, 2025 for future issuance under the 2019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1,130,281 shares of our common stock issuable upon the exercise of warrants outstanding as of March 31, 2025 at a weighted-average exercise price of $0.76 per share;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1,150,000 shares of our common stock issuable upon the vesting and exercise of the Warrant Certificate issued to Perceptive with 200,000 of such vested shares having an exercise price of $4.96 per share, 200,000 of such vested shares having an exercise price of $5.58 per share and the remaining shares of common stock issuable thereunder subject to vesting and exercise prices based upon the future trading prices of our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outstanding options or warrants are exercised, investors purchasing shares in this offering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equity-based securities, the issuance of these securities could result in further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toc783702_9"/>
      <w:bookmarkEnd w:id="11"/>
      <w:r>
        <w:rPr>
          <w:rFonts w:ascii="Times New Roman" w:hAnsi="Times New Roman"/>
          <w:b/>
          <w:sz w:val="20"/>
        </w:rPr>
        <w:t xml:space="preserve">DESCRIPTION OF SECURITIES OFFERED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shares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material terms and provisions of our common stock and each other class of our securities which qualifies or limits our common stock are described in the section entitled Description of Capital Stock beginning on page 9 of the accompanying prospectus and the Description of Securities included as Exhibit 4.8 to our Annual Report on Form 10-K for the year ended December 31, 2023, filed with the SEC on March 18,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toc783702_10"/>
      <w:bookmarkEnd w:id="12"/>
      <w:r>
        <w:rPr>
          <w:rFonts w:ascii="Times New Roman" w:hAnsi="Times New Roman"/>
          <w:b/>
          <w:sz w:val="20"/>
        </w:rPr>
        <w:t xml:space="preserve">MATERIAL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limitations, assumptions and qualifications described herein, the following is a summary of certain U.S. federal income tax considerations of the purchase, ownership and disposition of shares of our common stock issued pursuant to this offering. For purposes of this section, such shares (Shares) are referred to herein as the Offered Securities. All prospective holders should consult their tax advisors with respect to the U.S. federal, state, and local and non-U.S. tax consequences of the purchase, ownership and disposition of the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current provisions of the U.S. Internal Revenue Code of 1986, as amended (the Code), existing Treasury regulations promulgated thereunder, published administrative pronouncements and rulings of the U.S. Internal Revenue Service (IRS), and judicial decisions, all as in effect as of the date of this prospectus supplement. These authorities are subject to change and to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the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addresses only Offered Securities that are held as capital assets within the meaning of Section 1221 of the Code (generally, property held for investment). This discussion does not address all the U.S. federal income tax consequences that may be relevant to particular holders in light of their individual circumstances, nor does it address any alternative minimum, Medicare contribution, estate or gift tax consequences, the special tax accounting rules under Section 451(b) of the Code, or any aspects of U.S. state or local or non-U.S. taxes. It does not address holders that are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or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or dealers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that elect to use a mark-to-market method of accounting for their securities holdings;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any of the Offered Securities as a position in a hedging transaction, straddle, conversion transaction, or other risk reduction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any of the Offered Securities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entities or arrangements classified as partnerships for U.S. federal income tax purposes or other pass-through entities such as subchapter S corporations (or investors in such entities or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or real estate investment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or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(as defined below)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qualified foreign pension funds as defined in Section 897(1)(2) of the Code and entities all of the interests of which are held by qualified foreign 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actually or constructively, more than 5%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former long-term residents of the United States;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that acquire the Offered Securities through the exercise of an employee stock option or otherwise as compensation or through a tax-qualified retirement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holder is a partnership or other pass-through entity (including an entity or arrangement treated as a partnership or other pass-through entity for U.S. federal income tax purposes), the U.S. federal income tax treatment of a partner or beneficial owner will generally depend on the status of such partner or beneficial owner and the entitys activities. Partnerships, partners and beneficial owners in partnerships or other pass-through entities that own the Offered Securities should consult their tax advisors as to the particular U.S. federal income tax considerations applicable to the acquisition, ownership and disposition of the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 beneficial owner of the Offered Securities, that, for U.S.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that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corporation, or an entity treated as a corporation,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(1) is subject to (A) the primary supervision of a court within the United States and (B) the authority of one or more United States persons (within the meaning of Section 7701(a)(30) of the Code) to control all substantial decisions of the trust or (2) has a valid election in effect under applicable Treasury regulations to be treated as a United States person;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that is subject to U.S. federal income tax on its income regardless of its source.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used herein, the term Non-U.S. Holder means a beneficial owner, other than an entity treated as a partnership for U.S. federal income tax purposes, of the Offered Securities that is for U.S. federal income tax purposes not a U.S. Holder. U.S. Holders and Non-U.S. Holders are collectively referred to herein as holders.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ARE URGED TO CONSULT THEIR TAX ADVISORS REGARDING THE PARTICULAR U.S. FEDERAL, STATE, AND LOCAL AND NON-U.S. TAX CONSEQUENCES TO THEM OF THE PURCHASE, OWNERSHIP AND DISPOSITION OF THE OFFERED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considerations applicable to U.S. holders </w:t>
      </w:r>
    </w:p>
    <w:p>
      <w:pPr>
        <w:pStyle w:val="TextBody"/>
        <w:bidi w:val="0"/>
        <w:spacing w:before="120" w:after="0"/>
        <w:jc w:val="left"/>
        <w:rPr>
          <w:rFonts w:ascii="Times New Roman" w:hAnsi="Times New Roman"/>
          <w:i/>
          <w:sz w:val="20"/>
        </w:rPr>
      </w:pPr>
      <w:r>
        <w:rPr>
          <w:rFonts w:ascii="Times New Roman" w:hAnsi="Times New Roman"/>
          <w:i/>
          <w:sz w:val="20"/>
        </w:rPr>
        <w:t xml:space="preserve">Distributions on the Shares </w:t>
      </w:r>
    </w:p>
    <w:p>
      <w:pPr>
        <w:pStyle w:val="TextBody"/>
        <w:bidi w:val="0"/>
        <w:spacing w:before="120" w:after="0"/>
        <w:jc w:val="left"/>
        <w:rPr>
          <w:rFonts w:ascii="Times New Roman" w:hAnsi="Times New Roman"/>
          <w:sz w:val="20"/>
        </w:rPr>
      </w:pPr>
      <w:r>
        <w:rPr>
          <w:rFonts w:ascii="Times New Roman" w:hAnsi="Times New Roman"/>
          <w:sz w:val="20"/>
        </w:rPr>
        <w:t xml:space="preserve">We do not anticipate declaring or paying any cash dividends to holders of our common stock in the foreseeable future. If we make distributions of cash or other property on the Shares (other than certain distributions of stock), such distributions will constitute dividends to the extent paid out of our current or accumulated earnings and profits, as determined for U.S. federal income tax purposes. Dividends received by a corporate U.S. Holder may be eligible for a dividends received deduction, subject to applicable limitations. Dividends received by certain non-corporate U.S. Holders, including individuals, are generally taxed at the lower applicable capital gains rate provided certain holding period and other requirements are satisfied. Distributions in excess of our current and accumulated earnings and profits will constitute a return of capital and first be applied against and reduce a U.S. Holders adjusted tax basis in its Shares but not below zero. Any excess will be treated as capital gain and will be treated as described below under Sale or other taxable disposition of the Offered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taxable disposition of the offered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Upon the sale, exchange or other taxable disposition of the Shares, a U.S. Holder will generally recognize capital gain or loss equal to the difference between the amount of cash and the fair market value of any other property received upon the sale, exchange or other taxable disposition and such U.S. Holders adjusted tax basis in the Shares. This capital gain or loss will be long-term capital gain or loss if the U.S. Holders holding period in such Shares is more than one year at the time of the sale, exchange or other taxable disposition. Long-term capital gains recognized by certain non-corporate U.S. Holders, including individuals, generally will be subject to reduced rates of U.S. federal income tax. The deductibility of capital losses is subject to certain limitations.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In general, backup withholding and information reporting requirements may apply to distributions on the Shares and to the receipt of proceeds on the sale, exchange or other taxable disposition of the Offered Securities. Backup withholding (currently at a rate of 24 percent) may apply if a U.S. Holder fails to furnish its taxpayer identification number, a U.S. Holder fails to certify under penalties of perjury that such taxpayer identification number is correct and that such U.S. Holder is not subject to backup withholding (generally on a properly completed and duly executed IRS Form W-9), the applicable withholding agent is notified by the IRS that the U.S. Holder previously failed to properly report payments of interest or dividends, or such U.S. Holder otherwise fails to comply with the applicable requirements of the backup withholding rules. </w:t>
      </w:r>
    </w:p>
    <w:p>
      <w:pPr>
        <w:pStyle w:val="TextBody"/>
        <w:bidi w:val="0"/>
        <w:spacing w:before="240" w:after="0"/>
        <w:jc w:val="left"/>
        <w:rPr>
          <w:rFonts w:ascii="Times New Roman" w:hAnsi="Times New Roman"/>
          <w:sz w:val="20"/>
        </w:rPr>
      </w:pPr>
      <w:r>
        <w:rPr>
          <w:rFonts w:ascii="Times New Roman" w:hAnsi="Times New Roman"/>
          <w:sz w:val="20"/>
        </w:rPr>
        <w:t xml:space="preserve">Certain U.S. Holders generally are not subject to backup withholding and information reporting requirements, provided that their exemptions from backup withholding and information reporting are properly established. Backup withholding is not an additional tax. Any amounts withheld from a payment to a U.S. Holder under the backup withholding rules generally will be allowed as a credit against such U.S. Holders U.S. federal income tax liability and may entitle such U.S. Holder to a refund, provided the required information is furnished to the IRS in a timely manner. U.S. Holders should consult their tax advisors regarding the application of backup withholding, the availability of an exemption from backup withholding, and the procedure for obtaining such an exemption, if available. </w:t>
      </w:r>
    </w:p>
    <w:p>
      <w:pPr>
        <w:pStyle w:val="TextBody"/>
        <w:bidi w:val="0"/>
        <w:spacing w:before="360" w:after="0"/>
        <w:jc w:val="left"/>
        <w:rPr>
          <w:rFonts w:ascii="Times New Roman" w:hAnsi="Times New Roman"/>
          <w:b/>
          <w:sz w:val="20"/>
        </w:rPr>
      </w:pPr>
      <w:r>
        <w:rPr>
          <w:rFonts w:ascii="Times New Roman" w:hAnsi="Times New Roman"/>
          <w:b/>
          <w:sz w:val="20"/>
        </w:rPr>
        <w:t xml:space="preserve">Tax considerations applicable to Non-U.S.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Distributions on the Shares </w:t>
      </w:r>
    </w:p>
    <w:p>
      <w:pPr>
        <w:pStyle w:val="TextBody"/>
        <w:bidi w:val="0"/>
        <w:spacing w:before="120" w:after="0"/>
        <w:jc w:val="left"/>
        <w:rPr>
          <w:rFonts w:ascii="Times New Roman" w:hAnsi="Times New Roman"/>
          <w:sz w:val="20"/>
        </w:rPr>
      </w:pPr>
      <w:r>
        <w:rPr>
          <w:rFonts w:ascii="Times New Roman" w:hAnsi="Times New Roman"/>
          <w:sz w:val="20"/>
        </w:rPr>
        <w:t xml:space="preserve">As mentioned above, we do not anticipate declaring or paying any cash dividends to holders of our common stock in the foreseeable future. However, distributions of cash or other property (other than certain distributions of stock) on the Shares, as described above under Tax considerations applicable to U.S. Holders-Distributions on the Shares will constitute dividends to the extent paid out of our current or accumulated earnings and profits, as determined for U.S. federal income tax purposes. Distributions in excess of our current and accumulated earnings and profits will constitute a return of capital and first be applied against and reduce a Non-U.S. Holders adjusted tax basis in its Shares but not below zero. Any excess will be subject to the treatment as described below under Sale or other taxable disposition of the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Dividends paid to a Non-U.S. Holder that are not effectively connected with the Non-U.S. Holders conduct of a trade or business in the United States generally will be subject to withholding tax at a 30-percent rate or a reduced rate specified by an applicable income tax treaty. In order to obtain a reduced rate of withholding, the Non-U.S. Holder will be required to provide our or our paying agent with a properly executed applicable IRS Form W-8BEN or IRS Form W-8BEN-E (or appropriate successor form), as applicable, certifying under penalties of perjury that the Non-U.S. Holder is not a United States person and is eligible for the benefits under the applicable income tax treaty. These forms may need to be periodically updated. If a Non-U.S. Holder holds the Offered Securities through a financial institution or other intermediary, the Non-U.S. Holder generally will be required to provide the appropriate documentation to the financial institution or other intermediary. A Non-U.S. Holder eligible for a reduced rate of U.S. withholding tax pursuant to an applicable income tax treaty who fails to timely provide an IRS Form W-8BEN or W-8BEN-E (or appropriate successor form), as applicable, may obtain a refund of any excess amounts withheld by timely filing an appropriate claim with the IRS. </w:t>
      </w:r>
    </w:p>
    <w:p>
      <w:pPr>
        <w:pStyle w:val="TextBody"/>
        <w:bidi w:val="0"/>
        <w:spacing w:before="240" w:after="0"/>
        <w:jc w:val="left"/>
        <w:rPr>
          <w:rFonts w:ascii="Times New Roman" w:hAnsi="Times New Roman"/>
          <w:sz w:val="20"/>
        </w:rPr>
      </w:pPr>
      <w:r>
        <w:rPr>
          <w:rFonts w:ascii="Times New Roman" w:hAnsi="Times New Roman"/>
          <w:sz w:val="20"/>
        </w:rPr>
        <w:t xml:space="preserve">If dividends paid to a Non-U.S. Holder are effectively connected with the Non-U.S. Holders conduct of a trade or business in the United States (and, if required by an applicable income tax treaty, are attributable to a permanent establishment or fixed base maintained by the Non-U.S. Holder in the United States), the Non-U.S. Holder will generally be taxed on the dividends in the same manner as a U.S. Holder. In this case, the Non-U.S. Holder will be exempt from the withholding tax discussed in the preceding paragraph, although the Non-U.S. Holder will be required to provide a properly executed IRS Form W-8ECI (or appropriate successor form)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order to claim an exemption from withholding. Such effectively connected dividends, although not subject to U.S. federal withholding tax, are subject to U.S. federal income tax on a net income basis at the regular U.S. federal income tax rates generally applicable to U.S. Holders. Dividends received by a corporate Non-U.S. Holder that are effectively connected with such Non-U.S. Holders conduct of a trade or business in the United States (and, if required by an applicable income tax treaty, attributable to a permanent establishment or fixed base maintained by the Non-U.S. Holder in the United States) may be subject to an additional branch profits tax at a 30-percent rate (or such lower rate as may be specified by an applicable income tax treaty). Non-U.S. Holders should consult their tax advisors with respect to other U.S. tax consequences of the acquisition, ownership and disposition of the Offered Securities, including the possible imposition of the branch profits tax.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taxable disposition of the Offered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under Information Reporting and Backup Withholding and FATCA, a Non-U.S. Holder generally will not be subject to U.S. federal income or withholding tax on gain realized on a sale, exchange or other taxable disposition of the Offered Securities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in the United States (and, if required by an applicable income tax treaty, is attributable to a permanent establishment or fixed base maintained by the Non-U.S. Holder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or have been a United States real property holding corporation, as defined in the Code, at any time within the five-year period ending on the date of disposition or the Non-U.S. Holders holding period, whichever period is shorter, and the Non-U.S. Holder is not eligible for an exemption under an applicable income tax treaty.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it is not, and does not anticipate becoming, a United States real property holding corporation. Even if we are or have been a United States real property holding corporation during the specified testing period, as long as our common stock is regularly traded on an established securities market (such as The Nasdaq Global Market) at any time during the calendar year in which the disposition occurs, a Non-U.S. Holder will not be subject to U.S. federal income tax on the disposition of the Shares if the Non-U.S. Holder does not own or has not owned (actually or constructively) more than 5 percent of our common stock at any time during the shorter of the two periods mentioned above. Holders should consult their tax advisors regarding the application of this regularly traded exception.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Non-U.S. Holder recognizes gain on a sale, exchange or other taxable disposition of the Offered Securities that is effectively connected with the Non-U.S. Holders conduct of a trade or business in the United States (and if required by an applicable income tax treaty, is attributable to a permanent establishment or fixed base maintained by the Non-U.S. Holder in the United States), the Non-U.S. Holder will generally be subject to U.S. federal income tax at the regular U.S. federal income tax rates generally applicable to a United States person. If the Non-U.S. Holder is a corporation, the Non-U.S. Holder may also be subject to the branch profits tax at a 30-percent rate or such lower rate as may be specified by an applicable income tax treaty. Non-U.S. Holders should consult their tax advisors with respect to other U.S. tax consequences of the acquisition, ownership and disposition of the Offered Securities, including the possible imposition of the branch profits tax.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second bullet point above will be subject to U.S. federal income tax at a flat 30-percent rate (unless otherwise provided pursuant to an applicable income tax treaty) on gain recognized on a sale, exchange or other taxable disposition of the Offered Securities, but such gain may be offset by certain U.S.-source capital losses (even though the Non-U.S. Holder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returns will be filed with the IRS in connection with distributions on the Shares. Copies of the information returns reporting those distributions and withholding may also be made available to the tax authorities in the country in which a Non-U.S. Holder is a resident under the provisions of an applicable income tax treaty or agreement. Unless a Non-U.S. Holder complies with certification procedures to establish that the Non-U.S. Holder is not a United States person, information returns may also be filed with the IRS in connection with the proceeds from a sale, exchange or other disposition of the Offered Securities to or through the U.S. office (and, in certain cases, the foreign office) of a broker.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may be subject to backup withholding (currently at a rate of 24 percent) on payments on the Offered Securities or on the proceeds from a sale, exchange or other disposition of the Offered Securities unless the Non-U.S. Holder complies with certification procedures to establish that the Non-U.S. Holder is not a United States person or otherwise establishes an exemption. Compliance with the certification procedures required to claim a reduced rate of withholding under a treaty (including properly certifying non-U.S. status on an IRS Form W-8BEN, IRS Form W-8BEN-E or other appropriate version of IRS Form W-8 (or appropriate successor form)) generally will satisfy the certification requirements necessary to avoid backup withholding as well. Notwithstanding the foregoing, U.S. federal backup withholding </w:t>
      </w:r>
      <w:r>
        <w:rPr>
          <w:rFonts w:ascii="Times New Roman" w:hAnsi="Times New Roman"/>
          <w:b/>
          <w:sz w:val="20"/>
        </w:rPr>
        <w:t xml:space="preserve">may </w:t>
      </w:r>
      <w:r>
        <w:rPr>
          <w:rFonts w:ascii="Times New Roman" w:hAnsi="Times New Roman"/>
          <w:sz w:val="20"/>
        </w:rPr>
        <w:t xml:space="preserve">apply if the payor has actual knowledge, or reason to know, that a Non-U.S. Holder is a United States person.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from a payment to a Non-U.S. Holder under the backup withholding rules generally will be allowed as a credit against such Non-U.S. Holders U.S. federal income tax liability and may entitle such Non-U.S. Holder to a refund, provided the required information is furnished to the IRS in a timely manner. Non-U.S. Holders are urged to consult their tax advisors regarding the application of backup withholding and the availability of and procedure for obtaining an exemption from backup withholding in their particular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FATCA </w:t>
      </w:r>
    </w:p>
    <w:p>
      <w:pPr>
        <w:pStyle w:val="TextBody"/>
        <w:bidi w:val="0"/>
        <w:spacing w:before="120" w:after="0"/>
        <w:jc w:val="left"/>
        <w:rPr>
          <w:rFonts w:ascii="Times New Roman" w:hAnsi="Times New Roman"/>
          <w:sz w:val="20"/>
        </w:rPr>
      </w:pPr>
      <w:r>
        <w:rPr>
          <w:rFonts w:ascii="Times New Roman" w:hAnsi="Times New Roman"/>
          <w:sz w:val="20"/>
        </w:rPr>
        <w:t xml:space="preserve">Provisions of the Code commonly referred to as FATCA require withholding of 30 percent on distributions on the Shares as well as payments of gross proceeds of dispositions of the Offered Securities, to a foreign financial institution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or an exemption applies. However, the IRS has issued proposed Treasury regulations that eliminate FATCA withholding on payments of gross proceeds (but not on payments of dividends). Pursuant to the preamble to the proposed Treasury regulations, any applicable withholding agent may (but is not required to) rely on this proposed change to FATCA withholding until final Treasury regulations are issued or the proposed Treasury regulations are withdrawn. An intergovernmental agreement between the United States and an applicable foreign country may modify these requirements. If FATCA withholding is imposed, a beneficial owner that is not a foreign financial institution generally may obtain a refund of any amounts withheld by filing a U.S. federal income tax return (which may entail significant administrative burden). Non-U.S. Holders should consult their tax advisors regarding the effects of FATCA on their investments in the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not pay any additional amounts to Non-U.S. Holders with respect to any amounts withheld, including pursuant to FATCA. </w:t>
      </w:r>
    </w:p>
    <w:p>
      <w:pPr>
        <w:pStyle w:val="TextBody"/>
        <w:bidi w:val="0"/>
        <w:spacing w:before="240" w:after="0"/>
        <w:jc w:val="left"/>
        <w:rPr>
          <w:rFonts w:ascii="Times New Roman" w:hAnsi="Times New Roman"/>
          <w:sz w:val="20"/>
        </w:rPr>
      </w:pPr>
      <w:r>
        <w:rPr>
          <w:rFonts w:ascii="Times New Roman" w:hAnsi="Times New Roman"/>
          <w:sz w:val="20"/>
        </w:rPr>
        <w:t xml:space="preserve">THE PRECEDING DISCUSSION OF U.S. FEDERAL INCOME TAX CONSIDERATIONS IS FOR GENERAL INFORMATION ONLY. IT IS NOT TAX ADVICE. PROSPECTIVE INVESTORS SHOULD CONSULT THEIR TAX ADVISORS REGARDING THE PARTICULAR U.S. FEDERAL, STATE AND LOCAL AND NON-U.S. TAX CONSEQUENCES OF PURCHASING, HOLDING AND DISPOSING OF THE OFFERED SECURITIES, INCLUDING THE CONSEQUENCES OF ANY PROPOSED CHANGE IN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toc783702_11"/>
      <w:bookmarkEnd w:id="13"/>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underwriting agreement, dated   ,    , 2025, between us and Canaccord Genuity LLC (Canaccord Genuity), the sole bookrunner of this offering, we have agreed to sell to the underwriter, and the underwriter has agreed to purchase from us, the number of shares of common stock shown opposite its name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38"/>
        <w:gridCol w:w="1071"/>
        <w:gridCol w:w="692"/>
        <w:gridCol w:w="693"/>
        <w:gridCol w:w="61"/>
      </w:tblGrid>
      <w:tr>
        <w:trPr/>
        <w:tc>
          <w:tcPr>
            <w:tcW w:w="5238" w:type="dxa"/>
            <w:tcBorders/>
            <w:vAlign w:val="center"/>
          </w:tcPr>
          <w:p>
            <w:pPr>
              <w:pStyle w:val="TableContents"/>
              <w:bidi w:val="0"/>
              <w:spacing w:before="0" w:after="283"/>
              <w:jc w:val="left"/>
              <w:rPr>
                <w:sz w:val="4"/>
                <w:szCs w:val="4"/>
              </w:rPr>
            </w:pPr>
            <w:r>
              <w:rPr>
                <w:sz w:val="4"/>
                <w:szCs w:val="4"/>
              </w:rPr>
            </w:r>
          </w:p>
        </w:tc>
        <w:tc>
          <w:tcPr>
            <w:tcW w:w="1071" w:type="dxa"/>
            <w:tcBorders/>
            <w:vAlign w:val="bottom"/>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5238" w:type="dxa"/>
            <w:tcBorders/>
            <w:vAlign w:val="bottom"/>
          </w:tcPr>
          <w:p>
            <w:pPr>
              <w:pStyle w:val="TableContents"/>
              <w:bidi w:val="0"/>
              <w:spacing w:before="0" w:after="283"/>
              <w:jc w:val="left"/>
              <w:rPr>
                <w:b/>
              </w:rPr>
            </w:pPr>
            <w:r>
              <w:rPr>
                <w:b/>
              </w:rPr>
              <w:t>UNDERWRITER</w:t>
            </w:r>
          </w:p>
        </w:tc>
        <w:tc>
          <w:tcPr>
            <w:tcW w:w="1071" w:type="dxa"/>
            <w:tcBorders/>
            <w:vAlign w:val="bottom"/>
          </w:tcPr>
          <w:p>
            <w:pPr>
              <w:pStyle w:val="TableContents"/>
              <w:bidi w:val="0"/>
              <w:spacing w:before="0" w:after="283"/>
              <w:jc w:val="left"/>
              <w:rPr/>
            </w:pPr>
            <w:r>
              <w:rPr/>
              <w:t>  </w:t>
            </w:r>
          </w:p>
        </w:tc>
        <w:tc>
          <w:tcPr>
            <w:tcW w:w="1385" w:type="dxa"/>
            <w:gridSpan w:val="2"/>
            <w:tcBorders/>
            <w:vAlign w:val="bottom"/>
          </w:tcPr>
          <w:p>
            <w:pPr>
              <w:pStyle w:val="TableContents"/>
              <w:bidi w:val="0"/>
              <w:spacing w:before="0" w:after="283"/>
              <w:jc w:val="center"/>
              <w:rPr>
                <w:b/>
              </w:rPr>
            </w:pPr>
            <w:r>
              <w:rPr>
                <w:b/>
              </w:rPr>
              <w:t>NUMBER</w:t>
              <w:br/>
              <w:t>OF SHARES</w:t>
            </w:r>
          </w:p>
        </w:tc>
        <w:tc>
          <w:tcPr>
            <w:tcW w:w="61" w:type="dxa"/>
            <w:tcBorders/>
            <w:vAlign w:val="bottom"/>
          </w:tcPr>
          <w:p>
            <w:pPr>
              <w:pStyle w:val="TableContents"/>
              <w:bidi w:val="0"/>
              <w:spacing w:before="0" w:after="283"/>
              <w:jc w:val="left"/>
              <w:rPr/>
            </w:pPr>
            <w:r>
              <w:rPr/>
              <w:t> </w:t>
            </w:r>
          </w:p>
        </w:tc>
      </w:tr>
      <w:tr>
        <w:trPr/>
        <w:tc>
          <w:tcPr>
            <w:tcW w:w="5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Canaccord Genuity LLC</w:t>
            </w:r>
          </w:p>
        </w:tc>
        <w:tc>
          <w:tcPr>
            <w:tcW w:w="1071"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693"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5238"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071"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sz w:val="4"/>
                <w:szCs w:val="4"/>
              </w:rPr>
            </w:pPr>
            <w:r>
              <w:rPr>
                <w:sz w:val="4"/>
                <w:szCs w:val="4"/>
              </w:rPr>
            </w:r>
          </w:p>
        </w:tc>
        <w:tc>
          <w:tcPr>
            <w:tcW w:w="693"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provides that the obligation of the underwriter is subject to certain conditions precedent such as the receipt by the underwriter of officers certificates and legal opinions and approval of certain legal matters by their counsel. The underwriting agreement provides that the underwriter will purchase all of the shares of common stock if any of them are purchased. If the underwriter defaults, the underwriting agreement provides that the underwriting agreement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 and certain of its controlling persons against certain liabilities, including liabilities under the Securities Act, and to contribute to payments that the underwriter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has advised us that, following the completion of this offering, it currently intends to make a market in the common stock as permitted by applicable laws and regulations. However, the underwriter is not obligated to do so, and the underwriter may discontinue any market-making activities at any time without notice in its sole discretion. Accordingly, no assurance can be given as to the liquidity of the trading market for the common stock, that you will be able to sell any of the common stock held by you at a particular time or that the prices that you receive when you sell will be favorable.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is offering the shares of common stock subject to its acceptance of the shares of common stock from us and subject to prior sale. The underwriter reserves the right to withdraw, cancel or modify offers to the public and to reject orders in whole or in part. In addition, the underwriter has advised us that it does not intend to confirm sales to any account over which it exercises discretionary authority.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Commission and Expenses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 has advised us that it proposes to offer the shares of common stock to the public at the public offering price set forth on the cover page of this prospectus supplement and to certain dealers, which may include the underwriter, at that price less a concession not in excess of $     per share of common stock. After the offering, the public offering price, concession and reallowance to dealers may be reduced by the underwriter. No such reduction will change the amount of proceeds to be received by us as set forth on the cover page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public offering price, the underwriting discounts and commissions that we are to pay the underwriter and the proceeds, before expenses, to us in connection with this offering. Such amounts are shown assuming both no exercise and full exercise of the underwriters option to purchase additional shares of common stock.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927"/>
        <w:gridCol w:w="334"/>
        <w:gridCol w:w="140"/>
        <w:gridCol w:w="804"/>
        <w:gridCol w:w="60"/>
        <w:gridCol w:w="334"/>
        <w:gridCol w:w="245"/>
        <w:gridCol w:w="1419"/>
        <w:gridCol w:w="60"/>
        <w:gridCol w:w="334"/>
        <w:gridCol w:w="245"/>
        <w:gridCol w:w="1419"/>
        <w:gridCol w:w="67"/>
      </w:tblGrid>
      <w:tr>
        <w:trPr/>
        <w:tc>
          <w:tcPr>
            <w:tcW w:w="3927"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927"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94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372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3927"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6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WITHOUT</w:t>
              <w:br/>
              <w:t>OPTION TO</w:t>
              <w:br/>
              <w:t>PURCHASE</w:t>
              <w:br/>
              <w:t>ADDITIONAL</w:t>
              <w:br/>
              <w:t>SHARES</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6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w:t>
              <w:br/>
              <w:t>OPTION TO</w:t>
              <w:br/>
              <w:t>PURCHASE</w:t>
              <w:br/>
              <w:t>ADDITIONAL</w:t>
              <w:br/>
              <w:t>SHARES</w:t>
            </w:r>
          </w:p>
        </w:tc>
        <w:tc>
          <w:tcPr>
            <w:tcW w:w="67" w:type="dxa"/>
            <w:tcBorders/>
            <w:vAlign w:val="bottom"/>
          </w:tcPr>
          <w:p>
            <w:pPr>
              <w:pStyle w:val="TableContents"/>
              <w:bidi w:val="0"/>
              <w:spacing w:before="0" w:after="283"/>
              <w:jc w:val="left"/>
              <w:rPr/>
            </w:pPr>
            <w:r>
              <w:rPr/>
              <w:t> </w:t>
            </w:r>
          </w:p>
        </w:tc>
      </w:tr>
      <w:tr>
        <w:trPr/>
        <w:tc>
          <w:tcPr>
            <w:tcW w:w="3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4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419"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3927"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paid by us</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14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1419"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3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to us, before expenses</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14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1419"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estimate net expenses payable by us in connection with this offering, other than the estimated underwriting discounts and commissions referred to above, will be approximately $    . We have agreed to reimburse the underwriter for certain of its expenses incurred in connection with this offering in an amount not to exceed $100,000 in the aggregate.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trading symbol XGN. </w:t>
      </w:r>
    </w:p>
    <w:p>
      <w:pPr>
        <w:pStyle w:val="TextBody"/>
        <w:bidi w:val="0"/>
        <w:spacing w:before="360" w:after="0"/>
        <w:jc w:val="left"/>
        <w:rPr>
          <w:rFonts w:ascii="Times New Roman" w:hAnsi="Times New Roman"/>
          <w:b/>
          <w:i/>
          <w:sz w:val="20"/>
        </w:rPr>
      </w:pPr>
      <w:r>
        <w:rPr>
          <w:rFonts w:ascii="Times New Roman" w:hAnsi="Times New Roman"/>
          <w:b/>
          <w:i/>
          <w:sz w:val="20"/>
        </w:rPr>
        <w:t xml:space="preserve">Stamp Taxes </w:t>
      </w:r>
    </w:p>
    <w:p>
      <w:pPr>
        <w:pStyle w:val="TextBody"/>
        <w:bidi w:val="0"/>
        <w:spacing w:before="120" w:after="0"/>
        <w:jc w:val="left"/>
        <w:rPr>
          <w:rFonts w:ascii="Times New Roman" w:hAnsi="Times New Roman"/>
          <w:sz w:val="20"/>
        </w:rPr>
      </w:pPr>
      <w:r>
        <w:rPr>
          <w:rFonts w:ascii="Times New Roman" w:hAnsi="Times New Roman"/>
          <w:sz w:val="20"/>
        </w:rPr>
        <w:t xml:space="preserve">If you purchase shares of securities offered in this prospectus supplement, you may be required to pay stamp taxes and other charges under the laws and practices of the country of purchase, in addition to the offering price listed on the cover page of this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Option to Purchase Additional Shares </w:t>
      </w:r>
    </w:p>
    <w:p>
      <w:pPr>
        <w:pStyle w:val="TextBody"/>
        <w:bidi w:val="0"/>
        <w:spacing w:before="120" w:after="0"/>
        <w:jc w:val="left"/>
        <w:rPr>
          <w:rFonts w:ascii="Times New Roman" w:hAnsi="Times New Roman"/>
          <w:sz w:val="20"/>
        </w:rPr>
      </w:pPr>
      <w:r>
        <w:rPr>
          <w:rFonts w:ascii="Times New Roman" w:hAnsi="Times New Roman"/>
          <w:sz w:val="20"/>
        </w:rPr>
        <w:t xml:space="preserve">We have granted to the underwriter an option, exercisable for 30 days from the date of this prospectus supplement, to purchase, from time to time, in whole or in part, up to an aggregate of   shares from us at the public offering price set forth on the cover page of this prospectus supplement, less underwriting discounts and commissions. If the underwriter exercises this option, the underwriter will be obligated, subject to specified conditions, to purchase a number of additional shares proportionate to the underwriters initial purchase commitment as indicated in the table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Sales of Similar Securities </w:t>
      </w:r>
    </w:p>
    <w:p>
      <w:pPr>
        <w:pStyle w:val="TextBody"/>
        <w:bidi w:val="0"/>
        <w:spacing w:before="120" w:after="0"/>
        <w:jc w:val="left"/>
        <w:rPr>
          <w:rFonts w:ascii="Times New Roman" w:hAnsi="Times New Roman"/>
          <w:sz w:val="20"/>
        </w:rPr>
      </w:pPr>
      <w:r>
        <w:rPr>
          <w:rFonts w:ascii="Times New Roman" w:hAnsi="Times New Roman"/>
          <w:sz w:val="20"/>
        </w:rPr>
        <w:t xml:space="preserve">We, our executive officers and our directors have agreed, subject to specified exceptions, not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offer, pledge, sell, contract to sell, sell any option or contract to purchase, purchase any option or contract to sell, grant any option, right or warrant to purchase or otherwise transfer or dispose of any shares of our common stock or any securities convertible into or exercisable or exchangeable for our common stock or file any registration statement under the Exchange Act with respect to any of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swap or any other agreement or any transaction that transfers, in whole or in part, the economic consequence of ownership of our common stock, whether any such swap or transaction described above is to be settled by delivery of our common stock or such other securities, in cash or otherwise;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announce an intention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a period of 90 days after the date of this prospectus supplement without the prior written consent of Canaccord Genuity. For the avoidance of doubt, we shall not issue any common stock pursuant to that certain Sales Agreement, dated as of September 15, 2022, as amended on November 17, 2023, by and between us and TD Securities (USA) LLC, during this period. </w:t>
      </w:r>
    </w:p>
    <w:p>
      <w:pPr>
        <w:pStyle w:val="TextBody"/>
        <w:bidi w:val="0"/>
        <w:spacing w:before="240" w:after="0"/>
        <w:jc w:val="left"/>
        <w:rPr>
          <w:rFonts w:ascii="Times New Roman" w:hAnsi="Times New Roman"/>
          <w:sz w:val="20"/>
        </w:rPr>
      </w:pPr>
      <w:r>
        <w:rPr>
          <w:rFonts w:ascii="Times New Roman" w:hAnsi="Times New Roman"/>
          <w:sz w:val="20"/>
        </w:rPr>
        <w:t xml:space="preserve">This restriction terminates after the close of trading of the common stock on and including the 90th day after the date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Canaccord Genuity may, in their sole discretion and at any time or from time to time before the termination of the 90-day period release all or any portion of the securities subject to lock-up agreements. There are no existing agreements between the underwriter and any of our stockholders who will execute a lock-up agreement, providing consent to the sale of shares prior to the expiration of the lock-up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Stabilization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 has advised us that,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 </w:t>
      </w:r>
    </w:p>
    <w:p>
      <w:pPr>
        <w:pStyle w:val="TextBody"/>
        <w:bidi w:val="0"/>
        <w:spacing w:before="240" w:after="0"/>
        <w:jc w:val="left"/>
        <w:rPr>
          <w:rFonts w:ascii="Times New Roman" w:hAnsi="Times New Roman"/>
          <w:sz w:val="20"/>
        </w:rPr>
      </w:pPr>
      <w:r>
        <w:rPr>
          <w:rFonts w:ascii="Times New Roman" w:hAnsi="Times New Roman"/>
          <w:sz w:val="20"/>
        </w:rPr>
        <w:t xml:space="preserve">Covered short sales are sales made in an amount not greater than the underwriters option to purchase additional shares of our common stock in this offering. The underwriter may close out any covered short position by either exercising its option to purchase additional shares of our common stock or purchasing shares of our common stock in the open market. In determining the source of shares to close out the covered short position, the underwriter will consider, among other things, the price of shares available for purchase in the open market as compared to the price at which it may purchase shares through the option to purchase additional shares. </w:t>
      </w:r>
    </w:p>
    <w:p>
      <w:pPr>
        <w:pStyle w:val="TextBody"/>
        <w:bidi w:val="0"/>
        <w:spacing w:before="240" w:after="0"/>
        <w:jc w:val="left"/>
        <w:rPr>
          <w:rFonts w:ascii="Times New Roman" w:hAnsi="Times New Roman"/>
          <w:sz w:val="20"/>
        </w:rPr>
      </w:pPr>
      <w:r>
        <w:rPr>
          <w:rFonts w:ascii="Times New Roman" w:hAnsi="Times New Roman"/>
          <w:sz w:val="20"/>
        </w:rPr>
        <w:t xml:space="preserve">Naked short sales are sales in excess of the option to purchase additional shares of our common stock. The underwriter must close out any naked short position by purchasing shares in the open market. A naked short position is more likely to be created if the underwriter is concerned that there may be downward pressure on the price of the shares of our common stock in the open market after pricing that could adversely affect investors who purchase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 stabilizing bid is a bid for the purchase of shares of common stock on behalf of the underwriter for the purpose of fixing or maintaining the price of the common stock. A syndicate covering transaction is the bid for or the purchase of shares of common stock on behalf of the underwriter to reduce a short position incurred by the underwriter in connection with the offering. Similar to other purchase transactions, the underwriters purchases to cover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 to reclaim the selling concession otherwise accruing in connection with the offering if the common stock originally sold are purchased in a covering transaction and therefore have not been effectively placed.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 make any representation or prediction as to the direction or magnitude of any effect that the transactions described above may have on the price of our common stock. The underwriter is not obligated to engage in these activities and, if commenced, any of the activities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may also engage in passive market making transactions in our common stock on The Nasdaq Global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w:t>
      </w:r>
    </w:p>
    <w:p>
      <w:pPr>
        <w:pStyle w:val="TextBody"/>
        <w:bidi w:val="0"/>
        <w:spacing w:before="360" w:after="0"/>
        <w:jc w:val="left"/>
        <w:rPr>
          <w:rFonts w:ascii="Times New Roman" w:hAnsi="Times New Roman"/>
          <w:b/>
          <w:i/>
          <w:sz w:val="20"/>
        </w:rPr>
      </w:pPr>
      <w:r>
        <w:rPr>
          <w:rFonts w:ascii="Times New Roman" w:hAnsi="Times New Roman"/>
          <w:b/>
          <w:i/>
          <w:sz w:val="20"/>
        </w:rPr>
        <w:t xml:space="preserve">Electronic Distribution </w:t>
      </w:r>
    </w:p>
    <w:p>
      <w:pPr>
        <w:pStyle w:val="TextBody"/>
        <w:bidi w:val="0"/>
        <w:spacing w:before="120" w:after="0"/>
        <w:jc w:val="left"/>
        <w:rPr>
          <w:rFonts w:ascii="Times New Roman" w:hAnsi="Times New Roman"/>
          <w:sz w:val="20"/>
        </w:rPr>
      </w:pPr>
      <w:r>
        <w:rPr>
          <w:rFonts w:ascii="Times New Roman" w:hAnsi="Times New Roman"/>
          <w:sz w:val="20"/>
        </w:rPr>
        <w:t xml:space="preserve">A prospectus in electronic format may be made available by e-mail or on the web sites or through online services maintained by the underwriter or its affiliates. In those cases, prospective investors may view offering terms online and may be allowed to place orders online. The underwriter may agree with us to allocate a specific number of shares of common stock for sale to online brokerage account holders. Any such allocation for online distributions will be made by the underwriter on the same basis as other allocations. Other than the prospectus in electronic format, the information on the underwriters websites and any information contained in any other web site maintained by the underwriter is not part of this prospectus supplement, has not been approved and/or endorsed by us or the underwriter and should not be relied upon by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Other Activities and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 and certain of its affiliates have, from time to time, performed, and may in the future perform, various commercial and investment banking and financial advisory services for us and our affiliates, for which it received or will receive customary 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its various business activities, the underwriter and certain of its affiliates may make or hold a broad array of investments and actively trade debt and equity securities (or related derivative securities) and financial instruments (including bank loans) for its own account and for the account of its respective customers, and such investment and securities activities may involve securities and/or instruments issued by us and our affiliates. If the underwriter or its affiliates have a lending relationship with us, it routinely hedges its credit exposure to us consistent with its customary risk management policies. The underwriter and its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 and certain of its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Selling Restrictions </w:t>
      </w:r>
    </w:p>
    <w:p>
      <w:pPr>
        <w:pStyle w:val="TextBody"/>
        <w:bidi w:val="0"/>
        <w:spacing w:before="120" w:after="0"/>
        <w:jc w:val="left"/>
        <w:rPr>
          <w:rFonts w:ascii="Times New Roman" w:hAnsi="Times New Roman"/>
          <w:i/>
          <w:sz w:val="20"/>
        </w:rPr>
      </w:pPr>
      <w:r>
        <w:rPr>
          <w:rFonts w:ascii="Times New Roman" w:hAnsi="Times New Roman"/>
          <w:i/>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Member State), no securities have been offered or will be offered pursuant to the offering to the public in that Relevant Member State prior to the publication of a prospectus in relation to the securities which have been approved by the competent authority in that Relevant Member State or, where appropriate, approved in another Relevant Member State and notified to the competent authority in that Relevant Member State, all in accordance with the Prospectus Regulation, except that the securities may be offered to the public in that Relevant Member State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Prospectus Regulation) subject to obtaining the prior consent of the representative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c)</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the securities shall require the Company or any of the representative to publish a prospectus pursuant to Article 3 of the Prospectus Regulation or supplement a prospectus pursuant to Article 23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securities in any Relevant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w:t>
      </w:r>
    </w:p>
    <w:p>
      <w:pPr>
        <w:pStyle w:val="TextBody"/>
        <w:bidi w:val="0"/>
        <w:spacing w:before="240" w:after="0"/>
        <w:jc w:val="left"/>
        <w:rPr>
          <w:rFonts w:ascii="Times New Roman" w:hAnsi="Times New Roman"/>
          <w:sz w:val="20"/>
        </w:rPr>
      </w:pPr>
      <w:r>
        <w:rPr>
          <w:rFonts w:ascii="Times New Roman" w:hAnsi="Times New Roman"/>
          <w:sz w:val="20"/>
        </w:rPr>
        <w:t xml:space="preserve">Each person in a Relevant Member State who receives any communication in respect of, or who acquires any securities under, the offering contemplated hereby will be deemed to have represented, warranted and agreed to and with the underwriter and its affiliates and us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a qualified investor within the meaning of the Prospectus Regulation;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securities acquired by it as a financial intermediary, as that term is used in Article 5 of the Prospectus Regulation, (i) the securities acquired by it in the offering have not been acquired on a non-discretionary basis on behalf of, nor have they been acquired with a view to their offer or resale to, persons in any Relevant Member State other than qualified investors, as that term is defined in the Prospectus Regulation, or have been acquired in other circumstances falling within the points (a) to (d) of Article 1(4) of the Prospectus Regulation and the prior consent of the sole bookrunner has been given to the offer or resale; or (ii) where the securities have been acquired by it on behalf of persons in any Relevant Member State other than qualified investors, the offer of those securities to it is not treated under the Prospectus Regulation as having been made to such persons.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the underwriter and its affiliates, and others will rely upon the truth and accuracy of the foregoing representation, acknowledgement and agreement. Notwithstanding the above, a person who is not a qualified investor and who has notified the joint book-running managers of such fact in writing may, with the prior consent of the joint book-running managers, be permitted to acquire securities in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This European Economic Area selling restriction is in addition to any other selling restrictions set out below.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the United Kingdom, no shares have been offered or will be offered pursuant to the offering to the public in the United Kingdom prior to the publication of a prospectus in relation to the shares which has been approved by the Financial Conduct Authority in accordance with the transition provisions in Regulation 74 of the Prospectus (Amendment etc.) (EU Exit) Regulations 2019, except that it may make an offer to the public in the United Kingdom of any shares at any time under the following exemptions under the UK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the UK Prospectus Regulation), subject to obtaining the prior consent of the representative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c)</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section 86 of the Financial Services and Markets Act 2000 (as amended, the FSMA),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the shares shall require us or the underwriter to publish a prospectus pursuant to section 85 of the FSMA or supplement a prospectus pursuant to Article 23 of the UK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In the United Kingdom, the offering is only addressed to, and is directed only at, qualified investors within the meaning of Article 2(e) of the UK Prospectus Regulation, who are also (i) persons having professional experience in matters relating to investments who fall within the definition of investment professionals in Article 19(5) of the Financial Services and Markets Act 2000 (Financial Promotion) Order 2005 (as amended, the Order); (ii) high net worth entities or other persons falling within Article 49(2)(a) to (d) of the Order; or (iii) persons to whom it may otherwise lawfully be communicated (all such persons being referred to as relevant persons). This document must not be acted on or relied on by persons who are not relevant persons. Any investment or investment activity to which this document relates is available only to relevant persons and will be engaged in only with relevant persons.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shares in the United Kingdom means the communication in any form and by any means of sufficient information on the terms of the offering and any shares to be offered so as to enable an investor to decide to purchase or subscribe for any shares, and the expression UK Prospectus Regulation means the Regulation (EU) 2017/1129 as it forms part of domestic law by virtue of the European Union (Withdrawal) Act 2018.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person in the UK who acquires any securities in the offer or to whom any offer is made will be deemed to have represented, acknowledged and agreed to and with us, the underwriter and its affiliates that it meets the criteria outlined in this section.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Bermuda </w:t>
      </w:r>
    </w:p>
    <w:p>
      <w:pPr>
        <w:pStyle w:val="TextBody"/>
        <w:bidi w:val="0"/>
        <w:spacing w:before="120" w:after="0"/>
        <w:jc w:val="left"/>
        <w:rPr>
          <w:rFonts w:ascii="Times New Roman" w:hAnsi="Times New Roman"/>
          <w:sz w:val="20"/>
        </w:rPr>
      </w:pPr>
      <w:r>
        <w:rPr>
          <w:rFonts w:ascii="Times New Roman" w:hAnsi="Times New Roman"/>
          <w:sz w:val="20"/>
        </w:rPr>
        <w:t xml:space="preserve">Securities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supplement in Australia, you confirm and warrant that you are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sophisticated investor under section 708(8)(a) or (b) of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associated with the Company under Section 708(12) of the Corporations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professional investor within the meaning of section 708(11)(a) or (b) of the Corporations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you are unable to confirm or warrant that you are an exempt sophisticated investor, associated person or professional investor under the Corporations Act any offer made to you under this prospectus supplement is void and incapable of acceptance. </w:t>
      </w:r>
    </w:p>
    <w:p>
      <w:pPr>
        <w:pStyle w:val="TextBody"/>
        <w:bidi w:val="0"/>
        <w:spacing w:before="240" w:after="0"/>
        <w:jc w:val="left"/>
        <w:rPr>
          <w:rFonts w:ascii="Times New Roman" w:hAnsi="Times New Roman"/>
          <w:sz w:val="20"/>
        </w:rPr>
      </w:pPr>
      <w:r>
        <w:rPr>
          <w:rFonts w:ascii="Times New Roman" w:hAnsi="Times New Roman"/>
          <w:sz w:val="20"/>
        </w:rPr>
        <w:t xml:space="preserve">You warrant and agree that you will not offer any of the securities issued to you pursuant to this prospectus supplement for resale in Australia within 12 months of those securities being issued unless any such resale offer is exempt from the requirement to issue a disclosure document under section 708 of the Corporations Act.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and any rules made under that Ordinance; or in other circumstances which do not result in the document being a prospectus- as defined in the Companies Ordinance (Cap. 32) of Hong Kong or which do not constitute an offer or invitation to the public within the meaning of the Companies Ordinance (Cap. 32) or the Securities and Futures Ordinance (Cap. 571) of Hong Kong. No document, invitation or advertisement relating to the securities has been issued or may be issued or may be in the possession of any person for the purpose of issue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Securities and Futures Ordinance (Cap. 571) of Hong Kong and any rules made under that Ordinance.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has not been registered with the Registrar of Companies in Hong Kong. Accordingly, this prospectus supplement may not be issued, circulated or distributed in Hong Kong, and the securities may not be offered for subscription to members of the public in Hong Kong. Each person acquiring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will be required, and is deemed by the acquisition of the securities, to confirm that he or she is aware of the restriction on offers of the securities described in this prospectus supplement and the relevant offering documents and that he is not acquiring, and has not been offered, any securities in circumstances that contravene any such restrictions.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offering has not been and will not be registered under the Financial Instruments and Exchange Law of Japan (Law No. 25 of 1948 of Japan, as amended) (FIEL), and the underwriter will not offer or sell any securities, directly or indirectly, in Japan or to, or for the benefit of, any resident of Japan (which term as used herein means, unless otherwise provided herein, any person resident in Japan, including any corporation or other entity organized under the laws of Japan), or to others for re-offering or resale, directly or indirectly, in Japan or to or for the benefit of a resident of Japan, except pursuant to an exemption from S-30 the registration requirements of and otherwise in compliance with, the FIEL and any other applicable laws, regulations and ministerial guidelines of Japan.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has not been registered as a prospectus with the Monetary Authority of Singapore. Accordingly, this prospectus supplement and any other document or material in connection with the offer or sale, or the invitation for subscription or purchase, of the securities may not be issued,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of the SFA, or any person pursuant to Section 275(1A) of the SFA and in accordance with the conditions specified in Section 275 of the SFA or (iii) otherwise pursuant to, and in accordance with the conditions of, any other applicable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securities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SPA))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defined in Section 275(2) of the SFA,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32 of the Securities and Futures (Offers of Investments) (Shares and Debentures) Regulations 2005 of Singapore.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Singapore SPA Product ClassificationIn connection with Section 309B of the SPA and the Securities and Futures (Capital Markets Products) Regulations 2018 (the CMP Regulations 2018), we have determined, and hereby notify all relevant persons (as (termed in the CMP Regulations 2018), that the shares are prescribed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may not be publicly offered in Switzerland and will not be listed on the SIX Swiss Exchange (SIX),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securities or the offering may be publicly distributed or otherwise made publicly available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prospectus supplement nor any other offering or marketing material relating to the offering, the Company or the securities have been or will be filed with or approved by any Swiss regulatory authority. In particular, this document will not be filed with and the offer of securities will not be supervised by, the Swiss Financial Market Supervisory Authority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the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Canada </w:t>
      </w:r>
    </w:p>
    <w:p>
      <w:pPr>
        <w:pStyle w:val="TextBody"/>
        <w:bidi w:val="0"/>
        <w:spacing w:before="120" w:after="0"/>
        <w:jc w:val="left"/>
        <w:rPr>
          <w:rFonts w:ascii="Times New Roman" w:hAnsi="Times New Roman"/>
          <w:i/>
          <w:sz w:val="20"/>
        </w:rPr>
      </w:pPr>
      <w:r>
        <w:rPr>
          <w:rFonts w:ascii="Times New Roman" w:hAnsi="Times New Roman"/>
          <w:i/>
          <w:sz w:val="20"/>
        </w:rPr>
        <w:t xml:space="preserve">(A) Resale Restrictions </w:t>
      </w:r>
    </w:p>
    <w:p>
      <w:pPr>
        <w:pStyle w:val="TextBody"/>
        <w:bidi w:val="0"/>
        <w:spacing w:before="120" w:after="0"/>
        <w:jc w:val="left"/>
        <w:rPr>
          <w:rFonts w:ascii="Times New Roman" w:hAnsi="Times New Roman"/>
          <w:sz w:val="20"/>
        </w:rPr>
      </w:pPr>
      <w:r>
        <w:rPr>
          <w:rFonts w:ascii="Times New Roman" w:hAnsi="Times New Roman"/>
          <w:sz w:val="20"/>
        </w:rPr>
        <w:t xml:space="preserve">The distribution of securities in Canada is being made only in the provinces of Ontario, Quebec, Alberta, British Columbia, Manitoba, New Brunswick and Nova Scotia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(B) Representations of Canadian Purchasers </w:t>
      </w:r>
    </w:p>
    <w:p>
      <w:pPr>
        <w:pStyle w:val="TextBody"/>
        <w:bidi w:val="0"/>
        <w:spacing w:before="120" w:after="0"/>
        <w:jc w:val="left"/>
        <w:rPr>
          <w:rFonts w:ascii="Times New Roman" w:hAnsi="Times New Roman"/>
          <w:sz w:val="20"/>
        </w:rPr>
      </w:pPr>
      <w:r>
        <w:rPr>
          <w:rFonts w:ascii="Times New Roman" w:hAnsi="Times New Roman"/>
          <w:sz w:val="20"/>
        </w:rPr>
        <w:t xml:space="preserve">By purchasing securities in Canada and accepting delivery of a purchase confirmation, a purchaser is representing to us and the dealer from whom the purchase confirmation is received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purchaser is entitled under applicable provincial securities laws to purchase the securities without the benefit of a prospectus qualified under those securities laws as it is an accredited investor as defined under National Instrument 45-106Prospectus Exemptions or Section 73.3(1) of the </w:t>
            </w:r>
            <w:r>
              <w:rPr>
                <w:rFonts w:ascii="Times New Roman" w:hAnsi="Times New Roman"/>
                <w:b/>
                <w:i/>
                <w:sz w:val="20"/>
              </w:rPr>
              <w:t xml:space="preserve">Securities Act </w:t>
            </w:r>
            <w:r>
              <w:rPr>
                <w:rFonts w:ascii="Times New Roman" w:hAnsi="Times New Roman"/>
                <w:sz w:val="20"/>
              </w:rPr>
              <w:t xml:space="preserve">(Ontario),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purchaser is a permitted client as defined in National Instrument 31-103 Registration Requirements, Exemptions and Ongoing Registrant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required by law, the purchaser is purchasing as principal and not as agent;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purchaser has reviewed the text above under Resale Restrictions.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 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Canadian purchasers are hereby notified that the underwriter is relying on the exemption set out in section 3A.3 or 3A.4, if applicable, of National Instrument 33-105 Underwriting Conflicts from having to provide certain conflict of interest disclosure in this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(D) Statutory Rights of Action </w:t>
      </w:r>
    </w:p>
    <w:p>
      <w:pPr>
        <w:pStyle w:val="TextBody"/>
        <w:bidi w:val="0"/>
        <w:spacing w:before="12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 </w:t>
      </w:r>
    </w:p>
    <w:p>
      <w:pPr>
        <w:pStyle w:val="TextBody"/>
        <w:bidi w:val="0"/>
        <w:spacing w:before="360" w:after="0"/>
        <w:jc w:val="left"/>
        <w:rPr>
          <w:rFonts w:ascii="Times New Roman" w:hAnsi="Times New Roman"/>
          <w:i/>
          <w:sz w:val="20"/>
        </w:rPr>
      </w:pPr>
      <w:r>
        <w:rPr>
          <w:rFonts w:ascii="Times New Roman" w:hAnsi="Times New Roman"/>
          <w:i/>
          <w:sz w:val="20"/>
        </w:rPr>
        <w:t xml:space="preserve">(E) Enforcement of Legal Rights </w:t>
      </w:r>
    </w:p>
    <w:p>
      <w:pPr>
        <w:pStyle w:val="TextBody"/>
        <w:bidi w:val="0"/>
        <w:spacing w:before="120" w:after="0"/>
        <w:jc w:val="left"/>
        <w:rPr>
          <w:rFonts w:ascii="Times New Roman" w:hAnsi="Times New Roman"/>
          <w:sz w:val="20"/>
        </w:rPr>
      </w:pPr>
      <w:r>
        <w:rPr>
          <w:rFonts w:ascii="Times New Roman" w:hAnsi="Times New Roman"/>
          <w:sz w:val="20"/>
        </w:rPr>
        <w:t xml:space="preserve">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 </w:t>
      </w:r>
    </w:p>
    <w:p>
      <w:pPr>
        <w:pStyle w:val="TextBody"/>
        <w:bidi w:val="0"/>
        <w:spacing w:before="360" w:after="0"/>
        <w:jc w:val="left"/>
        <w:rPr>
          <w:rFonts w:ascii="Times New Roman" w:hAnsi="Times New Roman"/>
          <w:i/>
          <w:sz w:val="20"/>
        </w:rPr>
      </w:pPr>
      <w:r>
        <w:rPr>
          <w:rFonts w:ascii="Times New Roman" w:hAnsi="Times New Roman"/>
          <w:i/>
          <w:sz w:val="20"/>
        </w:rPr>
        <w:t xml:space="preserve">(F) Taxation and Eligibility for Investment </w:t>
      </w:r>
    </w:p>
    <w:p>
      <w:pPr>
        <w:pStyle w:val="TextBody"/>
        <w:bidi w:val="0"/>
        <w:spacing w:before="120" w:after="0"/>
        <w:jc w:val="left"/>
        <w:rPr>
          <w:rFonts w:ascii="Times New Roman" w:hAnsi="Times New Roman"/>
          <w:sz w:val="20"/>
        </w:rPr>
      </w:pPr>
      <w:r>
        <w:rPr>
          <w:rFonts w:ascii="Times New Roman" w:hAnsi="Times New Roman"/>
          <w:sz w:val="20"/>
        </w:rPr>
        <w:t xml:space="preserve">Canadian purchasers of securities should consult their own legal and tax advisors with respect to the tax consequences of an investment in the securities in their particular circumstances and about the eligibility of the securities for investment by the purchaser under relevant Canadian legislation.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Israel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does not constitute a prospectus under the Israeli Securities Law, 5728-1968, or the Securities Law, and has not been filed with or approved by the Israel Securities Authority. In Israel, this prospectus supplement is being distributed only to, and is directed only at, and any offer of our securities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Non-U.S. Legend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is for use solely in connection with the proposed offering in certain jurisdictions. This prospectus supplement is not to be distributed in any other jurisdiction and is not to be used in connection with any offer of, or any invitation or solicitation by or on behalf of the Company to subscribe for or purchase, securities in any other jurisdiction. This prospectus supplement is personal to each offeree and does not constitute an offer to any person or to the public generally to subscribe for or otherwise acquire the securities. Distribution of this prospectus supplement to any person other than the prospective investor and any person retained to advise such prospective investor with respect to its purchase is unauthorized. </w:t>
      </w:r>
    </w:p>
    <w:p>
      <w:pPr>
        <w:pStyle w:val="TextBody"/>
        <w:bidi w:val="0"/>
        <w:spacing w:before="240" w:after="0"/>
        <w:jc w:val="left"/>
        <w:rPr>
          <w:rFonts w:ascii="Times New Roman" w:hAnsi="Times New Roman"/>
          <w:sz w:val="20"/>
        </w:rPr>
      </w:pPr>
      <w:r>
        <w:rPr>
          <w:rFonts w:ascii="Times New Roman" w:hAnsi="Times New Roman"/>
          <w:sz w:val="20"/>
        </w:rPr>
        <w:t xml:space="preserve">Delivery of this prospectus supplement shall not constitute an offer to sell or the solicitation of an offer to buy the securities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this prospectus supplement in certain jurisdictions may be restricted by law. You must inform yourself about, and observe, any such restrictions. You must comply with all applicable laws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regulations in force in any jurisdiction in which you purchase, offer or sell the securities or possess or distribute this prospectus supplement and must obtain any consent, approval or permission required for your purchase, offer or sale of the securities under the laws and regulations in force in any jurisdiction to which you are subject or in which you make such purchases, offers or sales. We and the underwriter are not making an offer of, or invitation to purchase, any of the securities to any person in any jurisdiction in which such offer or solicitation would be unlawful.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has not been submitted to the review or registration procedures of any regulatory authority outside the United States. The offering of the securities pursuant to this prospectus supplement has not been approved or recommended by any governmental securities regulator.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toc783702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issuance of the securities offered by this prospectus supplement will be passed upon for us by Mintz, Levin, Cohn, Ferris, Glovsky and Popeo, P.C., San Diego, California. Certain legal matters in connection with this offering will be passed upon for the underwriter by Goodwin Procter LLP, New York, New York. </w:t>
      </w:r>
    </w:p>
    <w:p>
      <w:pPr>
        <w:pStyle w:val="TextBody"/>
        <w:bidi w:val="0"/>
        <w:spacing w:before="480" w:after="0"/>
        <w:jc w:val="center"/>
        <w:rPr>
          <w:rFonts w:ascii="Times New Roman" w:hAnsi="Times New Roman"/>
          <w:b/>
          <w:sz w:val="20"/>
        </w:rPr>
      </w:pPr>
      <w:bookmarkStart w:id="15" w:name="suptoc783702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Exagen Inc. as of December 31, 2024 and 2023, and for the years then ended incorporated by reference in this prospectus supplement, and in the registration statement have been so incorporated in reliance on the report of BDO USA, P.C., an independent registered public accounting firm, given on the authority of said firm as experts in auditing and accounting. </w:t>
      </w:r>
    </w:p>
    <w:p>
      <w:pPr>
        <w:pStyle w:val="TextBody"/>
        <w:bidi w:val="0"/>
        <w:spacing w:before="480" w:after="0"/>
        <w:jc w:val="center"/>
        <w:rPr>
          <w:rFonts w:ascii="Times New Roman" w:hAnsi="Times New Roman"/>
          <w:b/>
          <w:sz w:val="20"/>
        </w:rPr>
      </w:pPr>
      <w:bookmarkStart w:id="16" w:name="suptoc783702_14"/>
      <w:bookmarkEnd w:id="16"/>
      <w:r>
        <w:rPr>
          <w:rFonts w:ascii="Times New Roman" w:hAnsi="Times New Roman"/>
          <w:b/>
          <w:sz w:val="20"/>
        </w:rPr>
        <w:t xml:space="preserve">WHERE YOU CAN FIND MORE INFORMATION;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are currently subject to the reporting requirements of the Exchange Act, and in accordance therewith file periodic reports, proxy statements and other information with the SEC. Our SEC filings are available to you on the SECs website at http://www.sec.gov and in the Investors  SEC Filings section of our website at www.exagen.com. Our website and the information contained on that site, or connected to that site, are not incorporated into and are not a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and the accompanying prospectus. Information in this prospectus supplement and the accompanying prospectus supersedes information incorporated by reference that we filed with the SEC prior to the date of this prospectus supplement, while information that we file later with the SEC will automatically update and supersede the information in this prospectus supplement and the accompanying prospectus. You should rely only on the information contained in this prospectus supplement or incorporated by reference herein or therein. We have not authorized anyone else to provide you with different information. We are not making an offer of these securities in any state where the offer is not permitted. You should not assume that the information in this prospectus supplement is accurate as of any date other than the date on the front page of this prospectus supplement, regardless of the time of delivery of this prospectus supplement or any sale of the securities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supplement, the accompanying prospectus and the registration statement of which this prospectus supplement and the accompanying prospectus form a part the information or documents listed below that we have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year ended December 31, 2024 filed with the SEC on </w:t>
            </w:r>
            <w:hyperlink r:id="rId3">
              <w:r>
                <w:rPr>
                  <w:rStyle w:val="InternetLink"/>
                  <w:rFonts w:ascii="Times New Roman" w:hAnsi="Times New Roman"/>
                  <w:sz w:val="20"/>
                </w:rPr>
                <w:t>March 11,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Form 10-Q for the quarter ended March 31, 2025, filed with the SEC on </w:t>
            </w:r>
            <w:hyperlink r:id="rId4">
              <w:r>
                <w:rPr>
                  <w:rStyle w:val="InternetLink"/>
                  <w:rFonts w:ascii="Times New Roman" w:hAnsi="Times New Roman"/>
                  <w:sz w:val="20"/>
                </w:rPr>
                <w:t>May 5,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year ended December  31, 2024 from our Definitive Proxy Statement on Schedule 14A, filed on </w:t>
            </w:r>
            <w:hyperlink r:id="rId5">
              <w:r>
                <w:rPr>
                  <w:rStyle w:val="InternetLink"/>
                  <w:rFonts w:ascii="Times New Roman" w:hAnsi="Times New Roman"/>
                  <w:sz w:val="20"/>
                </w:rPr>
                <w:t>April 30,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6">
              <w:r>
                <w:rPr>
                  <w:rStyle w:val="InternetLink"/>
                  <w:rFonts w:ascii="Times New Roman" w:hAnsi="Times New Roman"/>
                  <w:sz w:val="20"/>
                </w:rPr>
                <w:t>January 13, 2025</w:t>
              </w:r>
            </w:hyperlink>
            <w:r>
              <w:rPr>
                <w:rFonts w:ascii="Times New Roman" w:hAnsi="Times New Roman"/>
                <w:sz w:val="20"/>
              </w:rPr>
              <w:t xml:space="preserve">, </w:t>
            </w:r>
            <w:hyperlink r:id="rId7">
              <w:r>
                <w:rPr>
                  <w:rStyle w:val="InternetLink"/>
                  <w:rFonts w:ascii="Times New Roman" w:hAnsi="Times New Roman"/>
                  <w:sz w:val="20"/>
                </w:rPr>
                <w:t>March  11, 2025</w:t>
              </w:r>
            </w:hyperlink>
            <w:r>
              <w:rPr>
                <w:rFonts w:ascii="Times New Roman" w:hAnsi="Times New Roman"/>
                <w:sz w:val="20"/>
              </w:rPr>
              <w:t xml:space="preserve">, </w:t>
            </w:r>
            <w:hyperlink r:id="rId8">
              <w:r>
                <w:rPr>
                  <w:rStyle w:val="InternetLink"/>
                  <w:rFonts w:ascii="Times New Roman" w:hAnsi="Times New Roman"/>
                  <w:sz w:val="20"/>
                </w:rPr>
                <w:t>April  28, 2025</w:t>
              </w:r>
            </w:hyperlink>
            <w:r>
              <w:rPr>
                <w:rFonts w:ascii="Times New Roman" w:hAnsi="Times New Roman"/>
                <w:sz w:val="20"/>
              </w:rPr>
              <w:t xml:space="preserve"> and </w:t>
            </w:r>
            <w:hyperlink r:id="rId9">
              <w:r>
                <w:rPr>
                  <w:rStyle w:val="InternetLink"/>
                  <w:rFonts w:ascii="Times New Roman" w:hAnsi="Times New Roman"/>
                  <w:sz w:val="20"/>
                </w:rPr>
                <w:t>May 5, 2025</w:t>
              </w:r>
            </w:hyperlink>
            <w:r>
              <w:rPr>
                <w:rFonts w:ascii="Times New Roman" w:hAnsi="Times New Roman"/>
                <w:sz w:val="20"/>
              </w:rPr>
              <w:t xml:space="preserve"> (in each case other than any portions thereof deemed furnished and not filed);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our Annual Report on Form 10-K for the year ended December 31, 2024 filed with the SEC on </w:t>
            </w:r>
            <w:hyperlink r:id="rId10">
              <w:r>
                <w:rPr>
                  <w:rStyle w:val="InternetLink"/>
                  <w:rFonts w:ascii="Times New Roman" w:hAnsi="Times New Roman"/>
                  <w:sz w:val="20"/>
                </w:rPr>
                <w:t>March  11, 2025</w:t>
              </w:r>
            </w:hyperlink>
            <w:r>
              <w:rPr>
                <w:rFonts w:ascii="Times New Roman" w:hAnsi="Times New Roman"/>
                <w:sz w:val="20"/>
              </w:rPr>
              <w:t xml:space="preserve">, under the Exchange Act, including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until the termination of the offering of the shares of our securities made by this prospectus supplement and accompanying prospectus and will become a part of this prospectus supplement and accompanying prospectus from the date that such documents are filed with the SEC. Information in such future filings updates and supplements the information provided in this prospectus supplement and accompanying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orally or in writing, a copy of any or all of the documents incorporated herein by reference. These documents will be provided to you at no cost, by calling us at (760) 560-1501 or by contacting: Exagen Inc., Attn: Corporate Secretary: 1261 Liberty Way, Vista, California 92081.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36"/>
        </w:rPr>
      </w:pPr>
      <w:r>
        <w:rPr>
          <w:rFonts w:ascii="Times New Roman" w:hAnsi="Times New Roman"/>
          <w:b/>
          <w:sz w:val="36"/>
        </w:rPr>
        <w:t xml:space="preserve">$150,000,000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2508885" cy="917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2508885" cy="9175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up to $150.0 million in the aggregate of the securities identified above from time to time in one or more offerings. This prospectus provides you with a general description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describes the general terms of these securities and the general manner in which these securities will be offered. 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the documents we incorporate by reference before you invest in any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before="240" w:after="0"/>
        <w:jc w:val="left"/>
        <w:rPr/>
      </w:pPr>
      <w:r>
        <w:rPr>
          <w:rFonts w:ascii="Times New Roman" w:hAnsi="Times New Roman"/>
          <w:b/>
          <w:sz w:val="20"/>
        </w:rPr>
        <w:t>INVESTING IN OUR SECURITIES INVOLVES RISKS. SEE THE </w:t>
      </w:r>
      <w:hyperlink w:anchor="toc783702_13">
        <w:r>
          <w:rPr>
            <w:rStyle w:val="InternetLink"/>
            <w:rFonts w:ascii="Times New Roman" w:hAnsi="Times New Roman"/>
            <w:b/>
            <w:sz w:val="20"/>
          </w:rPr>
          <w:t>RISK FACTORS</w:t>
        </w:r>
      </w:hyperlink>
      <w:r>
        <w:rPr>
          <w:rFonts w:ascii="Times New Roman" w:hAnsi="Times New Roman"/>
          <w:b/>
          <w:sz w:val="20"/>
        </w:rPr>
        <w:t xml:space="preserve"> ON PAGE 4 OF THIS PROSPECTUS AND ANY SIMILAR SECTION CONTAINED IN THE APPLICABLE PROSPECTUS SUPPLEMENT CONCERNING FACTORS YOU SHOULD CONSIDER BEFORE INVESTING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symbol XGN. On November 24, 2023, the last reported sale price of our common stock on The Nasdaq Global Market was $1.55 per share. On March 20, 2023, the date we filed our Annual Report on Form 10-K for the fiscal year ended December 31, 2022, our prospectus became subject to the offering limits in General Instruction I.B.6 of Form S-3. As of the date hereof, the aggregate market value of our common stock held by non-affiliates pursuant to General Instruction I.B.6 of Form S-3 is $30.7 million, which was calculated based on 12,832,888 shares of our common stock outstanding held by non-affiliates and a price of $2.39 per share, the closing price of our common stock on October 2, 2023. As of the date of this prospectus, we have not sold any securities pursuant to General Instruction I.B.6 of Form S-3 during the 12 calendar months prior to, and including, the date of this prospectus. Pursuant to General Instruction I.B.6 of Form S-3, in no event will we sell securities in public primary offerings on Form S-3 with a value exceeding more than one-third of our public float (as defined by General Instruction I.B.6) in any 12 calendar month period so long as our public float remains below $75 million.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November 29,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783702_11">
              <w:r>
                <w:rPr>
                  <w:rStyle w:val="InternetLink"/>
                  <w:rFonts w:ascii="Times New Roman" w:hAnsi="Times New Roman"/>
                  <w:sz w:val="20"/>
                </w:rPr>
                <w:t>ABOUT THIS PROSPECTUS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783702_12">
              <w:r>
                <w:rPr>
                  <w:rStyle w:val="InternetLink"/>
                  <w:rFonts w:ascii="Times New Roman" w:hAnsi="Times New Roman"/>
                  <w:sz w:val="20"/>
                </w:rPr>
                <w:t>PROSPECTUS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783702_13">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783702_14">
              <w:r>
                <w:rPr>
                  <w:rStyle w:val="InternetLink"/>
                  <w:rFonts w:ascii="Times New Roman" w:hAnsi="Times New Roman"/>
                  <w:sz w:val="20"/>
                </w:rPr>
                <w:t>CAUTIONARY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783702_15">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783702_16">
              <w:r>
                <w:rPr>
                  <w:rStyle w:val="InternetLink"/>
                  <w:rFonts w:ascii="Times New Roman" w:hAnsi="Times New Roman"/>
                  <w:sz w:val="20"/>
                </w:rPr>
                <w:t>DIVIDEND POLICY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783702_17">
              <w:r>
                <w:rPr>
                  <w:rStyle w:val="InternetLink"/>
                  <w:rFonts w:ascii="Times New Roman" w:hAnsi="Times New Roman"/>
                  <w:sz w:val="20"/>
                </w:rPr>
                <w:t>DESCRIPTION OF CAPITAL STOCK</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783702_18">
              <w:r>
                <w:rPr>
                  <w:rStyle w:val="InternetLink"/>
                  <w:rFonts w:ascii="Times New Roman" w:hAnsi="Times New Roman"/>
                  <w:sz w:val="20"/>
                </w:rPr>
                <w:t>DESCRIPTION OF DEBT SECURITIES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783702_19">
              <w:r>
                <w:rPr>
                  <w:rStyle w:val="InternetLink"/>
                  <w:rFonts w:ascii="Times New Roman" w:hAnsi="Times New Roman"/>
                  <w:sz w:val="20"/>
                </w:rPr>
                <w:t>DESCRIPTION OF WARRANTS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783702_110">
              <w:r>
                <w:rPr>
                  <w:rStyle w:val="InternetLink"/>
                  <w:rFonts w:ascii="Times New Roman" w:hAnsi="Times New Roman"/>
                  <w:sz w:val="20"/>
                </w:rPr>
                <w:t>DESCRIPTION OF UNITS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783702_111">
              <w:r>
                <w:rPr>
                  <w:rStyle w:val="InternetLink"/>
                  <w:rFonts w:ascii="Times New Roman" w:hAnsi="Times New Roman"/>
                  <w:sz w:val="20"/>
                </w:rPr>
                <w:t>GLOBAL SECURITIES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783702_112">
              <w:r>
                <w:rPr>
                  <w:rStyle w:val="InternetLink"/>
                  <w:rFonts w:ascii="Times New Roman" w:hAnsi="Times New Roman"/>
                  <w:sz w:val="20"/>
                </w:rPr>
                <w:t>PLAN OF DISTRIBUTION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783702_113">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783702_114">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783702_115">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783702_116">
              <w:r>
                <w:rPr>
                  <w:rStyle w:val="InternetLink"/>
                  <w:rFonts w:ascii="Times New Roman" w:hAnsi="Times New Roman"/>
                  <w:sz w:val="20"/>
                </w:rPr>
                <w:t>INCORPORATION OF DOCUMENTS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1">
              <w:r>
                <w:rPr>
                  <w:rStyle w:val="InternetLink"/>
                  <w:rFonts w:ascii="Times New Roman" w:hAnsi="Times New Roman"/>
                  <w:sz w:val="20"/>
                </w:rPr>
                <w:t xml:space="preserve">ABOUT THIS PROSPECTUS SUPPLEMENT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2">
              <w:r>
                <w:rPr>
                  <w:rStyle w:val="InternetLink"/>
                  <w:rFonts w:ascii="Times New Roman" w:hAnsi="Times New Roman"/>
                  <w:sz w:val="20"/>
                </w:rPr>
                <w:t>PROSPECTUS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3">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5">
              <w:r>
                <w:rPr>
                  <w:rStyle w:val="InternetLink"/>
                  <w:rFonts w:ascii="Times New Roman" w:hAnsi="Times New Roman"/>
                  <w:sz w:val="20"/>
                </w:rPr>
                <w:t>CAUTIONARY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7">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8">
              <w:r>
                <w:rPr>
                  <w:rStyle w:val="InternetLink"/>
                  <w:rFonts w:ascii="Times New Roman" w:hAnsi="Times New Roman"/>
                  <w:sz w:val="20"/>
                </w:rPr>
                <w:t>PLAN OF DISTRIBUTION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9">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10">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11">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12">
              <w:r>
                <w:rPr>
                  <w:rStyle w:val="InternetLink"/>
                  <w:rFonts w:ascii="Times New Roman" w:hAnsi="Times New Roman"/>
                  <w:sz w:val="20"/>
                </w:rPr>
                <w:t>INCORPORATION OF DOCUMENTS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S-36</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783702_11"/>
      <w:bookmarkEnd w:id="17"/>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$150.0 million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headings Where You Can Find More Information and Incorporation of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Exagen, we, our, us and the Company in this prospectus, we mean Exagen Inc., unless otherwise specified. When we refer to you, we mean the holders of the applicable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use our trademarks in this prospectus as well as trademarks, tradenames and service marks that are the property of other organizations. Solely for convenience, certain trademarks and tradenames referred to in this prospectus appear without the ® and </w:t>
      </w:r>
      <w:r>
        <w:rPr>
          <w:rFonts w:ascii="Times New Roman" w:hAnsi="Times New Roman"/>
          <w:b/>
          <w:sz w:val="20"/>
        </w:rPr>
        <w:t>TM</w:t>
      </w:r>
      <w:r>
        <w:rPr>
          <w:rFonts w:ascii="Times New Roman" w:hAnsi="Times New Roman"/>
          <w:sz w:val="20"/>
        </w:rPr>
        <w:t xml:space="preserve"> symbols, but those references are not intended to indicate, in any way, that we will not assert, to the fullest extent under applicable law, our rights or that the applicable owner will not assert its rights, to these trademarks and tradenames.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8" w:name="toc783702_12"/>
      <w:bookmarkEnd w:id="18"/>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About Exagen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exist to provide clarity in autoimmune disease decision making with the goal of improving patients clinical outcomes. We have developed and are commercializing a portfolio of innovative testing products under our AVISE® brand which demonstrate excellent quality and performance. We believe our focus on and experience in the field of rheumatology, combined with our commitment to excellent customer service and support, position us very well to respond to the needs of rheumatologists and the patients they 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Marketed under our AVISE® brand, our testing products allow for the differential diagnosis, prognosis and monitoring of complex autoimmune and autoimmune-related diseases, including systemic lupus erythematosus (SLE) and rheumatoid arthritis (RA). We commercially launched our lead testing product, AVISE® CTD, in 2012. AVISE® CTD enables differential diagnosis for patients presenting with symptoms indicative of a wide variety of connective tissue diseases (CTDs) and other related diseases with overlapping symptoms. There is an unmet need for rheumatologists to add clarity in their CTD clinical evaluation, and we believe there is a significant opportunity for our tests that enable the differential diagnosis of these diseases, particularly for potentially life-threatening diseases such as SLE.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perform all of our AVISE® tests in our approximately 13,000 square foot laboratory located in Vista, California, which is certified under the Clinical Laboratory Improvement Amendments of 1988, or CLIA, and accredited by the College of American Pathologist. Our laboratory is certified for performance of high-complexity testing by the Centers for Medicare &amp; Medicaid Services in accordance with CLIA and is licensed by all states requiring out-of-state licensure. Our clinical laboratory typically reports all AVISE® testing product results within five business days.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Additional Information </w:t>
      </w:r>
    </w:p>
    <w:p>
      <w:pPr>
        <w:pStyle w:val="TextBody"/>
        <w:bidi w:val="0"/>
        <w:spacing w:before="120" w:after="0"/>
        <w:jc w:val="left"/>
        <w:rPr/>
      </w:pPr>
      <w:r>
        <w:rPr>
          <w:rFonts w:ascii="Times New Roman" w:hAnsi="Times New Roman"/>
          <w:sz w:val="20"/>
          <w:bdr w:val="single" w:sz="8" w:space="1" w:color="000000"/>
        </w:rPr>
        <w:t>For additional information related to our business and operations, please refer to the reports incorporated herein by reference, as described under the caption </w:t>
      </w:r>
      <w:hyperlink w:anchor="toc783702_116">
        <w:r>
          <w:rPr>
            <w:rStyle w:val="InternetLink"/>
            <w:rFonts w:ascii="Times New Roman" w:hAnsi="Times New Roman"/>
            <w:sz w:val="20"/>
            <w:bdr w:val="single" w:sz="8" w:space="1" w:color="000000"/>
          </w:rPr>
          <w:t>Incorporation of Documents by Reference</w:t>
        </w:r>
      </w:hyperlink>
      <w:r>
        <w:rPr>
          <w:rFonts w:ascii="Times New Roman" w:hAnsi="Times New Roman"/>
          <w:sz w:val="20"/>
          <w:bdr w:val="single" w:sz="8" w:space="1" w:color="000000"/>
        </w:rPr>
        <w:t xml:space="preserve"> on page 33 of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New Mexico in 2002, under the name Exagen Corporation. In 2003, we changed our state of incorporation from New Mexico to Delaware by merging with and into Exagen Diagnostics, Inc., pursuant to which we changed our name to Exagen Diagnostics, Inc. In January 2019 we changed our name to Exagen Inc. In September 2019, we completed our initial public offering and in March 2021, we completed our secondary public offering. Our principal executive offices are located at 1261 Liberty Way, Vista, California 92081. Our telephone number is (760) 560-1501.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maintain a website at </w:t>
      </w:r>
      <w:r>
        <w:rPr>
          <w:rFonts w:ascii="Times New Roman" w:hAnsi="Times New Roman"/>
          <w:i/>
          <w:sz w:val="20"/>
          <w:bdr w:val="single" w:sz="8" w:space="1" w:color="000000"/>
        </w:rPr>
        <w:t>http://www.exagen.com</w:t>
      </w:r>
      <w:r>
        <w:rPr>
          <w:rFonts w:ascii="Times New Roman" w:hAnsi="Times New Roman"/>
          <w:sz w:val="20"/>
          <w:bdr w:val="single" w:sz="8" w:space="1" w:color="000000"/>
        </w:rPr>
        <w:t xml:space="preserve"> to which we regularly post copies of our press releases as well as additional information about us. The information contained on, or that can be accessed through, our website is not a part of this prospectus. We have included our website address in this prospectus solely as an inactive textual reference.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Annual Reports on Form 10-K, Quarterly Reports on Form 10-Q, Current Reports on Form 8-K and all amendments to those reports filed or furnished pursuant to Section 13(a) or 15(d) of the Securities Exchange Act of 1934, as amended are available free of charge through the investor relations page of our website as soon as reasonably practicable after we electronically file such material with, or furnish it to, the SEC.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All brand names or trademarks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Offerings Under This Prospectus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this prospectus, we may offer shares of our common stock or preferred stock, various series of debt securities and/or warrants to purchase any of such securities, either individually or in units, with a total aggregate offering price of up to $150.0 million,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designation or classification;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aggregate principal amount or aggregate offering price;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maturity, if applicable;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rates and times of payment of interest or dividends,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conversion or sinking fund terms,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or other rights, if any;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or exercise prices, if any.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those agents or underwriters;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fees, discounts and commissions to be paid to them;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details regarding over-allotment options, if any;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proceeds to us. </w:t>
            </w:r>
          </w:p>
        </w:tc>
      </w:tr>
    </w:tbl>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This prospectus may not be used to consummate a sale of any securities unless it is accompanied by a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783702_13"/>
      <w:bookmarkEnd w:id="19"/>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any securities offered pursuant to this prospectus and the applicable prospectus supplement involves a high degree of risk. You should carefully consider the risk factors incorporated by reference to our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before acquiring any such securities. The occurrence of any of these risks might cause you to lose all or part of your investment in the offered securities. Additional risks and uncertainties that we do not presently know or that we currently deem immaterial may also have a material adverse effect on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783702_14"/>
      <w:bookmarkEnd w:id="20"/>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including documents incorporated by reference herein and therein, and any free writing prospectus that we have authorized for use in connection with this offering, contain forward-looking statements within the meaning of Section 27A of the Securities Act of 1933, as amended, or Securities Act, and Section 21E of the Securities Exchange Act of 1934, as amended, or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words believe, may, will, potentially, estimate, continue, anticipate, intend, could, would, project, plan, expect, possible, likely, probable, and similar expressions that convey uncertainty of future events or outcomes identify forward-looking statements. These statements include, among other things, statements regarding: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history of losses, we expect to incur net losses in the future and we may not be able to generate sufficient revenue to achieve and maintain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near-term, we expect that our financial results will depend primarily on sales of our testing products, and we will need to generate sufficient revenue from these testing products to grow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manage our ongoing growth effectively, which could make it difficult to execute our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commercial success depends on attaining and maintaining significant market acceptance of our testing products and promoted therapeutics among rheumatologists, patients, third-party payors and others in the medical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sole suppliers for some of the reagents, equipment and other materials used in our testing products, and we may not be able to fund replacements or transition to alternative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support demand for our current testing products or any of our future testing products or solutions, our business could suffer;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third-party payors do not provide coverage and adequate reimbursement for our testing products, or they breach, rescind or modify their contracts or reimbursement policies or delay payments for our tests, or if we or our partners are unable to successfully negotiate payor contracts, gross margins and commercial success could be materially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compete successfully, we may be unable to increase or sustain our revenue or achieve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new testing products involves a lengthy and complex process, and we may not be able to commercialize on a timely basis, or at all, other testing products we are developing;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sole laboratory facility becomes damaged or inoperable, we are required to vacate our existing facility or we are unable to expand our existing facility as needed, we will be unable to perform our testing services and our business will be harmed and, in addition, we are in the process of converting warehouse space into additional laboratory facilities, but this may not be successful;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require substantial additional capital to finance our planned operations, which may not be available to us on acceptable terms or at all. Our failure to obtain additional financing when needed on acceptable terms, or at all, could force us to delay, limit, reduce or eliminate our product development programs, commercialization efforts or other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conduct business in a heavily regulated industry. Complying with the numerous statutes and regulations pertaining to our business is expensive and time-consuming, and any failure by us, our consultants or commercial partners to comply could result in substantial penalties;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maintain intellectual property protection our competitive position could be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comply with our obligations in the agreements under which we license intellectual property rights from third parties or otherwise experience disruptions to our business relationships with our licensors, we could lose license rights that are important to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the above factors and other future events on the market price of our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use of proceeds from this offering, if 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forward-looking statements in this prospectus supplement and the accompanying prospectus, including the documents incorporated by reference herein and therein, and in any free writing prospectus that we have authorized for use in connection with this offering, reflect the good faith judgment of our management, such statements can only be based on facts and factors currently known by us. Consequently, forward-looking statements are inherently subject to risks and uncertainties and actual results and outcomes may differ materially from the results and outcomes discussed in or anticipated by the forward-looking statements. Factors that could cause or contribute to such differences in results and outcomes include, without limitation, those specifically addressed under the heading Risk Factors contained in this prospectus supplement, the accompanying prospectus and any related free writing prospectus, and under similar headings in the other documents that are incorporated by reference into this prospectus supplement and the accompanying prospectus, including our most recent annual report on Form 10-K and quarterly reports on Form 10-Q, as well as any amendments thereto reflected in subsequent filings with the SEC. Readers are urged not to place undue reliance on these forward-looking statements, which speak only as of the date made. We file reports with the SEC, and our electronic filings with the SEC (including our annual reports on Form 10-K, quarterly reports on Form 10-Q and current reports on Form 8-K, and any amendments to these reports) are available free of charge on the SECs website at www.sec.gov. </w:t>
      </w:r>
    </w:p>
    <w:p>
      <w:pPr>
        <w:pStyle w:val="TextBody"/>
        <w:bidi w:val="0"/>
        <w:spacing w:before="240" w:after="0"/>
        <w:jc w:val="left"/>
        <w:rPr>
          <w:rFonts w:ascii="Times New Roman" w:hAnsi="Times New Roman"/>
          <w:sz w:val="20"/>
        </w:rPr>
      </w:pPr>
      <w:r>
        <w:rPr>
          <w:rFonts w:ascii="Times New Roman" w:hAnsi="Times New Roman"/>
          <w:sz w:val="20"/>
        </w:rPr>
        <w:t xml:space="preserve">We undertake no obligation to revise or update any forward-looking statements in order to reflect any event or circumstance that may arise after the date of this prospectus supplement, except as required by law. Readers are urged to carefully review and consider the various disclosures made throughout the entirety of this prospectus supplement, the accompanying prospectus and any related free writing prospectus, and the documents incorporated by reference into this prospectus supplement and the accompanying prospectus, which disclosures are designed to advise interested parties of the risks and factors that may affect our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783702_15"/>
      <w:bookmarkEnd w:id="21"/>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as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783702_16"/>
      <w:bookmarkEnd w:id="22"/>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any cash dividends on our capital stock. We intend to retain future earnings, if any, to finance the operation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loan and security agreement, as amended, with Innovatus Life Science Lending Fund I, 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783702_17"/>
      <w:bookmarkEnd w:id="23"/>
      <w:r>
        <w:rPr>
          <w:rFonts w:ascii="Times New Roman" w:hAnsi="Times New Roman"/>
          <w:b/>
          <w:sz w:val="20"/>
        </w:rPr>
        <w:t xml:space="preserve">DESCRIPTION OF CAPITAL STOCK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summarizes some of the terms of capital stock. Because it is only a summary, it does not contain all the information that may be important to you and is subject to and qualified in its entirety by reference to our amended and restated certificate of incorporation, or the Certificate of Incorporation, and amended and restated bylaws, or the Bylaws, which are filed as exhibits to our most recent Annual Report on Form 10-K and are incorporated by reference herein. We encourage you to read our Certificate of Incorporation and our Bylaws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Our authorized capital stock consists of 200,000,000 shares of common stock, $0.001 par value per share, and 10,000,000 shares of preferred stock, $0.001 par value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2023, there were 16,931,894 shares of our common stock issued and outstanding and held of record by 33 stockholders. 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the supermajority votes for some matters, other matters shall be decided by the affirmative vote of our stockholders having a majority in voting power of the votes cast by the stockholders present or represented and voting on such matter. Our Certificate of Incorporation and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Subject to preferences that may be applicable to any then outstanding preferred stock, holders of common stock are entitled to receive ratably those dividends, if any, as may be declared by the board of directors out of legally available funds. 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 Holders of common stock have no preemptive or conversion rights or other subscription rights and there are no redemption or sinking funds provisions applicable to the common stock. All outstanding shares of common stock are, and the common stock to be outstanding upon the closing of this offering will be, duly authorized, validly issued, fully paid and nonassessable. The rights, preferences and privileges of holders of common stock are subject to and may be adversely affected by the rights of the holders of shares of any series of preferred stock that we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The transfer agent and registrars address is 6200 S. Quebec St., Greenwood Village, CO 80111. </w:t>
      </w:r>
    </w:p>
    <w:p>
      <w:pPr>
        <w:pStyle w:val="TextBody"/>
        <w:bidi w:val="0"/>
        <w:spacing w:before="360" w:after="0"/>
        <w:jc w:val="left"/>
        <w:rPr>
          <w:rFonts w:ascii="Times New Roman" w:hAnsi="Times New Roman"/>
          <w:b/>
          <w:sz w:val="20"/>
        </w:rPr>
      </w:pPr>
      <w:r>
        <w:rPr>
          <w:rFonts w:ascii="Times New Roman" w:hAnsi="Times New Roman"/>
          <w:b/>
          <w:sz w:val="20"/>
        </w:rPr>
        <w:t xml:space="preserve">Stock 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for trading on Nasdaq under the symbol XGN.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2023, there were no shares of our preferred stock outstanding. Under the terms of our Certificate of Incorporation, our board of directors has the authority, without further action by our stockholders, to issue up to 10,000,000 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 We have no current plans to issue any shares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Prior to the issuance of shares of each series, the board of directors is required by the General Corporation Law of the State of Delaware, or the DGCL, and our Certificate of Incorporation to adopt resolutions and file a certificate of designation with the Secretary of State of the State of Delaware. The certificate of designation fixes for each class or series the designations, powers, preferences, rights, qualifications, limitations and restrictions, including dividend rights, conversion rights, redemption privileges and liquidation preferences. </w:t>
      </w:r>
    </w:p>
    <w:p>
      <w:pPr>
        <w:pStyle w:val="TextBody"/>
        <w:bidi w:val="0"/>
        <w:spacing w:before="240" w:after="0"/>
        <w:jc w:val="left"/>
        <w:rPr>
          <w:rFonts w:ascii="Times New Roman" w:hAnsi="Times New Roman"/>
          <w:sz w:val="20"/>
        </w:rPr>
      </w:pPr>
      <w:r>
        <w:rPr>
          <w:rFonts w:ascii="Times New Roman" w:hAnsi="Times New Roman"/>
          <w:sz w:val="20"/>
        </w:rPr>
        <w:t xml:space="preserve">All shares of preferred stock offered by this prospectus will, when issued, be fully paid and nonassessable and will not have any preemptive or similar rights.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a prospectus supplement relating to the class or series of preferred stock being offered the following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the preferred stock offered, the liquidation preference per share and the offering price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rate(s), period(s) or payment date(s) or method(s) of calculation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are cumulative or non-cumulative and, if cumulative, the date from which dividends on the preferred stock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for redemption, if applicable,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applicable, upon which the preferred stock will be convertible into common stock, including the conversion price or manner of calculation and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upon the liquidation, dissolution or winding up of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 of any class or series of preferred stock ranking senior to or on a parity with the class or series of preferred stock as to dividend rights and rights upon liquidation, dissolution or winding up of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limitations or restrictions of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we specify otherwise in the applicable prospectus supplement, the preferred stock will rank, relating to dividends and upon our liquidation, dissolution or winding up: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all classes or series of our common stock and to all of our equity securities ranking junior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parity with all of our equity securities the terms of which specifically provide that the equity securities rank on a parity with the preferred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junior to all of our equity securities the terms of which specifically provide that the equity securities rank senior to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equity securities does not include convertible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2023, 1,214,059 shares of our common stock were issuable upon exercise of outstanding warrants to purchase common stock with a weighted average exercise price of $1.70 per share. </w:t>
      </w:r>
    </w:p>
    <w:p>
      <w:pPr>
        <w:pStyle w:val="TextBody"/>
        <w:bidi w:val="0"/>
        <w:spacing w:before="240" w:after="0"/>
        <w:jc w:val="left"/>
        <w:rPr>
          <w:rFonts w:ascii="Times New Roman" w:hAnsi="Times New Roman"/>
          <w:sz w:val="20"/>
        </w:rPr>
      </w:pPr>
      <w:r>
        <w:rPr>
          <w:rFonts w:ascii="Times New Roman" w:hAnsi="Times New Roman"/>
          <w:sz w:val="20"/>
        </w:rPr>
        <w:t xml:space="preserve">Each of the above warrants has a net exercise provision under which the holder may, in lieu of payment of the exercise price in cash, surrender the warrant and receive a net amount of shares of our common stock based on the fair market value of our common stock at the time of the net exercise of the warrant after deduction of the aggregate exercise price. These warrants also contain provisions for the adjustment of the exercise price and the aggregate number of shares issuable upon the exercise of the warrants in the event of stock dividends, stock splits, reorganizations and reclassifications and consolidations.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We are party to an investors rights agreement between certain common stockholders and holders of warrants to purchase shares of common stock, pursuant to which those holders are, as of the date of this prospectus, entitled to certain piggyback and demand registration rights with respect to the registration of such shares under the Securities Act. We filed a registration statement on Form S-3 with the SEC on November 10, 2020 in connection with these obligations. In connection with the registration rights, we are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blue sky fees and expenses and the expenses of any special audits incident to the registration.</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Delaware Law and Our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Some provisions of Delaware law, our Certificate of Incorporation and our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transactions that stockholders may otherwise consider to be in their best interest or in our best interests, including transactions which provide for payment of a premium over the market price for our shares.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a special meeting of stockholders may be called only by our chairman of the board, chief executive officer or president, or by a resolution adopted by a majority of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Requirements for Advance Notification of Stockholder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Elimination of 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Bylaws eliminate the right of stockholders to act by written consent without a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Staggered Board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divided into three classes. The directors in each class will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Stockholders Not Entitled to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unless we consent in writing to the selection of an alternative form, the Court of Chancery of the State of Delaware will be the sole and exclusive forum for: (i) any derivative action or proceeding brought on our behalf; (ii) any action asserting a claim of breach of a fiduciary duty or other wrongdoing by any of our directors, officers, employees or agents to us or our stockholders, creditors or other constituents; (iii) any action asserting a claim against us arising pursuant to any provision of the General Corporation Law of the State of Delaware or our Certificate of Incorporation or Bylaws; (iv) any action to interpret, apply, enforce or determine the validity of our Certificate of Incorporation or Bylaws; or (v) any action asserting a claim governed by the internal affairs doctrine. This exclusive forum provision would not apply to suits brought to enforce any liability or duty created by the Securities Act or the Exchange Act or any other claim for which the federal courts have exclusive jurisdiction. Our Bylaws provide that, unless we consent in writing to the selection of an alternative forum, the federal district courts of the United States of America shall be the sole and exclusive forum for the resolution of any complaint asserting a cause of action arising under the Securities Act. To the extent that any such claims may be based upon federal law claims, Section 27 of the Exchange Act creates exclusive federal jurisdiction over all suits brought to enforce any duty or liability created by the Exchange Act or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Certificate of Incorporation and Bylaws also provide that any person or entity purchasing or otherwise acquiring any interest in shares of our capital stock will be deemed to have notice of and to have consented to this choice of forum provision.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Charter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amendment of any of the above provisions, except for the provision making it possible for our board of directors to issue preferred stock, would require approval by holders of at least two thirds of the total voting power of all of our outstanding voting stock.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Delaware law, our Certificate of Incorporation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783702_18"/>
      <w:bookmarkEnd w:id="24"/>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To the extent the information contained in the prospectus supplement differs from this summary description, you should rely on the information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under an indenture between us and a trustee named in the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ranking of the debt securities (including the terms of any subordination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sell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on a particular series of debt securities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of, and interest, if any, on the debt securities will be payable (and the method of such payment), where the debt securities of such series may be surrendered for registration of transfer or exchange, and where notices and demands to us in respect of the debt securities may be delivered;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we may redeem the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have to redeem or purchase the debt securities pursuant to any sinking fund or analogous provisions or at the option of a holder of debt securities and the period or periods within which, the price or prices at which and the terms and conditions upon which the debt securities of a particular series shall be redeemed or 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and the price or prices at which we will repurchase debt securities at the option of the holders of debt securities and other detailed terms and provisions of these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the form of certificated debt securities or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principal amount of the debt securities payable upon declaration of acceleration of the maturity date, if other than the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denomination of the debt securities, which may be U.S. dollars or any foreign currency, and if such currency of denomination is a composite currency, the agency or organization, if any, responsible for overseeing such composite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of, and premium and interest on, the debt securities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of, or premium or interest on, the debt securities will be made in one or more currencies or currency units other than that or those in which the debt securities are denominated, the manner in which the exchange rate with respect to these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amounts of payment of principal of, and premium, if any, and interest on, the debt securities will be determined, if these amounts may be determined by reference to an index based on a currency or currencies or by reference to a commodity, commodity index, stock exchange index or financial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Events of Default described below or in the indenture with respect to the debt securities and any change in the acceleration provisions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covenants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direct or indirect subsidiaries will guarantee the debt securities of that series, including the terms of subordination, if any, of such guarantees.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denominate the purchase price of any of the debt securities in a foreign currency or currencies or a foreign currency unit or units, or if the principal of, and premium, if any,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i/>
          <w:sz w:val="20"/>
        </w:rPr>
        <w:t>Certificated Debt Securities.</w:t>
      </w:r>
      <w:r>
        <w:rPr>
          <w:rFonts w:ascii="Times New Roman" w:hAnsi="Times New Roman"/>
          <w:sz w:val="20"/>
        </w:rPr>
        <w:t xml:space="preserve"> 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before="240" w:after="0"/>
        <w:jc w:val="left"/>
        <w:rPr>
          <w:rFonts w:ascii="Times New Roman" w:hAnsi="Times New Roman"/>
          <w:sz w:val="20"/>
        </w:rPr>
      </w:pPr>
      <w:r>
        <w:rPr>
          <w:rFonts w:ascii="Times New Roman" w:hAnsi="Times New Roman"/>
          <w:sz w:val="20"/>
        </w:rPr>
        <w:t xml:space="preserve">Global Debt Securities and Book-Entry System. Each global debt security representing book-entry debt securities will be deposited with, or on behalf of, the Depositary, and registered in the name of the Depositary or a nominee of the Depositary. Please see the section entitled Global Securities for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any restrictive covenants applicable to any issue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that may afford holders of the debt securities protection in the event we have a change in control or in the event of a highly leveraged transaction (whether or not such transaction results in a change in control) that could adversely affect holders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not consolidate with or merge with or into, or convey, transfer or lease all or substantially all of our properties and assets to, any person, or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corporation or the successor person (if other than Exagen) is a corporation organized and validly existing under the laws of any U.S. domestic jurisdiction and expressly assumes our obligations on the debt securities and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Event of Default, shall have occurred and be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other conditions are met.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 above, any of our subsidiaries may consolidate with, merge into or transfer all or part of its properties to us.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Event of Default means with respect to any series of debt securities,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any debt security of that series at its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in the indenture or any debt security (other than a covenant or warranty that has been included in the indenture solely for the benefit of a series of debt securities other than that series), which default continues uncured for a period of 60 days after we receive written notice from the trustee or Exagen and the trustee receive written notice from the holders of not less than 25% in principal amount of the outstanding debt securities of that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voluntary or involuntary events of bankruptcy, insolvency or reorganization of Exagen;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that is described in the applicable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the trustee written notice of any Event of Default within 30 days of becoming aware of the occurrence of such Event of Default, which notice will describe in reasonable detail the status of such Event of Default and what action we are taking or propose to take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indenture provides that the trustee may refuse to perform any duty or exercise any of its rights or powers under the indenture, unless the trustee receives indemnity satisfactory to it against any cost, liability or expense that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indenture, the holder of any debt security will have an absolute and unconditional right to receive payment of the principal of, and premium and any interest on, that debt security on or after the due dates expressed in that debt security and to institute suit for the enforcement of payment.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If an Event of Default occurs and is continuing with respect to the securities of any series and if it is known to a responsible officer of the trustee, the trustee shall mail to each holder of the securities of that series notice of an Event of Default within 90 days after it occurs or, if later, after a responsible officer of the trustee has knowledge of such Event of Default. The indenture provides that the trustee may withhold notice to the holders of debt securities of any series of any Event of Default (except in payment on any debt securities of that series) with respect to debt securities of that series if the trustee determines in good faith that withholding notice is in the interest of the holders of those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modify, amend or supplement the indenture or the debt securities of any series without the consent of any holder of any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covenants in the indenture described above under the heading Consolidation, Merger and Sale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securities in addition to or in place of certificated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debt securities of any series or secure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surrender any of our rights or powers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covenants or Events of Default for the benefit of the holders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applicable procedures of the applicable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of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debt securities of any series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effect the appointment of a successor trustee with respect to the debt securities of any series and to add to or change any of the provisions of the indenture to provide for or facilitate administration by more than one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of 1939, as amended.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discount securities payable upon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an Event of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principal of, or premium or interest on, any debt security payable in currency other than that stated in the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certain provisions of the indenture relating to, among other things, the right of holders of debt securities to receive payment of the principal of, and premium and interest on, those debt securities and to institute suit for the enforcement of any such payment and to waivers or amendments;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debt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120" w:after="0"/>
        <w:jc w:val="left"/>
        <w:rPr>
          <w:rFonts w:ascii="Times New Roman" w:hAnsi="Times New Roman"/>
          <w:sz w:val="20"/>
        </w:rPr>
      </w:pPr>
      <w:r>
        <w:rPr>
          <w:rFonts w:ascii="Times New Roman" w:hAnsi="Times New Roman"/>
          <w:i/>
          <w:sz w:val="20"/>
        </w:rPr>
        <w:t xml:space="preserve">Legal Defeasance. </w:t>
      </w:r>
      <w:r>
        <w:rPr>
          <w:rFonts w:ascii="Times New Roman" w:hAnsi="Times New Roman"/>
          <w:sz w:val="20"/>
        </w:rPr>
        <w:t xml:space="preserve">The indenture provides that, unless otherwise provided by the terms of the applicable series of debt securities, we may be discharged from any and all obligations in respect of the debt securities of any series (subject to certain exceptions). We will be so discharged upon the deposit with the trustee, in trust, of money and/or U.S. government obligations or, in the case of debt securities denominated in a single currency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U.S. Internal Revenue Service a ruling or, since the date of execution of the indenture, there has been a change in the applicable U.S. federal income tax law, in either case to the effect that, and based thereon such opinion shall confirm that, the holders of the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 </w:t>
      </w:r>
    </w:p>
    <w:p>
      <w:pPr>
        <w:pStyle w:val="TextBody"/>
        <w:bidi w:val="0"/>
        <w:spacing w:before="240" w:after="0"/>
        <w:jc w:val="left"/>
        <w:rPr>
          <w:rFonts w:ascii="Times New Roman" w:hAnsi="Times New Roman"/>
          <w:sz w:val="20"/>
        </w:rPr>
      </w:pPr>
      <w:r>
        <w:rPr>
          <w:rFonts w:ascii="Times New Roman" w:hAnsi="Times New Roman"/>
          <w:i/>
          <w:sz w:val="20"/>
        </w:rPr>
        <w:t xml:space="preserve">Defeasance of Certain Covenants. </w:t>
      </w:r>
      <w:r>
        <w:rPr>
          <w:rFonts w:ascii="Times New Roman" w:hAnsi="Times New Roman"/>
          <w:sz w:val="20"/>
        </w:rPr>
        <w:t xml:space="preserve">The indenture provides that, unless otherwise provided by the terms of the applicable series of debt securities,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omit to comply with the covenant described under the heading Consolidation, Merger and Sale of Assets and certain other covenants set forth in the indenture, as well as any additional covenants that may be set forth in the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or a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the holders of the debt securities of that series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Directors, Officers, Employees or Securityholders </w:t>
      </w:r>
    </w:p>
    <w:p>
      <w:pPr>
        <w:pStyle w:val="TextBody"/>
        <w:bidi w:val="0"/>
        <w:spacing w:before="120" w:after="0"/>
        <w:jc w:val="left"/>
        <w:rPr>
          <w:rFonts w:ascii="Times New Roman" w:hAnsi="Times New Roman"/>
          <w:sz w:val="20"/>
        </w:rPr>
      </w:pPr>
      <w:r>
        <w:rPr>
          <w:rFonts w:ascii="Times New Roman" w:hAnsi="Times New Roman"/>
          <w:sz w:val="20"/>
        </w:rPr>
        <w:t xml:space="preserve">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including any claim or controversy arising out of or relating to the indenture or the debt securities, will be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783702_19"/>
      <w:bookmarkEnd w:id="25"/>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is subject to, and qualified in its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particular terms of any issue of warrants will be described in the prospectus supplement relating to the issue. Those terms may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or preferred stock purchasable upon the exercise of warrants to purchase such shares and the price at which such number of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stated value and terms (including, without limitation, liquidation, dividend, conversion and voting rights) of the series of preferred stock purchasable upon exercise of warrants to purchase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debt securities that may be purchased upon exercise of a debt warrant and the exercise price for the warrants, which may be payable in cash, securities or other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warrants and the related debt securities, preferred stock or common stock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commence and the date on which the right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federal income tax consequences applicable to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exercise and settlement of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of equity warrants will not be entitled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vote, consent or receive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receive notice as stockholders with respect to any meeting of stockholders for the election of our directors or any other matter;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any rights as stockholders of Exagen.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A holder of warrant certificates may exchange them for new warrant certificates of different denominations, present them for registration of transfer and exercise them at the corporate trust office of the warrant agent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any warrants will be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783702_110"/>
      <w:bookmarkEnd w:id="26"/>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If we offer any units, certain terms of that series of units will be described in the applicable prospectus supplement, including, without limitation, the following,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and description of the separate constituent securities comprising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constituent securities comprising the units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U.S. federal income tax considerations applicable to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their constituent securities.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Unit Agent </w:t>
      </w:r>
    </w:p>
    <w:p>
      <w:pPr>
        <w:pStyle w:val="TextBody"/>
        <w:bidi w:val="0"/>
        <w:spacing w:before="120" w:after="0"/>
        <w:jc w:val="left"/>
        <w:rPr>
          <w:rFonts w:ascii="Times New Roman" w:hAnsi="Times New Roman"/>
          <w:sz w:val="20"/>
        </w:rPr>
      </w:pPr>
      <w:r>
        <w:rPr>
          <w:rFonts w:ascii="Times New Roman" w:hAnsi="Times New Roman"/>
          <w:sz w:val="20"/>
        </w:rPr>
        <w:t xml:space="preserve">The name and address of the unit agent for any units we offer will be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Issuance in Series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units in such amounts and in such numerous distinct series as we determine. </w:t>
      </w:r>
    </w:p>
    <w:p>
      <w:pPr>
        <w:pStyle w:val="TextBody"/>
        <w:bidi w:val="0"/>
        <w:spacing w:before="360" w:after="0"/>
        <w:jc w:val="left"/>
        <w:rPr>
          <w:rFonts w:ascii="Times New Roman" w:hAnsi="Times New Roman"/>
          <w:b/>
          <w:sz w:val="20"/>
        </w:rPr>
      </w:pPr>
      <w:r>
        <w:rPr>
          <w:rFonts w:ascii="Times New Roman" w:hAnsi="Times New Roman"/>
          <w:b/>
          <w:sz w:val="20"/>
        </w:rPr>
        <w:t xml:space="preserve">Enforceability of Rights by Holders of Units </w:t>
      </w:r>
    </w:p>
    <w:p>
      <w:pPr>
        <w:pStyle w:val="TextBody"/>
        <w:bidi w:val="0"/>
        <w:spacing w:before="120" w:after="0"/>
        <w:jc w:val="left"/>
        <w:rPr>
          <w:rFonts w:ascii="Times New Roman" w:hAnsi="Times New Roman"/>
          <w:sz w:val="20"/>
        </w:rPr>
      </w:pPr>
      <w:r>
        <w:rPr>
          <w:rFonts w:ascii="Times New Roman" w:hAnsi="Times New Roman"/>
          <w:sz w:val="20"/>
        </w:rPr>
        <w:t xml:space="preserve">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783702_111"/>
      <w:bookmarkEnd w:id="27"/>
      <w:r>
        <w:rPr>
          <w:rFonts w:ascii="Times New Roman" w:hAnsi="Times New Roman"/>
          <w:b/>
          <w:sz w:val="20"/>
        </w:rPr>
        <w:t xml:space="preserve">GLOBAL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limited-purpose trust company organized under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New York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pursuant to the provisions of Section 17A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Redemption notices will be sent to DTC. If less than all of the securities of a particular series are being redeemed, DTCs practice is to determine by lot the amount of the interest of each direct participant in the securities of such series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 </w:t>
      </w:r>
    </w:p>
    <w:p>
      <w:pPr>
        <w:pStyle w:val="TextBody"/>
        <w:bidi w:val="0"/>
        <w:spacing w:before="240" w:after="0"/>
        <w:jc w:val="left"/>
        <w:rPr>
          <w:rFonts w:ascii="Times New Roman" w:hAnsi="Times New Roman"/>
          <w:sz w:val="20"/>
        </w:rPr>
      </w:pPr>
      <w:r>
        <w:rPr>
          <w:rFonts w:ascii="Times New Roman" w:hAnsi="Times New Roman"/>
          <w:sz w:val="20"/>
        </w:rPr>
        <w:t xml:space="preserve">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jurisdictions may require that some purchasers of securities take physical delivery of securities in definitive form. Those laws may impair the ability to transfer or pledge beneficial interests in securities.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noted above, beneficial owners of a particular series of securities generally will not receive certificates representing their ownership interests in those securities. However,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determine, in our sole discretion, not to have such securities represented by one or more global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with respect to such series of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Euroclear and Clearstream </w:t>
      </w:r>
    </w:p>
    <w:p>
      <w:pPr>
        <w:pStyle w:val="TextBody"/>
        <w:bidi w:val="0"/>
        <w:spacing w:before="120" w:after="0"/>
        <w:jc w:val="left"/>
        <w:rPr>
          <w:rFonts w:ascii="Times New Roman" w:hAnsi="Times New Roman"/>
          <w:sz w:val="20"/>
        </w:rPr>
      </w:pPr>
      <w:r>
        <w:rPr>
          <w:rFonts w:ascii="Times New Roman" w:hAnsi="Times New Roman"/>
          <w:sz w:val="20"/>
        </w:rPr>
        <w:t xml:space="preserve">If so provided in the applicable prospectus supplement, you may hold interests in a global security through Clearstream Banking S.A., or Clearstream, or Euroclear Bank S.A./N.V., as operator of the Euroclear System, or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 </w:t>
      </w:r>
    </w:p>
    <w:p>
      <w:pPr>
        <w:pStyle w:val="TextBody"/>
        <w:bidi w:val="0"/>
        <w:spacing w:before="240" w:after="0"/>
        <w:jc w:val="left"/>
        <w:rPr>
          <w:rFonts w:ascii="Times New Roman" w:hAnsi="Times New Roman"/>
          <w:sz w:val="20"/>
        </w:rPr>
      </w:pPr>
      <w:r>
        <w:rPr>
          <w:rFonts w:ascii="Times New Roman" w:hAnsi="Times New Roman"/>
          <w:sz w:val="20"/>
        </w:rPr>
        <w:t xml:space="preserve">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 </w:t>
      </w:r>
    </w:p>
    <w:p>
      <w:pPr>
        <w:pStyle w:val="TextBody"/>
        <w:bidi w:val="0"/>
        <w:spacing w:before="240" w:after="0"/>
        <w:jc w:val="left"/>
        <w:rPr>
          <w:rFonts w:ascii="Times New Roman" w:hAnsi="Times New Roman"/>
          <w:sz w:val="20"/>
        </w:rPr>
      </w:pPr>
      <w:r>
        <w:rPr>
          <w:rFonts w:ascii="Times New Roman" w:hAnsi="Times New Roman"/>
          <w:sz w:val="20"/>
        </w:rPr>
        <w:t xml:space="preserve">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before="360" w:after="0"/>
        <w:jc w:val="left"/>
        <w:rPr>
          <w:rFonts w:ascii="Times New Roman" w:hAnsi="Times New Roman"/>
          <w:b/>
          <w:sz w:val="20"/>
        </w:rPr>
      </w:pPr>
      <w:r>
        <w:rPr>
          <w:rFonts w:ascii="Times New Roman" w:hAnsi="Times New Roman"/>
          <w:b/>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783702_112"/>
      <w:bookmarkEnd w:id="28"/>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 </w:t>
      </w:r>
    </w:p>
    <w:p>
      <w:pPr>
        <w:pStyle w:val="TextBody"/>
        <w:bidi w:val="0"/>
        <w:spacing w:before="240" w:after="0"/>
        <w:jc w:val="left"/>
        <w:rPr>
          <w:rFonts w:ascii="Times New Roman" w:hAnsi="Times New Roman"/>
          <w:sz w:val="20"/>
        </w:rPr>
      </w:pPr>
      <w:r>
        <w:rPr>
          <w:rFonts w:ascii="Times New Roman" w:hAnsi="Times New Roman"/>
          <w:sz w:val="20"/>
        </w:rPr>
        <w:t xml:space="preserve">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a dealer is utilized in the sale of the securities being offered by this prospectus, the securities will be sold to the dealer, as principal. The dealer may then resell the securities to the public at varying prices to be determined by the dealer at the time of resale. </w:t>
      </w:r>
    </w:p>
    <w:p>
      <w:pPr>
        <w:pStyle w:val="TextBody"/>
        <w:bidi w:val="0"/>
        <w:spacing w:before="240" w:after="0"/>
        <w:jc w:val="left"/>
        <w:rPr>
          <w:rFonts w:ascii="Times New Roman" w:hAnsi="Times New Roman"/>
          <w:sz w:val="20"/>
        </w:rPr>
      </w:pPr>
      <w:r>
        <w:rPr>
          <w:rFonts w:ascii="Times New Roman" w:hAnsi="Times New Roman"/>
          <w:sz w:val="20"/>
        </w:rPr>
        <w:t xml:space="preserve">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 </w:t>
      </w:r>
    </w:p>
    <w:p>
      <w:pPr>
        <w:pStyle w:val="TextBody"/>
        <w:bidi w:val="0"/>
        <w:spacing w:before="240" w:after="0"/>
        <w:jc w:val="left"/>
        <w:rPr>
          <w:rFonts w:ascii="Times New Roman" w:hAnsi="Times New Roman"/>
          <w:sz w:val="20"/>
        </w:rPr>
      </w:pPr>
      <w:r>
        <w:rPr>
          <w:rFonts w:ascii="Times New Roman" w:hAnsi="Times New Roman"/>
          <w:sz w:val="20"/>
        </w:rPr>
        <w:t xml:space="preserve">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 </w:t>
      </w:r>
    </w:p>
    <w:p>
      <w:pPr>
        <w:pStyle w:val="TextBody"/>
        <w:bidi w:val="0"/>
        <w:spacing w:before="240" w:after="0"/>
        <w:jc w:val="left"/>
        <w:rPr>
          <w:rFonts w:ascii="Times New Roman" w:hAnsi="Times New Roman"/>
          <w:sz w:val="20"/>
        </w:rPr>
      </w:pPr>
      <w:r>
        <w:rPr>
          <w:rFonts w:ascii="Times New Roman" w:hAnsi="Times New Roman"/>
          <w:sz w:val="20"/>
        </w:rPr>
        <w:t xml:space="preserve">Any common stock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specific terms of any lock-up provisions in respect of any given offering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dealers and agents may engage in transactions with us, or perform services for us, in the ordinary course of business for which they receive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oc783702_113"/>
      <w:bookmarkEnd w:id="2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prospectus supplement indicates otherwise, Mintz, Levin, Cohn, Ferris, Glovsky and Popeo, P.C. will pass upon the validity of the issuance of the securities to be offered by this prospectus. Additional legal matters may be passed upon for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30" w:name="toc783702_114"/>
      <w:bookmarkEnd w:id="3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as of December 31, 2022 and 2021 and for the years then ended incorporated by reference in this prospectus and in the registration statement have been so incorporated in reliance on the report of BDO USA, LLP (n/k/a BDO USA, P.C.), an independent registered public accounting firm, incorporated herein by reference, given on the authority of said firm as experts in auditing and accounting. </w:t>
      </w:r>
    </w:p>
    <w:p>
      <w:pPr>
        <w:pStyle w:val="TextBody"/>
        <w:bidi w:val="0"/>
        <w:spacing w:before="480" w:after="0"/>
        <w:jc w:val="center"/>
        <w:rPr>
          <w:rFonts w:ascii="Times New Roman" w:hAnsi="Times New Roman"/>
          <w:b/>
          <w:sz w:val="20"/>
        </w:rPr>
      </w:pPr>
      <w:bookmarkStart w:id="31" w:name="toc783702_115"/>
      <w:bookmarkEnd w:id="31"/>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 w:hAnsi="Times New Roman"/>
          <w:i/>
          <w:sz w:val="20"/>
        </w:rPr>
        <w:t>http://www.sec.gov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w:t>
      </w:r>
      <w:r>
        <w:rPr>
          <w:rFonts w:ascii="Times New Roman" w:hAnsi="Times New Roman"/>
          <w:i/>
          <w:sz w:val="20"/>
        </w:rPr>
        <w:t>http://www.exagen.com.</w:t>
      </w:r>
      <w:r>
        <w:rPr>
          <w:rFonts w:ascii="Times New Roman" w:hAnsi="Times New Roman"/>
          <w:sz w:val="20"/>
        </w:rPr>
        <w:t xml:space="preserve"> The information on our website, however, is not, and should not be deemed to be,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toc783702_116"/>
      <w:bookmarkEnd w:id="32"/>
      <w:r>
        <w:rPr>
          <w:rFonts w:ascii="Times New Roman" w:hAnsi="Times New Roman"/>
          <w:b/>
          <w:sz w:val="20"/>
        </w:rPr>
        <w:t xml:space="preserve">INCORPORATION OF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This prospectus and any accompanying prospectus supplement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year ended December 31, 2022, filed with the SEC on </w:t>
            </w:r>
            <w:hyperlink r:id="rId12">
              <w:r>
                <w:rPr>
                  <w:rStyle w:val="InternetLink"/>
                  <w:rFonts w:ascii="Times New Roman" w:hAnsi="Times New Roman"/>
                  <w:sz w:val="20"/>
                </w:rPr>
                <w:t>March 20, 2023</w:t>
              </w:r>
            </w:hyperlink>
            <w:r>
              <w:rPr>
                <w:rFonts w:ascii="Times New Roman" w:hAnsi="Times New Roman"/>
                <w:sz w:val="20"/>
              </w:rPr>
              <w:t xml:space="preserve">, including the information incorporated by reference into our Annual Report on Form 10-K from our definitive proxy statement for our 2023 Annual Meeting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our Quarterly Report on Form 10-Q for the quarter ended March 31, 2023, June 30, 2023 and September 30, 2023 filed with the SEC on </w:t>
            </w:r>
            <w:hyperlink r:id="rId13">
              <w:r>
                <w:rPr>
                  <w:rStyle w:val="InternetLink"/>
                  <w:rFonts w:ascii="Times New Roman" w:hAnsi="Times New Roman"/>
                  <w:sz w:val="20"/>
                </w:rPr>
                <w:t>May  15, 2023</w:t>
              </w:r>
            </w:hyperlink>
            <w:r>
              <w:rPr>
                <w:rFonts w:ascii="Times New Roman" w:hAnsi="Times New Roman"/>
                <w:sz w:val="20"/>
              </w:rPr>
              <w:t xml:space="preserve">, </w:t>
            </w:r>
            <w:hyperlink r:id="rId14">
              <w:r>
                <w:rPr>
                  <w:rStyle w:val="InternetLink"/>
                  <w:rFonts w:ascii="Times New Roman" w:hAnsi="Times New Roman"/>
                  <w:sz w:val="20"/>
                </w:rPr>
                <w:t>August  7, 2023</w:t>
              </w:r>
            </w:hyperlink>
            <w:r>
              <w:rPr>
                <w:rFonts w:ascii="Times New Roman" w:hAnsi="Times New Roman"/>
                <w:sz w:val="20"/>
              </w:rPr>
              <w:t xml:space="preserve"> and </w:t>
            </w:r>
            <w:hyperlink r:id="rId15">
              <w:r>
                <w:rPr>
                  <w:rStyle w:val="InternetLink"/>
                  <w:rFonts w:ascii="Times New Roman" w:hAnsi="Times New Roman"/>
                  <w:sz w:val="20"/>
                </w:rPr>
                <w:t>November 13, 2023</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6">
              <w:r>
                <w:rPr>
                  <w:rStyle w:val="InternetLink"/>
                  <w:rFonts w:ascii="Times New Roman" w:hAnsi="Times New Roman"/>
                  <w:sz w:val="20"/>
                </w:rPr>
                <w:t>January 9, 2023</w:t>
              </w:r>
            </w:hyperlink>
            <w:r>
              <w:rPr>
                <w:rFonts w:ascii="Times New Roman" w:hAnsi="Times New Roman"/>
                <w:sz w:val="20"/>
              </w:rPr>
              <w:t xml:space="preserve">,  </w:t>
            </w:r>
            <w:hyperlink r:id="rId17">
              <w:r>
                <w:rPr>
                  <w:rStyle w:val="InternetLink"/>
                  <w:rFonts w:ascii="Times New Roman" w:hAnsi="Times New Roman"/>
                  <w:sz w:val="20"/>
                </w:rPr>
                <w:t>January 23, 2023</w:t>
              </w:r>
            </w:hyperlink>
            <w:r>
              <w:rPr>
                <w:rFonts w:ascii="Times New Roman" w:hAnsi="Times New Roman"/>
                <w:sz w:val="20"/>
              </w:rPr>
              <w:t xml:space="preserve">,  </w:t>
            </w:r>
            <w:hyperlink r:id="rId18">
              <w:r>
                <w:rPr>
                  <w:rStyle w:val="InternetLink"/>
                  <w:rFonts w:ascii="Times New Roman" w:hAnsi="Times New Roman"/>
                  <w:sz w:val="20"/>
                </w:rPr>
                <w:t>March 23, 2023</w:t>
              </w:r>
            </w:hyperlink>
            <w:r>
              <w:rPr>
                <w:rFonts w:ascii="Times New Roman" w:hAnsi="Times New Roman"/>
                <w:sz w:val="20"/>
              </w:rPr>
              <w:t xml:space="preserve">,  </w:t>
            </w:r>
            <w:hyperlink r:id="rId19">
              <w:r>
                <w:rPr>
                  <w:rStyle w:val="InternetLink"/>
                  <w:rFonts w:ascii="Times New Roman" w:hAnsi="Times New Roman"/>
                  <w:sz w:val="20"/>
                </w:rPr>
                <w:t>May  4, 2023</w:t>
              </w:r>
            </w:hyperlink>
            <w:r>
              <w:rPr>
                <w:rFonts w:ascii="Times New Roman" w:hAnsi="Times New Roman"/>
                <w:sz w:val="20"/>
              </w:rPr>
              <w:t xml:space="preserve">, </w:t>
            </w:r>
            <w:hyperlink r:id="rId20">
              <w:r>
                <w:rPr>
                  <w:rStyle w:val="InternetLink"/>
                  <w:rFonts w:ascii="Times New Roman" w:hAnsi="Times New Roman"/>
                  <w:sz w:val="20"/>
                </w:rPr>
                <w:t>June  14, 2023</w:t>
              </w:r>
            </w:hyperlink>
            <w:r>
              <w:rPr>
                <w:rFonts w:ascii="Times New Roman" w:hAnsi="Times New Roman"/>
                <w:sz w:val="20"/>
              </w:rPr>
              <w:t xml:space="preserve">, </w:t>
            </w:r>
            <w:hyperlink r:id="rId21">
              <w:r>
                <w:rPr>
                  <w:rStyle w:val="InternetLink"/>
                  <w:rFonts w:ascii="Times New Roman" w:hAnsi="Times New Roman"/>
                  <w:sz w:val="20"/>
                </w:rPr>
                <w:t>July  24, 2023</w:t>
              </w:r>
            </w:hyperlink>
            <w:r>
              <w:rPr>
                <w:rFonts w:ascii="Times New Roman" w:hAnsi="Times New Roman"/>
                <w:sz w:val="20"/>
              </w:rPr>
              <w:t xml:space="preserve">, </w:t>
            </w:r>
            <w:hyperlink r:id="rId22">
              <w:r>
                <w:rPr>
                  <w:rStyle w:val="InternetLink"/>
                  <w:rFonts w:ascii="Times New Roman" w:hAnsi="Times New Roman"/>
                  <w:sz w:val="20"/>
                </w:rPr>
                <w:t>October  26, 2023</w:t>
              </w:r>
            </w:hyperlink>
            <w:r>
              <w:rPr>
                <w:rFonts w:ascii="Times New Roman" w:hAnsi="Times New Roman"/>
                <w:sz w:val="20"/>
              </w:rPr>
              <w:t xml:space="preserve"> and </w:t>
            </w:r>
            <w:hyperlink r:id="rId23">
              <w:r>
                <w:rPr>
                  <w:rStyle w:val="InternetLink"/>
                  <w:rFonts w:ascii="Times New Roman" w:hAnsi="Times New Roman"/>
                  <w:sz w:val="20"/>
                </w:rPr>
                <w:t>November 17, 2023</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rFonts w:ascii="Times New Roman" w:hAnsi="Times New Roman"/>
                <w:sz w:val="20"/>
              </w:rPr>
              <w:t>the description of our common stock set forth in the Registrants registration statement on Form 8-A12B (Registration No. 001-39049), filed by the Registrant with the SEC under Section 12(b) of the Securities Exchange Act of 1934, as amended, or the Exchange Act, on </w:t>
            </w:r>
            <w:hyperlink r:id="rId24">
              <w:r>
                <w:rPr>
                  <w:rStyle w:val="InternetLink"/>
                  <w:rFonts w:ascii="Times New Roman" w:hAnsi="Times New Roman"/>
                  <w:sz w:val="20"/>
                </w:rPr>
                <w:t>September 13, 2019</w:t>
              </w:r>
            </w:hyperlink>
            <w:r>
              <w:rPr>
                <w:rFonts w:ascii="Times New Roman" w:hAnsi="Times New Roman"/>
                <w:sz w:val="20"/>
              </w:rPr>
              <w:t xml:space="preserve">,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all reports and other documents filed by us pursuant to the Exchange Act after the date of the initial registration statement and prior to effectiveness of the registration statement shall be deemed to be incorporated by reference into this prospectus and deemed to be a part of this prospectus from the date of filing of such reports and documents. Notwithstanding the foregoing, we are not incorporating by reference any documents or portions thereof that are not deemed filed with the SEC, including our Compensation Committee report and performance graph or any information furnished pursuant to Items 2.02 or 7.01 of Form 8-K or related exhibits furnished pursuant to Item 9.01 of Form 8-K.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 free copy of any of the documents incorporated by reference in this prospectus (other than exhibits, unless they are specifically incorporated by reference in the documents) by writing or telephoning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Exagen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1261 Liberty Way </w:t>
      </w:r>
    </w:p>
    <w:p>
      <w:pPr>
        <w:pStyle w:val="TextBody"/>
        <w:bidi w:val="0"/>
        <w:spacing w:before="0" w:after="0"/>
        <w:jc w:val="center"/>
        <w:rPr>
          <w:rFonts w:ascii="Times New Roman" w:hAnsi="Times New Roman"/>
          <w:sz w:val="20"/>
        </w:rPr>
      </w:pPr>
      <w:r>
        <w:rPr>
          <w:rFonts w:ascii="Times New Roman" w:hAnsi="Times New Roman"/>
          <w:sz w:val="20"/>
        </w:rPr>
        <w:t xml:space="preserve">Vista, California 92081 </w:t>
      </w:r>
    </w:p>
    <w:p>
      <w:pPr>
        <w:pStyle w:val="TextBody"/>
        <w:bidi w:val="0"/>
        <w:spacing w:before="0" w:after="0"/>
        <w:jc w:val="center"/>
        <w:rPr>
          <w:rFonts w:ascii="Times New Roman" w:hAnsi="Times New Roman"/>
          <w:sz w:val="20"/>
        </w:rPr>
      </w:pPr>
      <w:r>
        <w:rPr>
          <w:rFonts w:ascii="Times New Roman" w:hAnsi="Times New Roman"/>
          <w:sz w:val="20"/>
        </w:rPr>
        <w:t xml:space="preserve">(760) 560-1501 </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659255" cy="62357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5"/>
                    <a:stretch>
                      <a:fillRect/>
                    </a:stretch>
                  </pic:blipFill>
                  <pic:spPr bwMode="auto">
                    <a:xfrm>
                      <a:off x="0" y="0"/>
                      <a:ext cx="1659255" cy="6235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2"/>
        </w:rPr>
      </w:pPr>
      <w:r>
        <w:rPr>
          <w:rFonts w:ascii="Times New Roman" w:hAnsi="Times New Roman"/>
          <w:b/>
          <w:sz w:val="32"/>
        </w:rPr>
        <w:t xml:space="preserve">Shares of 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0" w:after="0"/>
        <w:jc w:val="center"/>
        <w:rPr>
          <w:rFonts w:ascii="Times New Roman" w:hAnsi="Times New Roman"/>
          <w:b/>
          <w:sz w:val="32"/>
        </w:rPr>
      </w:pPr>
      <w:r>
        <w:rPr>
          <w:rFonts w:ascii="Times New Roman" w:hAnsi="Times New Roman"/>
          <w:b/>
          <w:sz w:val="32"/>
        </w:rPr>
        <w:t xml:space="preserve">Sole Bookrunner </w:t>
      </w:r>
    </w:p>
    <w:p>
      <w:pPr>
        <w:pStyle w:val="TextBody"/>
        <w:bidi w:val="0"/>
        <w:spacing w:before="1200" w:after="0"/>
        <w:jc w:val="center"/>
        <w:rPr>
          <w:rFonts w:ascii="Times New Roman" w:hAnsi="Times New Roman"/>
          <w:b/>
          <w:sz w:val="32"/>
        </w:rPr>
      </w:pPr>
      <w:r>
        <w:rPr>
          <w:rFonts w:ascii="Times New Roman" w:hAnsi="Times New Roman"/>
          <w:b/>
          <w:sz w:val="32"/>
        </w:rPr>
        <w:t xml:space="preserve">Canaccord Genuity </w:t>
      </w:r>
    </w:p>
    <w:p>
      <w:pPr>
        <w:pStyle w:val="TextBody"/>
        <w:bidi w:val="0"/>
        <w:spacing w:before="1200" w:after="0"/>
        <w:jc w:val="center"/>
        <w:rPr/>
      </w:pPr>
      <w:r>
        <w:rPr/>
        <w:t>    </w:t>
      </w:r>
      <w:r>
        <w:rPr>
          <w:rFonts w:ascii="Times New Roman" w:hAnsi="Times New Roman"/>
          <w:b/>
          <w:sz w:val="20"/>
        </w:rPr>
        <w:t xml:space="preserve">, 2025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274737/000127473725000019/exdx-20241231.htm" TargetMode="External"/><Relationship Id="rId4" Type="http://schemas.openxmlformats.org/officeDocument/2006/relationships/hyperlink" Target="http://www.sec.gov/Archives/edgar/data/../../../ix?doc=/Archives/edgar/data/1274737/000127473725000026/exdx-20250331.htm" TargetMode="External"/><Relationship Id="rId5" Type="http://schemas.openxmlformats.org/officeDocument/2006/relationships/hyperlink" Target="http://www.sec.gov/Archives/edgar/data/../../../ix?doc=/Archives/edgar/data/1274737/000119312525105576/d920432ddef14a.htm" TargetMode="External"/><Relationship Id="rId6" Type="http://schemas.openxmlformats.org/officeDocument/2006/relationships/hyperlink" Target="http://www.sec.gov/Archives/edgar/data/../../../ix?doc=/Archives/edgar/data/1274737/000127473725000003/exdx-20250112.htm" TargetMode="External"/><Relationship Id="rId7" Type="http://schemas.openxmlformats.org/officeDocument/2006/relationships/hyperlink" Target="http://www.sec.gov/Archives/edgar/data/../../../ix?doc=/Archives/edgar/data/1274737/000127473725000018/exdx-20250311.htm" TargetMode="External"/><Relationship Id="rId8" Type="http://schemas.openxmlformats.org/officeDocument/2006/relationships/hyperlink" Target="http://www.sec.gov/Archives/edgar/data/../../../ix?doc=/Archives/edgar/data/1274737/000119312525100447/d811854d8k.htm" TargetMode="External"/><Relationship Id="rId9" Type="http://schemas.openxmlformats.org/officeDocument/2006/relationships/hyperlink" Target="http://www.sec.gov/Archives/edgar/data/../../../ix?doc=/Archives/edgar/data/1274737/000127473725000023/exdx-20250505.htm" TargetMode="External"/><Relationship Id="rId10" Type="http://schemas.openxmlformats.org/officeDocument/2006/relationships/hyperlink" Target="http://www.sec.gov/Archives/edgar/data/../../../ix?doc=/Archives/edgar/data/1274737/000127473725000019/exdx-20241231.htm" TargetMode="External"/><Relationship Id="rId11" Type="http://schemas.openxmlformats.org/officeDocument/2006/relationships/image" Target="media/image2.jpeg"/><Relationship Id="rId12" Type="http://schemas.openxmlformats.org/officeDocument/2006/relationships/hyperlink" Target="http://www.sec.gov/Archives/edgar/data/../../../ix?doc=/Archives/edgar/data/0001274737/000127473723000019/exdx-20221231.htm" TargetMode="External"/><Relationship Id="rId13" Type="http://schemas.openxmlformats.org/officeDocument/2006/relationships/hyperlink" Target="http://www.sec.gov/Archives/edgar/data/../../../ix?doc=/Archives/edgar/data/0001274737/000127473723000049/exdx-20230331.htm" TargetMode="External"/><Relationship Id="rId14" Type="http://schemas.openxmlformats.org/officeDocument/2006/relationships/hyperlink" Target="http://www.sec.gov/Archives/edgar/data/../../../ix?doc=/Archives/edgar/data/1274737/000127473723000088/exdx-20230630.htm" TargetMode="External"/><Relationship Id="rId15" Type="http://schemas.openxmlformats.org/officeDocument/2006/relationships/hyperlink" Target="http://www.sec.gov/Archives/edgar/data/../../../ix?doc=/Archives/edgar/data/1274737/000127473723000103/exdx-20230930.htm" TargetMode="External"/><Relationship Id="rId16" Type="http://schemas.openxmlformats.org/officeDocument/2006/relationships/hyperlink" Target="http://www.sec.gov/Archives/edgar/data/../../../ix?doc=/Archives/edgar/data/0001274737/000127473723000002/exdx-20230109.htm" TargetMode="External"/><Relationship Id="rId17" Type="http://schemas.openxmlformats.org/officeDocument/2006/relationships/hyperlink" Target="http://www.sec.gov/Archives/edgar/data/../../../ix?doc=/Archives/edgar/data/0001274737/000127473723000004/exdx-20230123.htm" TargetMode="External"/><Relationship Id="rId18" Type="http://schemas.openxmlformats.org/officeDocument/2006/relationships/hyperlink" Target="http://www.sec.gov/Archives/edgar/data/../../../ix?doc=/Archives/edgar/data/0001274737/000127473723000024/exdx-20230320.htm" TargetMode="External"/><Relationship Id="rId19" Type="http://schemas.openxmlformats.org/officeDocument/2006/relationships/hyperlink" Target="http://www.sec.gov/Archives/edgar/data/../../../ix?doc=/Archives/edgar/data/0001274737/000127473723000041/exdx-20230428.htm" TargetMode="External"/><Relationship Id="rId20" Type="http://schemas.openxmlformats.org/officeDocument/2006/relationships/hyperlink" Target="http://www.sec.gov/Archives/edgar/data/../../../ix?doc=/Archives/edgar/data/1274737/000127473723000067/exdx-20230609.htm" TargetMode="External"/><Relationship Id="rId21" Type="http://schemas.openxmlformats.org/officeDocument/2006/relationships/hyperlink" Target="http://www.sec.gov/Archives/edgar/data/../../../ix?doc=/Archives/edgar/data/1274737/000127473723000074/exdx-20230724.htm" TargetMode="External"/><Relationship Id="rId22" Type="http://schemas.openxmlformats.org/officeDocument/2006/relationships/hyperlink" Target="http://www.sec.gov/Archives/edgar/data/../../../ix?doc=/Archives/edgar/data/1274737/000127473723000096/exdx-20231024.htm" TargetMode="External"/><Relationship Id="rId23" Type="http://schemas.openxmlformats.org/officeDocument/2006/relationships/hyperlink" Target="http://www.sec.gov/Archives/edgar/data/../../../ix?doc=/Archives/edgar/data/1274737/000127473723000105/exdx-20231117.htm" TargetMode="External"/><Relationship Id="rId24" Type="http://schemas.openxmlformats.org/officeDocument/2006/relationships/hyperlink" Target="http://www.sec.gov/Archives/edgar/data/1274737/000119312519244881/d756255d8a12b.htm" TargetMode="External"/><Relationship Id="rId25" Type="http://schemas.openxmlformats.org/officeDocument/2006/relationships/image" Target="media/image1.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87</Pages>
  <Words>35074</Words>
  <Characters>182131</Characters>
  <CharactersWithSpaces>217514</CharactersWithSpaces>
  <Paragraphs>2272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