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333-250015</w:t>
      </w:r>
    </w:p>
    <w:p>
      <w:pPr>
        <w:spacing w:after="0" w:line="12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November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6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3,700,000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179705</wp:posOffset>
            </wp:positionV>
            <wp:extent cx="1937385"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7385"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4"/>
          <w:szCs w:val="24"/>
          <w:color w:val="auto"/>
        </w:rPr>
      </w:pPr>
    </w:p>
    <w:p>
      <w:pPr>
        <w:spacing w:after="0" w:line="27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We are offering 3,700,000 shares of our common stock.</w:t>
      </w:r>
    </w:p>
    <w:p>
      <w:pPr>
        <w:spacing w:after="0" w:line="212" w:lineRule="exact"/>
        <w:rPr>
          <w:sz w:val="24"/>
          <w:szCs w:val="24"/>
          <w:color w:val="auto"/>
        </w:rPr>
      </w:pPr>
    </w:p>
    <w:p>
      <w:pPr>
        <w:ind w:left="120" w:right="20"/>
        <w:spacing w:after="0" w:line="246" w:lineRule="auto"/>
        <w:rPr>
          <w:sz w:val="20"/>
          <w:szCs w:val="20"/>
          <w:color w:val="auto"/>
        </w:rPr>
      </w:pPr>
      <w:r>
        <w:rPr>
          <w:rFonts w:ascii="Arial" w:cs="Arial" w:eastAsia="Arial" w:hAnsi="Arial"/>
          <w:sz w:val="18"/>
          <w:szCs w:val="18"/>
          <w:color w:val="auto"/>
        </w:rPr>
        <w:t>Our common stock is listed on the Nasdaq Global Market under the symbol “XGN.” On March 22, 2021, the last reported sales price of our common stock on the Nasdaq Global Market was $19.12 per share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120" w:type="dxa"/>
        <w:tblCellMar>
          <w:top w:w="0" w:type="dxa"/>
          <w:left w:w="0" w:type="dxa"/>
          <w:bottom w:w="0" w:type="dxa"/>
          <w:right w:w="0" w:type="dxa"/>
        </w:tblCellMar>
      </w:tblPr>
      <w:tr>
        <w:trPr>
          <w:trHeight w:val="225"/>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Public offering price</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b w:val="1"/>
                <w:bCs w:val="1"/>
                <w:i w:val="1"/>
                <w:iCs w:val="1"/>
                <w:color w:val="auto"/>
              </w:rPr>
              <w:t>Per share</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Total</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Borders>
              <w:top w:val="single" w:sz="8" w:color="auto"/>
            </w:tcBorders>
          </w:tcPr>
          <w:p>
            <w:pPr>
              <w:jc w:val="right"/>
              <w:ind w:right="50"/>
              <w:spacing w:after="0" w:line="173" w:lineRule="exact"/>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16.25</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60,125,000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Underwriting discounts and commissions(1)</w:t>
            </w:r>
          </w:p>
        </w:tc>
        <w:tc>
          <w:tcPr>
            <w:tcW w:w="194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84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0.975</w:t>
            </w:r>
          </w:p>
        </w:tc>
        <w:tc>
          <w:tcPr>
            <w:tcW w:w="6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3,607,500</w:t>
            </w:r>
          </w:p>
        </w:tc>
        <w:tc>
          <w:tcPr>
            <w:tcW w:w="0" w:type="dxa"/>
            <w:vAlign w:val="bottom"/>
          </w:tcPr>
          <w:p>
            <w:pPr>
              <w:spacing w:after="0"/>
              <w:rPr>
                <w:sz w:val="1"/>
                <w:szCs w:val="1"/>
                <w:color w:val="auto"/>
              </w:rPr>
            </w:pPr>
          </w:p>
        </w:tc>
      </w:tr>
      <w:tr>
        <w:trPr>
          <w:trHeight w:val="239"/>
        </w:trPr>
        <w:tc>
          <w:tcPr>
            <w:tcW w:w="5500" w:type="dxa"/>
            <w:vAlign w:val="bottom"/>
          </w:tcPr>
          <w:p>
            <w:pPr>
              <w:spacing w:after="0"/>
              <w:rPr>
                <w:sz w:val="20"/>
                <w:szCs w:val="20"/>
                <w:color w:val="auto"/>
              </w:rPr>
            </w:pPr>
            <w:r>
              <w:rPr>
                <w:rFonts w:ascii="Arial" w:cs="Arial" w:eastAsia="Arial" w:hAnsi="Arial"/>
                <w:sz w:val="18"/>
                <w:szCs w:val="18"/>
                <w:b w:val="1"/>
                <w:bCs w:val="1"/>
                <w:color w:val="auto"/>
              </w:rPr>
              <w:t>Proceeds to Exagen, before expenses</w:t>
            </w:r>
          </w:p>
        </w:tc>
        <w:tc>
          <w:tcPr>
            <w:tcW w:w="19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8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15.275</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56,517,500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41"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We have granted the underwriters an option for a period of 30 days to purchase up to 555,000 additional shares of common stock.</w:t>
      </w:r>
    </w:p>
    <w:p>
      <w:pPr>
        <w:spacing w:after="0" w:line="190" w:lineRule="exact"/>
        <w:rPr>
          <w:sz w:val="24"/>
          <w:szCs w:val="24"/>
          <w:color w:val="auto"/>
        </w:rPr>
      </w:pPr>
    </w:p>
    <w:p>
      <w:pPr>
        <w:ind w:left="120" w:right="6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of this prospectus supplement and the documents incorporated by reference into this prospectus supplement.</w:t>
      </w:r>
    </w:p>
    <w:p>
      <w:pPr>
        <w:spacing w:after="0" w:line="176" w:lineRule="exact"/>
        <w:rPr>
          <w:sz w:val="24"/>
          <w:szCs w:val="24"/>
          <w:color w:val="auto"/>
        </w:rPr>
      </w:pPr>
    </w:p>
    <w:p>
      <w:pPr>
        <w:ind w:left="120" w:right="580"/>
        <w:spacing w:after="0"/>
        <w:rPr>
          <w:sz w:val="20"/>
          <w:szCs w:val="20"/>
          <w:color w:val="auto"/>
        </w:rPr>
      </w:pPr>
      <w:r>
        <w:rPr>
          <w:rFonts w:ascii="Arial" w:cs="Arial" w:eastAsia="Arial" w:hAnsi="Arial"/>
          <w:sz w:val="18"/>
          <w:szCs w:val="18"/>
          <w:color w:val="auto"/>
        </w:rPr>
        <w:t>Neither the Securities and Exchange Commission nor any other regulatory body has approved or disapproved of these securities or passed upon the accuracy or adequacy of this prospectus supplement or the accompanying prospectus. Any representation to the contrary is a criminal offense.</w:t>
      </w:r>
    </w:p>
    <w:p>
      <w:pPr>
        <w:spacing w:after="0" w:line="20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underwriters expect to deliver the shares of common stock to purchasers on March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tbl>
      <w:tblPr>
        <w:tblLayout w:type="fixed"/>
        <w:tblInd w:w="120" w:type="dxa"/>
        <w:tblCellMar>
          <w:top w:w="0" w:type="dxa"/>
          <w:left w:w="0" w:type="dxa"/>
          <w:bottom w:w="0" w:type="dxa"/>
          <w:right w:w="0" w:type="dxa"/>
        </w:tblCellMar>
      </w:tblPr>
      <w:tr>
        <w:trPr>
          <w:trHeight w:val="239"/>
        </w:trPr>
        <w:tc>
          <w:tcPr>
            <w:tcW w:w="40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4080" w:type="dxa"/>
            <w:vAlign w:val="bottom"/>
          </w:tcPr>
          <w:p>
            <w:pPr>
              <w:spacing w:after="0"/>
              <w:rPr>
                <w:sz w:val="20"/>
                <w:szCs w:val="20"/>
                <w:color w:val="auto"/>
              </w:rPr>
            </w:pPr>
          </w:p>
        </w:tc>
      </w:tr>
      <w:tr>
        <w:trPr>
          <w:trHeight w:val="572"/>
        </w:trPr>
        <w:tc>
          <w:tcPr>
            <w:tcW w:w="4080" w:type="dxa"/>
            <w:vAlign w:val="bottom"/>
          </w:tcPr>
          <w:p>
            <w:pPr>
              <w:spacing w:after="0"/>
              <w:rPr>
                <w:sz w:val="20"/>
                <w:szCs w:val="20"/>
                <w:color w:val="auto"/>
              </w:rPr>
            </w:pPr>
            <w:r>
              <w:rPr>
                <w:rFonts w:ascii="Arial" w:cs="Arial" w:eastAsia="Arial" w:hAnsi="Arial"/>
                <w:sz w:val="29"/>
                <w:szCs w:val="29"/>
                <w:b w:val="1"/>
                <w:bCs w:val="1"/>
                <w:color w:val="auto"/>
              </w:rPr>
              <w:t>Cowen</w:t>
            </w:r>
          </w:p>
        </w:tc>
        <w:tc>
          <w:tcPr>
            <w:tcW w:w="2860" w:type="dxa"/>
            <w:vAlign w:val="bottom"/>
          </w:tcPr>
          <w:p>
            <w:pPr>
              <w:ind w:left="640"/>
              <w:spacing w:after="0"/>
              <w:rPr>
                <w:sz w:val="20"/>
                <w:szCs w:val="20"/>
                <w:color w:val="auto"/>
              </w:rPr>
            </w:pPr>
            <w:r>
              <w:rPr>
                <w:rFonts w:ascii="Arial" w:cs="Arial" w:eastAsia="Arial" w:hAnsi="Arial"/>
                <w:sz w:val="29"/>
                <w:szCs w:val="29"/>
                <w:b w:val="1"/>
                <w:bCs w:val="1"/>
                <w:color w:val="auto"/>
              </w:rPr>
              <w:t>William Blair</w:t>
            </w:r>
          </w:p>
        </w:tc>
        <w:tc>
          <w:tcPr>
            <w:tcW w:w="4080" w:type="dxa"/>
            <w:vAlign w:val="bottom"/>
          </w:tcPr>
          <w:p>
            <w:pPr>
              <w:ind w:left="3140"/>
              <w:spacing w:after="0"/>
              <w:rPr>
                <w:sz w:val="20"/>
                <w:szCs w:val="20"/>
                <w:color w:val="auto"/>
              </w:rPr>
            </w:pPr>
            <w:r>
              <w:rPr>
                <w:rFonts w:ascii="Arial" w:cs="Arial" w:eastAsia="Arial" w:hAnsi="Arial"/>
                <w:sz w:val="29"/>
                <w:szCs w:val="29"/>
                <w:b w:val="1"/>
                <w:bCs w:val="1"/>
                <w:color w:val="auto"/>
                <w:w w:val="98"/>
              </w:rPr>
              <w:t>Cantor</w:t>
            </w:r>
          </w:p>
        </w:tc>
      </w:tr>
      <w:tr>
        <w:trPr>
          <w:trHeight w:val="346"/>
        </w:trPr>
        <w:tc>
          <w:tcPr>
            <w:tcW w:w="408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80" w:type="dxa"/>
            <w:vAlign w:val="bottom"/>
          </w:tcPr>
          <w:p>
            <w:pPr>
              <w:spacing w:after="0"/>
              <w:rPr>
                <w:sz w:val="24"/>
                <w:szCs w:val="24"/>
                <w:color w:val="auto"/>
              </w:rPr>
            </w:pPr>
          </w:p>
        </w:tc>
      </w:tr>
      <w:tr>
        <w:trPr>
          <w:trHeight w:val="426"/>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Book-running Manager</w:t>
            </w:r>
          </w:p>
        </w:tc>
        <w:tc>
          <w:tcPr>
            <w:tcW w:w="4080" w:type="dxa"/>
            <w:vAlign w:val="bottom"/>
          </w:tcPr>
          <w:p>
            <w:pPr>
              <w:spacing w:after="0"/>
              <w:rPr>
                <w:sz w:val="24"/>
                <w:szCs w:val="24"/>
                <w:color w:val="auto"/>
              </w:rPr>
            </w:pPr>
          </w:p>
        </w:tc>
      </w:tr>
      <w:tr>
        <w:trPr>
          <w:trHeight w:val="515"/>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23"/>
                <w:szCs w:val="23"/>
                <w:b w:val="1"/>
                <w:bCs w:val="1"/>
                <w:color w:val="auto"/>
              </w:rPr>
              <w:t>Canaccord Genuity</w:t>
            </w:r>
          </w:p>
        </w:tc>
        <w:tc>
          <w:tcPr>
            <w:tcW w:w="4080" w:type="dxa"/>
            <w:vAlign w:val="bottom"/>
          </w:tcPr>
          <w:p>
            <w:pPr>
              <w:spacing w:after="0"/>
              <w:rPr>
                <w:sz w:val="24"/>
                <w:szCs w:val="24"/>
                <w:color w:val="auto"/>
              </w:rPr>
            </w:pPr>
          </w:p>
        </w:tc>
      </w:tr>
      <w:tr>
        <w:trPr>
          <w:trHeight w:val="349"/>
        </w:trPr>
        <w:tc>
          <w:tcPr>
            <w:tcW w:w="408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80" w:type="dxa"/>
            <w:vAlign w:val="bottom"/>
          </w:tcPr>
          <w:p>
            <w:pPr>
              <w:spacing w:after="0"/>
              <w:rPr>
                <w:sz w:val="24"/>
                <w:szCs w:val="24"/>
                <w:color w:val="auto"/>
              </w:rPr>
            </w:pPr>
          </w:p>
        </w:tc>
      </w:tr>
      <w:tr>
        <w:trPr>
          <w:trHeight w:val="425"/>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Lead Manager</w:t>
            </w:r>
          </w:p>
        </w:tc>
        <w:tc>
          <w:tcPr>
            <w:tcW w:w="4080" w:type="dxa"/>
            <w:vAlign w:val="bottom"/>
          </w:tcPr>
          <w:p>
            <w:pPr>
              <w:spacing w:after="0"/>
              <w:rPr>
                <w:sz w:val="24"/>
                <w:szCs w:val="24"/>
                <w:color w:val="auto"/>
              </w:rPr>
            </w:pPr>
          </w:p>
        </w:tc>
      </w:tr>
      <w:tr>
        <w:trPr>
          <w:trHeight w:val="515"/>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23"/>
                <w:szCs w:val="23"/>
                <w:b w:val="1"/>
                <w:bCs w:val="1"/>
                <w:color w:val="auto"/>
              </w:rPr>
              <w:t>BTIG</w:t>
            </w:r>
          </w:p>
        </w:tc>
        <w:tc>
          <w:tcPr>
            <w:tcW w:w="408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1">
            <w:col w:w="11140"/>
          </w:cols>
          <w:pgMar w:left="320" w:top="230" w:right="439" w:bottom="1440" w:gutter="0" w:footer="0" w:header="0"/>
        </w:sectPr>
      </w:pPr>
    </w:p>
    <w:p>
      <w:pPr>
        <w:spacing w:after="0" w:line="13" w:lineRule="exact"/>
        <w:rPr>
          <w:sz w:val="24"/>
          <w:szCs w:val="24"/>
          <w:color w:val="auto"/>
        </w:rPr>
      </w:pPr>
    </w:p>
    <w:p>
      <w:pPr>
        <w:ind w:left="120"/>
        <w:spacing w:after="0"/>
        <w:rPr>
          <w:sz w:val="20"/>
          <w:szCs w:val="20"/>
          <w:color w:val="auto"/>
        </w:rPr>
      </w:pPr>
      <w:r>
        <w:rPr>
          <w:rFonts w:ascii="Arial" w:cs="Arial" w:eastAsia="Arial" w:hAnsi="Arial"/>
          <w:sz w:val="17"/>
          <w:szCs w:val="17"/>
          <w:color w:val="auto"/>
        </w:rPr>
        <w:t>March 22, 2021</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0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20" w:type="dxa"/>
            <w:vAlign w:val="bottom"/>
          </w:tcPr>
          <w:p>
            <w:pPr>
              <w:spacing w:after="0"/>
              <w:rPr>
                <w:sz w:val="24"/>
                <w:szCs w:val="24"/>
                <w:color w:val="auto"/>
              </w:rPr>
            </w:pPr>
          </w:p>
        </w:tc>
        <w:tc>
          <w:tcPr>
            <w:tcW w:w="848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8480" w:type="dxa"/>
            <w:vAlign w:val="bottom"/>
            <w:gridSpan w:val="21"/>
            <w:vMerge w:val="continue"/>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820" w:type="dxa"/>
            <w:vAlign w:val="bottom"/>
            <w:tcBorders>
              <w:bottom w:val="single" w:sz="8" w:color="0000EE"/>
            </w:tcBorders>
            <w:gridSpan w:val="17"/>
          </w:tcPr>
          <w:p>
            <w:pP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About This Prospectus Supplement</w:t>
              </w:r>
            </w:hyperlink>
          </w:p>
        </w:tc>
        <w:tc>
          <w:tcPr>
            <w:tcW w:w="5660" w:type="dxa"/>
            <w:vAlign w:val="bottom"/>
            <w:gridSpan w:val="4"/>
          </w:tcPr>
          <w:p>
            <w:pPr>
              <w:spacing w:after="0"/>
              <w:rPr>
                <w:sz w:val="15"/>
                <w:szCs w:val="15"/>
                <w:color w:val="auto"/>
              </w:rPr>
            </w:pP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Risk Factors</w:t>
              </w:r>
            </w:hyperlink>
          </w:p>
        </w:tc>
        <w:tc>
          <w:tcPr>
            <w:tcW w:w="1720" w:type="dxa"/>
            <w:vAlign w:val="bottom"/>
            <w:tcBorders>
              <w:top w:val="single" w:sz="8" w:color="0000EE"/>
            </w:tcBorders>
            <w:gridSpan w:val="14"/>
          </w:tcPr>
          <w:p>
            <w:pPr>
              <w:spacing w:after="0"/>
              <w:rPr>
                <w:sz w:val="15"/>
                <w:szCs w:val="15"/>
                <w:color w:val="auto"/>
              </w:rPr>
            </w:pPr>
          </w:p>
        </w:tc>
        <w:tc>
          <w:tcPr>
            <w:tcW w:w="5760" w:type="dxa"/>
            <w:vAlign w:val="bottom"/>
            <w:gridSpan w:val="5"/>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5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Cautionary Note Regarding Forward-Looking Statements</w:t>
              </w:r>
            </w:hyperlink>
          </w:p>
        </w:tc>
        <w:tc>
          <w:tcPr>
            <w:tcW w:w="3940" w:type="dxa"/>
            <w:vAlign w:val="bottom"/>
            <w:gridSpan w:val="3"/>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Dilution</w:t>
              </w:r>
            </w:hyperlink>
          </w:p>
        </w:tc>
        <w:tc>
          <w:tcPr>
            <w:tcW w:w="720" w:type="dxa"/>
            <w:vAlign w:val="bottom"/>
            <w:tcBorders>
              <w:top w:val="single" w:sz="8" w:color="0000EE"/>
            </w:tcBorders>
            <w:gridSpan w:val="7"/>
          </w:tcPr>
          <w:p>
            <w:pPr>
              <w:spacing w:after="0"/>
              <w:rPr>
                <w:sz w:val="15"/>
                <w:szCs w:val="15"/>
                <w:color w:val="auto"/>
              </w:rPr>
            </w:pPr>
          </w:p>
        </w:tc>
        <w:tc>
          <w:tcPr>
            <w:tcW w:w="7160" w:type="dxa"/>
            <w:vAlign w:val="bottom"/>
            <w:gridSpan w:val="13"/>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2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2">
              <w:r>
                <w:rPr>
                  <w:rFonts w:ascii="Arial" w:cs="Arial" w:eastAsia="Arial" w:hAnsi="Arial"/>
                  <w:sz w:val="18"/>
                  <w:szCs w:val="18"/>
                  <w:color w:val="0000EE"/>
                  <w:w w:val="98"/>
                </w:rPr>
                <w:t>Underwriting</w:t>
              </w:r>
            </w:hyperlink>
          </w:p>
        </w:tc>
        <w:tc>
          <w:tcPr>
            <w:tcW w:w="7460" w:type="dxa"/>
            <w:vAlign w:val="bottom"/>
            <w:gridSpan w:val="18"/>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Experts</w:t>
              </w:r>
            </w:hyperlink>
          </w:p>
        </w:tc>
        <w:tc>
          <w:tcPr>
            <w:tcW w:w="7400" w:type="dxa"/>
            <w:vAlign w:val="bottom"/>
            <w:gridSpan w:val="17"/>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 Information Incorporated By Reference</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317"/>
        </w:trPr>
        <w:tc>
          <w:tcPr>
            <w:tcW w:w="120" w:type="dxa"/>
            <w:vAlign w:val="bottom"/>
          </w:tcPr>
          <w:p>
            <w:pPr>
              <w:spacing w:after="0"/>
              <w:rPr>
                <w:sz w:val="24"/>
                <w:szCs w:val="24"/>
                <w:color w:val="auto"/>
              </w:rPr>
            </w:pPr>
          </w:p>
        </w:tc>
        <w:tc>
          <w:tcPr>
            <w:tcW w:w="626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auto"/>
              </w:rPr>
              <w:t>Prospectus</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8480" w:type="dxa"/>
            <w:vAlign w:val="bottom"/>
            <w:gridSpan w:val="21"/>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About this Prospectus</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534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Where You Can Find More Information: Incorporation by Reference</w:t>
              </w:r>
            </w:hyperlink>
          </w:p>
        </w:tc>
        <w:tc>
          <w:tcPr>
            <w:tcW w:w="3140" w:type="dxa"/>
            <w:vAlign w:val="bottom"/>
            <w:gridSpan w:val="2"/>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The Company</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Risk Factors</w:t>
              </w:r>
            </w:hyperlink>
          </w:p>
        </w:tc>
        <w:tc>
          <w:tcPr>
            <w:tcW w:w="120" w:type="dxa"/>
            <w:vAlign w:val="bottom"/>
            <w:tcBorders>
              <w:top w:val="single" w:sz="8" w:color="0000EE"/>
            </w:tcBorders>
            <w:gridSpan w:val="3"/>
          </w:tcPr>
          <w:p>
            <w:pPr>
              <w:spacing w:after="0"/>
              <w:rPr>
                <w:sz w:val="15"/>
                <w:szCs w:val="15"/>
                <w:color w:val="auto"/>
              </w:rPr>
            </w:pPr>
          </w:p>
        </w:tc>
        <w:tc>
          <w:tcPr>
            <w:tcW w:w="7360" w:type="dxa"/>
            <w:vAlign w:val="bottom"/>
            <w:gridSpan w:val="16"/>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5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Cautionary Note Regarding Forward-Looking Statements</w:t>
              </w:r>
            </w:hyperlink>
          </w:p>
        </w:tc>
        <w:tc>
          <w:tcPr>
            <w:tcW w:w="3940" w:type="dxa"/>
            <w:vAlign w:val="bottom"/>
            <w:gridSpan w:val="3"/>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Dividend Policy</w:t>
              </w:r>
            </w:hyperlink>
          </w:p>
        </w:tc>
        <w:tc>
          <w:tcPr>
            <w:tcW w:w="7160" w:type="dxa"/>
            <w:vAlign w:val="bottom"/>
            <w:gridSpan w:val="13"/>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Capital Stock</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Debt Securities</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6120" w:type="dxa"/>
            <w:vAlign w:val="bottom"/>
            <w:gridSpan w:val="6"/>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5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Description of Units</w:t>
              </w:r>
            </w:hyperlink>
          </w:p>
        </w:tc>
        <w:tc>
          <w:tcPr>
            <w:tcW w:w="300" w:type="dxa"/>
            <w:vAlign w:val="bottom"/>
            <w:tcBorders>
              <w:top w:val="single" w:sz="8" w:color="0000EE"/>
            </w:tcBorders>
            <w:gridSpan w:val="2"/>
          </w:tcPr>
          <w:p>
            <w:pPr>
              <w:spacing w:after="0"/>
              <w:rPr>
                <w:sz w:val="15"/>
                <w:szCs w:val="15"/>
                <w:color w:val="auto"/>
              </w:rPr>
            </w:pPr>
          </w:p>
        </w:tc>
        <w:tc>
          <w:tcPr>
            <w:tcW w:w="6620" w:type="dxa"/>
            <w:vAlign w:val="bottom"/>
            <w:gridSpan w:val="8"/>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6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Global Securities</w:t>
              </w:r>
            </w:hyperlink>
          </w:p>
        </w:tc>
        <w:tc>
          <w:tcPr>
            <w:tcW w:w="7120" w:type="dxa"/>
            <w:vAlign w:val="bottom"/>
            <w:gridSpan w:val="12"/>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80" w:type="dxa"/>
            <w:vAlign w:val="bottom"/>
            <w:gridSpan w:val="21"/>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5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6980" w:type="dxa"/>
            <w:vAlign w:val="bottom"/>
            <w:gridSpan w:val="11"/>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7400" w:type="dxa"/>
            <w:vAlign w:val="bottom"/>
            <w:gridSpan w:val="17"/>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b w:val="1"/>
          <w:bCs w:val="1"/>
          <w:color w:val="auto"/>
        </w:rPr>
        <w:t>Neither we nor any of the underwriters have authorized anyone to provide information different from that contained in this prospectus supplement. When you make a decision about whether to invest in our common stock, you should not rely upon any information other than the information in this prospectus supplement. Neither the delivery of this prospectus supplement nor the sale of shares of our common stock means that information contained in this prospectus supplement is correct after the date of this prospectus supplement. This prospectus supplement is not an offer to sell or solicitation of an offer to buy shares of our common stock in any circumstances under which the offer or solicitation is unlawful.</w:t>
      </w:r>
    </w:p>
    <w:p>
      <w:pPr>
        <w:sectPr>
          <w:pgSz w:w="11900" w:h="16838" w:orient="portrait"/>
          <w:cols w:equalWidth="0" w:num="1">
            <w:col w:w="11120"/>
          </w:cols>
          <w:pgMar w:left="320" w:top="446"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342"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This prospectus supplement and the accompanying prospectus dated November 19, 2020 are part of a registration statement that we filed with the Securities and Exchange Commission, or SEC, utilizing a “shelf” registration process. This prospectus supplement and the accompanying prospectus relate to the offer by us of shares of our common stock to certain investors. 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Information Incorporated by Reference.”</w:t>
      </w:r>
    </w:p>
    <w:p>
      <w:pPr>
        <w:spacing w:after="0" w:line="21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supplement and the accompanying prospectus. We have not, and the underwriters have not, authorized anyone to provide you with information that is different. We are offering to sell and seeking offers to buy shares of our common stock only in jurisdictions where offers and sales are permitted. The information contained in this prospectus supplement, the accompanying prospectus, the documents and information incorporated by reference in this prospectus supplement and the accompanying prospectus, and any free writing prospectus that we have authorized for use in connection with this offering are accurate only as of their respective dates, regardless of the time of delivery of this prospectus supplement or of any sale of our common stock.</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In this prospectus supplement, unless the context otherwise indicates, the terms “Exagen,” the “Company,” “we,” “our” and “us” or similar terms refer to Exagen Inc.</w:t>
      </w:r>
    </w:p>
    <w:p>
      <w:pPr>
        <w:spacing w:after="0" w:line="197"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 xml:space="preserve">We use our trademarks in this prospectus as well as trademarks, tradenames and service marks that are the property of other organizations. Use or display by us of other parties’ trademarks, trade dress or products is not intended to and does not imply a relationship with, or endorsements or sponsorship of, us by the trademark or trade dress owner. Solely for convenience, certain trademarks and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8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3187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324" w:lineRule="exact"/>
        <w:rPr>
          <w:sz w:val="20"/>
          <w:szCs w:val="20"/>
          <w:color w:val="auto"/>
        </w:rPr>
      </w:pPr>
    </w:p>
    <w:p>
      <w:pPr>
        <w:ind w:left="300" w:right="100" w:firstLine="426"/>
        <w:spacing w:after="0" w:line="241" w:lineRule="auto"/>
        <w:rPr>
          <w:sz w:val="20"/>
          <w:szCs w:val="20"/>
          <w:color w:val="auto"/>
        </w:rPr>
      </w:pPr>
      <w:r>
        <w:rPr>
          <w:rFonts w:ascii="Arial" w:cs="Arial" w:eastAsia="Arial" w:hAnsi="Arial"/>
          <w:sz w:val="18"/>
          <w:szCs w:val="18"/>
          <w:i w:val="1"/>
          <w:iCs w:val="1"/>
          <w:color w:val="auto"/>
        </w:rPr>
        <w:t>The items in the following summary are described in more detail later in this prospectus supplement and in the accompanying prospectus. This summary provides an overview of selected information and does not contain all the information you should consider before investing in our common stock. Therefore, you should read the entire prospectus supplement, the accompanying prospectus and any free writing prospectus that we have authorized for use in connection with this offering carefully, including the “Risk Factors” section, and other documents or information included or incorporated by reference in this prospectus supplement and the accompanying prospectus before making any investment decision.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Exagen Inc.</w:t>
      </w:r>
    </w:p>
    <w:p>
      <w:pPr>
        <w:spacing w:after="0" w:line="85"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Exagen is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that allow for the differential diagnosis, prognosis and</w:t>
      </w:r>
    </w:p>
    <w:p>
      <w:pPr>
        <w:ind w:left="300"/>
        <w:spacing w:after="0" w:line="236" w:lineRule="auto"/>
        <w:rPr>
          <w:sz w:val="20"/>
          <w:szCs w:val="20"/>
          <w:color w:val="auto"/>
        </w:rPr>
      </w:pPr>
      <w:r>
        <w:rPr>
          <w:rFonts w:ascii="Arial" w:cs="Arial" w:eastAsia="Arial" w:hAnsi="Arial"/>
          <w:sz w:val="18"/>
          <w:szCs w:val="18"/>
          <w:color w:val="auto"/>
        </w:rPr>
        <w:t>monitoring of complex autoimmune and autoimmune-related diseases. 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15"/>
          <w:szCs w:val="15"/>
          <w:color w:val="auto"/>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 autoimmune-related diseases such as autoimmune thyroid, and other disorders that mimic these diseases, such as fibromyalgia.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209" w:lineRule="exact"/>
        <w:rPr>
          <w:sz w:val="20"/>
          <w:szCs w:val="20"/>
          <w:color w:val="auto"/>
        </w:rPr>
      </w:pPr>
    </w:p>
    <w:p>
      <w:pPr>
        <w:ind w:left="300" w:firstLine="426"/>
        <w:spacing w:after="0" w:line="253" w:lineRule="auto"/>
        <w:rPr>
          <w:sz w:val="20"/>
          <w:szCs w:val="20"/>
          <w:color w:val="auto"/>
        </w:rPr>
      </w:pPr>
      <w:r>
        <w:rPr>
          <w:rFonts w:ascii="Arial" w:cs="Arial" w:eastAsia="Arial" w:hAnsi="Arial"/>
          <w:sz w:val="17"/>
          <w:szCs w:val="17"/>
          <w:color w:val="auto"/>
        </w:rPr>
        <w:t>We are leveraging our portfolio of testing products to establish partnerships with leading pharmaceutical companies, academic research centers and patient advocacy organizations. In December 2018, we entered into a co-promotion agreement, or the Janssen Agreement, with Janssen Biotech, Inc., or Janssen, to exclusively promote SIMPONI</w:t>
      </w:r>
      <w:r>
        <w:rPr>
          <w:rFonts w:ascii="Arial" w:cs="Arial" w:eastAsia="Arial" w:hAnsi="Arial"/>
          <w:sz w:val="14"/>
          <w:szCs w:val="14"/>
          <w:color w:val="auto"/>
        </w:rPr>
        <w:t>®</w:t>
      </w:r>
      <w:r>
        <w:rPr>
          <w:rFonts w:ascii="Arial" w:cs="Arial" w:eastAsia="Arial" w:hAnsi="Arial"/>
          <w:sz w:val="17"/>
          <w:szCs w:val="17"/>
          <w:color w:val="auto"/>
        </w:rPr>
        <w:t xml:space="preserve"> (golimumab) in order to advance our integrated testing and therapeutics strategy, and we began direct promotion of SIMPONI</w:t>
      </w:r>
      <w:r>
        <w:rPr>
          <w:rFonts w:ascii="Arial" w:cs="Arial" w:eastAsia="Arial" w:hAnsi="Arial"/>
          <w:sz w:val="14"/>
          <w:szCs w:val="14"/>
          <w:color w:val="auto"/>
        </w:rPr>
        <w:t>®</w:t>
      </w:r>
      <w:r>
        <w:rPr>
          <w:rFonts w:ascii="Arial" w:cs="Arial" w:eastAsia="Arial" w:hAnsi="Arial"/>
          <w:sz w:val="17"/>
          <w:szCs w:val="17"/>
          <w:color w:val="auto"/>
        </w:rPr>
        <w:t xml:space="preserve"> in January 2019. We also have agreements with other leading pharmaceutical companies and clinical research organizations, including GlaxoSmithKline LLC, or GSK, Covance Inc. and Parexel that leverage our testing products and/or the data generated from such tests. We provide GSK, a leader in lupus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64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00"/>
        <w:spacing w:after="0" w:line="237" w:lineRule="auto"/>
        <w:rPr>
          <w:sz w:val="20"/>
          <w:szCs w:val="20"/>
          <w:color w:val="auto"/>
        </w:rPr>
      </w:pPr>
      <w:r>
        <w:rPr>
          <w:rFonts w:ascii="Arial" w:cs="Arial" w:eastAsia="Arial" w:hAnsi="Arial"/>
          <w:sz w:val="18"/>
          <w:szCs w:val="18"/>
          <w:color w:val="auto"/>
        </w:rPr>
        <w:t>therapeutics, our test result data to provide market insight into and help increase awareness of the benefits of an early and accurate diagnosis of SLE and lupus nephritis, and monitoring disease activity. We partner with academic research centers and patient advocacy organizations, such as Brigham and Women’s Hospital, Hospital for Special Surgery, and Duke University as well as the Lupus Foundation of America, to help improve the quality of life for people affected by autoimmune diseases through programs of research, education, support and advocacy. We plan to pursue additional partnerships that are synergistic with our evolving portfolio of testing products.</w:t>
      </w:r>
    </w:p>
    <w:p>
      <w:pPr>
        <w:spacing w:after="0" w:line="205" w:lineRule="exact"/>
        <w:rPr>
          <w:sz w:val="20"/>
          <w:szCs w:val="20"/>
          <w:color w:val="auto"/>
        </w:rPr>
      </w:pPr>
    </w:p>
    <w:p>
      <w:pPr>
        <w:ind w:left="300" w:right="500" w:firstLine="426"/>
        <w:spacing w:after="0" w:line="246" w:lineRule="auto"/>
        <w:rPr>
          <w:sz w:val="20"/>
          <w:szCs w:val="20"/>
          <w:color w:val="auto"/>
        </w:rPr>
      </w:pPr>
      <w:r>
        <w:rPr>
          <w:rFonts w:ascii="Arial" w:cs="Arial" w:eastAsia="Arial" w:hAnsi="Arial"/>
          <w:sz w:val="18"/>
          <w:szCs w:val="18"/>
          <w:color w:val="auto"/>
        </w:rPr>
        <w:t>We have demonstrated a strong track record of developing innovative testing products that meet the needs of diagnosing, prognosing and monitoring CTDs,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Exclusive Forum Provision</w:t>
      </w:r>
    </w:p>
    <w:p>
      <w:pPr>
        <w:spacing w:after="0" w:line="85"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Effective as of March 22, 2021, our Board of Directors adopted an amendment and restatement of our bylaws pursuant to which a new Article XI was added, which provides that, unless we consent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85" w:lineRule="exact"/>
        <w:rPr>
          <w:sz w:val="20"/>
          <w:szCs w:val="20"/>
          <w:color w:val="auto"/>
        </w:rPr>
      </w:pPr>
    </w:p>
    <w:p>
      <w:pPr>
        <w:ind w:left="300" w:right="180" w:firstLine="426"/>
        <w:spacing w:after="0" w:line="237"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 Our website address is www.exagen.com. The information on, or accessible through, our website is not part of, and is not incorporated into, this prospectus supplement or the accompanying prospectus and should not be considered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4340" w:type="dxa"/>
            <w:vAlign w:val="bottom"/>
          </w:tcPr>
          <w:p>
            <w:pPr>
              <w:spacing w:after="0"/>
              <w:rPr>
                <w:sz w:val="20"/>
                <w:szCs w:val="20"/>
                <w:color w:val="auto"/>
              </w:rPr>
            </w:pPr>
          </w:p>
        </w:tc>
        <w:tc>
          <w:tcPr>
            <w:tcW w:w="1780" w:type="dxa"/>
            <w:vAlign w:val="bottom"/>
          </w:tcPr>
          <w:p>
            <w:pPr>
              <w:ind w:left="320"/>
              <w:spacing w:after="0"/>
              <w:rPr>
                <w:sz w:val="20"/>
                <w:szCs w:val="20"/>
                <w:color w:val="auto"/>
              </w:rPr>
            </w:pPr>
            <w:r>
              <w:rPr>
                <w:rFonts w:ascii="Arial" w:cs="Arial" w:eastAsia="Arial" w:hAnsi="Arial"/>
                <w:sz w:val="18"/>
                <w:szCs w:val="18"/>
                <w:b w:val="1"/>
                <w:bCs w:val="1"/>
                <w:color w:val="auto"/>
              </w:rPr>
              <w:t>THE OFFERING</w:t>
            </w:r>
          </w:p>
        </w:tc>
        <w:tc>
          <w:tcPr>
            <w:tcW w:w="4520" w:type="dxa"/>
            <w:vAlign w:val="bottom"/>
          </w:tcPr>
          <w:p>
            <w:pPr>
              <w:spacing w:after="0"/>
              <w:rPr>
                <w:sz w:val="20"/>
                <w:szCs w:val="20"/>
                <w:color w:val="auto"/>
              </w:rPr>
            </w:pPr>
          </w:p>
        </w:tc>
      </w:tr>
      <w:tr>
        <w:trPr>
          <w:trHeight w:val="567"/>
        </w:trPr>
        <w:tc>
          <w:tcPr>
            <w:tcW w:w="434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6300" w:type="dxa"/>
            <w:vAlign w:val="bottom"/>
            <w:gridSpan w:val="2"/>
          </w:tcPr>
          <w:p>
            <w:pPr>
              <w:ind w:left="860"/>
              <w:spacing w:after="0"/>
              <w:rPr>
                <w:sz w:val="20"/>
                <w:szCs w:val="20"/>
                <w:color w:val="auto"/>
              </w:rPr>
            </w:pPr>
            <w:r>
              <w:rPr>
                <w:rFonts w:ascii="Arial" w:cs="Arial" w:eastAsia="Arial" w:hAnsi="Arial"/>
                <w:sz w:val="18"/>
                <w:szCs w:val="18"/>
                <w:color w:val="auto"/>
              </w:rPr>
              <w:t>3,700,000 shares</w:t>
            </w: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300" w:type="dxa"/>
            <w:vAlign w:val="bottom"/>
            <w:gridSpan w:val="2"/>
          </w:tcPr>
          <w:p>
            <w:pPr>
              <w:ind w:left="860"/>
              <w:spacing w:after="0"/>
              <w:rPr>
                <w:sz w:val="20"/>
                <w:szCs w:val="20"/>
                <w:color w:val="auto"/>
              </w:rPr>
            </w:pPr>
            <w:r>
              <w:rPr>
                <w:rFonts w:ascii="Arial" w:cs="Arial" w:eastAsia="Arial" w:hAnsi="Arial"/>
                <w:sz w:val="18"/>
                <w:szCs w:val="18"/>
                <w:color w:val="auto"/>
                <w:w w:val="99"/>
              </w:rPr>
              <w:t>We have granted the underwriters an option exercisable for a period</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of 30 days after the date of this prospectus supplement to purchase</w:t>
            </w:r>
          </w:p>
        </w:tc>
      </w:tr>
      <w:tr>
        <w:trPr>
          <w:trHeight w:val="217"/>
        </w:trPr>
        <w:tc>
          <w:tcPr>
            <w:tcW w:w="4340" w:type="dxa"/>
            <w:vAlign w:val="bottom"/>
          </w:tcPr>
          <w:p>
            <w:pPr>
              <w:spacing w:after="0"/>
              <w:rPr>
                <w:sz w:val="18"/>
                <w:szCs w:val="18"/>
                <w:color w:val="auto"/>
              </w:rPr>
            </w:pPr>
          </w:p>
        </w:tc>
        <w:tc>
          <w:tcPr>
            <w:tcW w:w="1780" w:type="dxa"/>
            <w:vAlign w:val="bottom"/>
          </w:tcPr>
          <w:p>
            <w:pPr>
              <w:ind w:left="860"/>
              <w:spacing w:after="0"/>
              <w:rPr>
                <w:sz w:val="20"/>
                <w:szCs w:val="20"/>
                <w:color w:val="auto"/>
              </w:rPr>
            </w:pPr>
            <w:r>
              <w:rPr>
                <w:rFonts w:ascii="Arial" w:cs="Arial" w:eastAsia="Arial" w:hAnsi="Arial"/>
                <w:sz w:val="18"/>
                <w:szCs w:val="18"/>
                <w:color w:val="auto"/>
              </w:rPr>
              <w:t>up to</w:t>
            </w:r>
          </w:p>
        </w:tc>
        <w:tc>
          <w:tcPr>
            <w:tcW w:w="4520" w:type="dxa"/>
            <w:vAlign w:val="bottom"/>
          </w:tcPr>
          <w:p>
            <w:pPr>
              <w:ind w:left="140"/>
              <w:spacing w:after="0"/>
              <w:rPr>
                <w:sz w:val="20"/>
                <w:szCs w:val="20"/>
                <w:color w:val="auto"/>
              </w:rPr>
            </w:pPr>
            <w:r>
              <w:rPr>
                <w:rFonts w:ascii="Arial" w:cs="Arial" w:eastAsia="Arial" w:hAnsi="Arial"/>
                <w:sz w:val="18"/>
                <w:szCs w:val="18"/>
                <w:color w:val="auto"/>
              </w:rPr>
              <w:t>additional shares of our common stock.</w:t>
            </w:r>
          </w:p>
        </w:tc>
      </w:tr>
      <w:tr>
        <w:trPr>
          <w:trHeight w:val="431"/>
        </w:trPr>
        <w:tc>
          <w:tcPr>
            <w:tcW w:w="4340" w:type="dxa"/>
            <w:vAlign w:val="bottom"/>
          </w:tcPr>
          <w:p>
            <w:pPr>
              <w:spacing w:after="0"/>
              <w:rPr>
                <w:sz w:val="20"/>
                <w:szCs w:val="20"/>
                <w:color w:val="auto"/>
              </w:rPr>
            </w:pPr>
            <w:r>
              <w:rPr>
                <w:rFonts w:ascii="Arial" w:cs="Arial" w:eastAsia="Arial" w:hAnsi="Arial"/>
                <w:sz w:val="18"/>
                <w:szCs w:val="18"/>
                <w:color w:val="auto"/>
              </w:rPr>
              <w:t>Common stock to be outstanding after this offering</w:t>
            </w:r>
          </w:p>
        </w:tc>
        <w:tc>
          <w:tcPr>
            <w:tcW w:w="6300" w:type="dxa"/>
            <w:vAlign w:val="bottom"/>
            <w:gridSpan w:val="2"/>
          </w:tcPr>
          <w:p>
            <w:pPr>
              <w:ind w:left="860"/>
              <w:spacing w:after="0"/>
              <w:rPr>
                <w:sz w:val="20"/>
                <w:szCs w:val="20"/>
                <w:color w:val="auto"/>
              </w:rPr>
            </w:pPr>
            <w:r>
              <w:rPr>
                <w:rFonts w:ascii="Arial" w:cs="Arial" w:eastAsia="Arial" w:hAnsi="Arial"/>
                <w:sz w:val="18"/>
                <w:szCs w:val="18"/>
                <w:color w:val="auto"/>
              </w:rPr>
              <w:t>16,352,308 shares (or 16,907,308 shares if the underwriters</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exercise in full their option to purchase additional shares of our</w:t>
            </w:r>
          </w:p>
        </w:tc>
      </w:tr>
      <w:tr>
        <w:trPr>
          <w:trHeight w:val="217"/>
        </w:trPr>
        <w:tc>
          <w:tcPr>
            <w:tcW w:w="4340" w:type="dxa"/>
            <w:vAlign w:val="bottom"/>
          </w:tcPr>
          <w:p>
            <w:pPr>
              <w:spacing w:after="0"/>
              <w:rPr>
                <w:sz w:val="18"/>
                <w:szCs w:val="18"/>
                <w:color w:val="auto"/>
              </w:rPr>
            </w:pPr>
          </w:p>
        </w:tc>
        <w:tc>
          <w:tcPr>
            <w:tcW w:w="6300" w:type="dxa"/>
            <w:vAlign w:val="bottom"/>
            <w:gridSpan w:val="2"/>
          </w:tcPr>
          <w:p>
            <w:pPr>
              <w:ind w:left="860"/>
              <w:spacing w:after="0"/>
              <w:rPr>
                <w:sz w:val="20"/>
                <w:szCs w:val="20"/>
                <w:color w:val="auto"/>
              </w:rPr>
            </w:pPr>
            <w:r>
              <w:rPr>
                <w:rFonts w:ascii="Arial" w:cs="Arial" w:eastAsia="Arial" w:hAnsi="Arial"/>
                <w:sz w:val="18"/>
                <w:szCs w:val="18"/>
                <w:color w:val="auto"/>
              </w:rPr>
              <w:t>common stock in full).</w:t>
            </w:r>
          </w:p>
        </w:tc>
      </w:tr>
      <w:tr>
        <w:trPr>
          <w:trHeight w:val="431"/>
        </w:trPr>
        <w:tc>
          <w:tcPr>
            <w:tcW w:w="4340" w:type="dxa"/>
            <w:vAlign w:val="bottom"/>
          </w:tcPr>
          <w:p>
            <w:pPr>
              <w:spacing w:after="0"/>
              <w:rPr>
                <w:sz w:val="20"/>
                <w:szCs w:val="20"/>
                <w:color w:val="auto"/>
              </w:rPr>
            </w:pPr>
            <w:r>
              <w:rPr>
                <w:rFonts w:ascii="Arial" w:cs="Arial" w:eastAsia="Arial" w:hAnsi="Arial"/>
                <w:sz w:val="18"/>
                <w:szCs w:val="18"/>
                <w:color w:val="auto"/>
              </w:rPr>
              <w:t>Use of proceeds</w:t>
            </w:r>
          </w:p>
        </w:tc>
        <w:tc>
          <w:tcPr>
            <w:tcW w:w="6300" w:type="dxa"/>
            <w:vAlign w:val="bottom"/>
            <w:gridSpan w:val="2"/>
          </w:tcPr>
          <w:p>
            <w:pPr>
              <w:ind w:left="860"/>
              <w:spacing w:after="0"/>
              <w:rPr>
                <w:sz w:val="20"/>
                <w:szCs w:val="20"/>
                <w:color w:val="auto"/>
              </w:rPr>
            </w:pPr>
            <w:r>
              <w:rPr>
                <w:rFonts w:ascii="Arial" w:cs="Arial" w:eastAsia="Arial" w:hAnsi="Arial"/>
                <w:sz w:val="18"/>
                <w:szCs w:val="18"/>
                <w:color w:val="auto"/>
                <w:w w:val="99"/>
              </w:rPr>
              <w:t>We currently intend to use the net proceeds from this offering for the</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development of Multi-omics capabilities, including build out of our</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clinical laboratory, advancement of our product pipeline, including to</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support development of tests for fibromyalgia, RA, thrombosis and</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lupus nephritis, enhancement of intellectual property protection for</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our technologies, and for working capital and other general</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corporate purposes. We may also use a portion of the net proceeds</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to in-license, acquire, or invest in complementary businesses,</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technologies, products or assets; however, we have no current</w:t>
            </w:r>
          </w:p>
        </w:tc>
      </w:tr>
      <w:tr>
        <w:trPr>
          <w:trHeight w:val="217"/>
        </w:trPr>
        <w:tc>
          <w:tcPr>
            <w:tcW w:w="4340" w:type="dxa"/>
            <w:vAlign w:val="bottom"/>
          </w:tcPr>
          <w:p>
            <w:pPr>
              <w:spacing w:after="0"/>
              <w:rPr>
                <w:sz w:val="18"/>
                <w:szCs w:val="18"/>
                <w:color w:val="auto"/>
              </w:rPr>
            </w:pPr>
          </w:p>
        </w:tc>
        <w:tc>
          <w:tcPr>
            <w:tcW w:w="6300" w:type="dxa"/>
            <w:vAlign w:val="bottom"/>
            <w:gridSpan w:val="2"/>
          </w:tcPr>
          <w:p>
            <w:pPr>
              <w:ind w:left="860"/>
              <w:spacing w:after="0"/>
              <w:rPr>
                <w:sz w:val="20"/>
                <w:szCs w:val="20"/>
                <w:color w:val="auto"/>
              </w:rPr>
            </w:pPr>
            <w:r>
              <w:rPr>
                <w:rFonts w:ascii="Arial" w:cs="Arial" w:eastAsia="Arial" w:hAnsi="Arial"/>
                <w:sz w:val="18"/>
                <w:szCs w:val="18"/>
                <w:color w:val="auto"/>
              </w:rPr>
              <w:t>commitments or obligations to do so. See “Use of Proceeds.”</w:t>
            </w:r>
          </w:p>
        </w:tc>
      </w:tr>
      <w:tr>
        <w:trPr>
          <w:trHeight w:val="431"/>
        </w:trPr>
        <w:tc>
          <w:tcPr>
            <w:tcW w:w="4340" w:type="dxa"/>
            <w:vAlign w:val="bottom"/>
          </w:tcPr>
          <w:p>
            <w:pPr>
              <w:spacing w:after="0"/>
              <w:rPr>
                <w:sz w:val="20"/>
                <w:szCs w:val="20"/>
                <w:color w:val="auto"/>
              </w:rPr>
            </w:pPr>
            <w:r>
              <w:rPr>
                <w:rFonts w:ascii="Arial" w:cs="Arial" w:eastAsia="Arial" w:hAnsi="Arial"/>
                <w:sz w:val="18"/>
                <w:szCs w:val="18"/>
                <w:color w:val="auto"/>
              </w:rPr>
              <w:t>Risk factors</w:t>
            </w:r>
          </w:p>
        </w:tc>
        <w:tc>
          <w:tcPr>
            <w:tcW w:w="6300" w:type="dxa"/>
            <w:vAlign w:val="bottom"/>
            <w:gridSpan w:val="2"/>
          </w:tcPr>
          <w:p>
            <w:pPr>
              <w:ind w:left="860"/>
              <w:spacing w:after="0"/>
              <w:rPr>
                <w:sz w:val="20"/>
                <w:szCs w:val="20"/>
                <w:color w:val="auto"/>
              </w:rPr>
            </w:pPr>
            <w:r>
              <w:rPr>
                <w:rFonts w:ascii="Arial" w:cs="Arial" w:eastAsia="Arial" w:hAnsi="Arial"/>
                <w:sz w:val="18"/>
                <w:szCs w:val="18"/>
                <w:color w:val="auto"/>
              </w:rPr>
              <w:t>You should read the “Risk Factors” section of this prospectus</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supplement and in the documents incorporated by reference in this</w:t>
            </w:r>
          </w:p>
        </w:tc>
      </w:tr>
      <w:tr>
        <w:trPr>
          <w:trHeight w:val="203"/>
        </w:trPr>
        <w:tc>
          <w:tcPr>
            <w:tcW w:w="4340" w:type="dxa"/>
            <w:vAlign w:val="bottom"/>
          </w:tcPr>
          <w:p>
            <w:pPr>
              <w:spacing w:after="0"/>
              <w:rPr>
                <w:sz w:val="17"/>
                <w:szCs w:val="17"/>
                <w:color w:val="auto"/>
              </w:rPr>
            </w:pPr>
          </w:p>
        </w:tc>
        <w:tc>
          <w:tcPr>
            <w:tcW w:w="630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prospectus supplement for a discussion of factors to consider before</w:t>
            </w:r>
          </w:p>
        </w:tc>
      </w:tr>
      <w:tr>
        <w:trPr>
          <w:trHeight w:val="217"/>
        </w:trPr>
        <w:tc>
          <w:tcPr>
            <w:tcW w:w="4340" w:type="dxa"/>
            <w:vAlign w:val="bottom"/>
          </w:tcPr>
          <w:p>
            <w:pPr>
              <w:spacing w:after="0"/>
              <w:rPr>
                <w:sz w:val="18"/>
                <w:szCs w:val="18"/>
                <w:color w:val="auto"/>
              </w:rPr>
            </w:pPr>
          </w:p>
        </w:tc>
        <w:tc>
          <w:tcPr>
            <w:tcW w:w="6300" w:type="dxa"/>
            <w:vAlign w:val="bottom"/>
            <w:gridSpan w:val="2"/>
          </w:tcPr>
          <w:p>
            <w:pPr>
              <w:ind w:left="860"/>
              <w:spacing w:after="0"/>
              <w:rPr>
                <w:sz w:val="20"/>
                <w:szCs w:val="20"/>
                <w:color w:val="auto"/>
              </w:rPr>
            </w:pPr>
            <w:r>
              <w:rPr>
                <w:rFonts w:ascii="Arial" w:cs="Arial" w:eastAsia="Arial" w:hAnsi="Arial"/>
                <w:sz w:val="18"/>
                <w:szCs w:val="18"/>
                <w:color w:val="auto"/>
              </w:rPr>
              <w:t>deciding to invest in our common stock.</w:t>
            </w: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Nasdaq Global Market symbol</w:t>
            </w:r>
          </w:p>
        </w:tc>
        <w:tc>
          <w:tcPr>
            <w:tcW w:w="1780" w:type="dxa"/>
            <w:vAlign w:val="bottom"/>
          </w:tcPr>
          <w:p>
            <w:pPr>
              <w:ind w:left="860"/>
              <w:spacing w:after="0"/>
              <w:rPr>
                <w:sz w:val="20"/>
                <w:szCs w:val="20"/>
                <w:color w:val="auto"/>
              </w:rPr>
            </w:pPr>
            <w:r>
              <w:rPr>
                <w:rFonts w:ascii="Arial" w:cs="Arial" w:eastAsia="Arial" w:hAnsi="Arial"/>
                <w:sz w:val="18"/>
                <w:szCs w:val="18"/>
                <w:color w:val="auto"/>
              </w:rPr>
              <w:t>“XGN”</w:t>
            </w:r>
          </w:p>
        </w:tc>
        <w:tc>
          <w:tcPr>
            <w:tcW w:w="4520" w:type="dxa"/>
            <w:vAlign w:val="bottom"/>
          </w:tcPr>
          <w:p>
            <w:pPr>
              <w:spacing w:after="0"/>
              <w:rPr>
                <w:sz w:val="24"/>
                <w:szCs w:val="24"/>
                <w:color w:val="auto"/>
              </w:rPr>
            </w:pPr>
          </w:p>
        </w:tc>
      </w:tr>
    </w:tbl>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number of shares of common stock to be outstanding after this offering is based on 12,652,308 shares outstanding as of</w:t>
      </w:r>
    </w:p>
    <w:p>
      <w:pPr>
        <w:ind w:left="300"/>
        <w:spacing w:after="0"/>
        <w:rPr>
          <w:sz w:val="20"/>
          <w:szCs w:val="20"/>
          <w:color w:val="auto"/>
        </w:rPr>
      </w:pPr>
      <w:r>
        <w:rPr>
          <w:rFonts w:ascii="Arial" w:cs="Arial" w:eastAsia="Arial" w:hAnsi="Arial"/>
          <w:sz w:val="18"/>
          <w:szCs w:val="18"/>
          <w:color w:val="auto"/>
        </w:rPr>
        <w:t>December 31, 2020, and excludes:</w:t>
      </w:r>
    </w:p>
    <w:p>
      <w:pPr>
        <w:spacing w:after="0" w:line="239" w:lineRule="exact"/>
        <w:rPr>
          <w:sz w:val="20"/>
          <w:szCs w:val="20"/>
          <w:color w:val="auto"/>
        </w:rPr>
      </w:pPr>
    </w:p>
    <w:p>
      <w:pPr>
        <w:ind w:left="1120" w:right="500" w:hanging="407"/>
        <w:spacing w:after="0" w:line="218"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1,975,761 shares of common stock issuable upon the exercise of stock options outstanding as of December 31, 2020 under our equity incentive plans, with a weighted average exercise price of $11.81 per share;</w:t>
      </w:r>
    </w:p>
    <w:p>
      <w:pPr>
        <w:spacing w:after="0" w:line="27" w:lineRule="exact"/>
        <w:rPr>
          <w:rFonts w:ascii="MS PGothic" w:cs="MS PGothic" w:eastAsia="MS PGothic" w:hAnsi="MS PGothic"/>
          <w:sz w:val="25"/>
          <w:szCs w:val="25"/>
          <w:color w:val="auto"/>
          <w:vertAlign w:val="superscript"/>
        </w:rPr>
      </w:pPr>
    </w:p>
    <w:p>
      <w:pPr>
        <w:ind w:left="1120" w:right="440" w:hanging="407"/>
        <w:spacing w:after="0" w:line="218"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426,827 shares of common stock issuable upon the exercise of warrants outstanding as of December 31, 2020, with a weighted-average exercise price of $4.90 per share;</w:t>
      </w:r>
    </w:p>
    <w:p>
      <w:pPr>
        <w:spacing w:after="0" w:line="27" w:lineRule="exact"/>
        <w:rPr>
          <w:rFonts w:ascii="MS PGothic" w:cs="MS PGothic" w:eastAsia="MS PGothic" w:hAnsi="MS PGothic"/>
          <w:sz w:val="25"/>
          <w:szCs w:val="25"/>
          <w:color w:val="auto"/>
          <w:vertAlign w:val="superscript"/>
        </w:rPr>
      </w:pPr>
    </w:p>
    <w:p>
      <w:pPr>
        <w:ind w:left="1120" w:right="100" w:hanging="407"/>
        <w:spacing w:after="0" w:line="218"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185,000 shares of common stock reserved for issuance upon the vesting of outstanding restricted stock units granted after December 31, 2020;</w:t>
      </w:r>
    </w:p>
    <w:p>
      <w:pPr>
        <w:spacing w:after="0" w:line="27" w:lineRule="exact"/>
        <w:rPr>
          <w:rFonts w:ascii="MS PGothic" w:cs="MS PGothic" w:eastAsia="MS PGothic" w:hAnsi="MS PGothic"/>
          <w:sz w:val="25"/>
          <w:szCs w:val="25"/>
          <w:color w:val="auto"/>
          <w:vertAlign w:val="superscript"/>
        </w:rPr>
      </w:pPr>
    </w:p>
    <w:p>
      <w:pPr>
        <w:ind w:left="1120" w:right="120" w:hanging="407"/>
        <w:spacing w:after="0" w:line="218"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1,139,323 shares of common stock reserved for future issuance under our 2019 Incentive Award Plan as of December 31, 2020;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38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9385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580" w:hanging="407"/>
        <w:spacing w:after="0" w:line="218"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233,961 shares of common stock reserved for future issuance under our 2019 Employee Stock Purchase Plan as of December 31, 2020.</w:t>
      </w:r>
    </w:p>
    <w:p>
      <w:pPr>
        <w:spacing w:after="0" w:line="203" w:lineRule="exact"/>
        <w:rPr>
          <w:sz w:val="20"/>
          <w:szCs w:val="20"/>
          <w:color w:val="auto"/>
        </w:rPr>
      </w:pPr>
    </w:p>
    <w:p>
      <w:pPr>
        <w:ind w:left="300" w:firstLine="426"/>
        <w:spacing w:after="0" w:line="246" w:lineRule="auto"/>
        <w:rPr>
          <w:sz w:val="20"/>
          <w:szCs w:val="20"/>
          <w:color w:val="auto"/>
        </w:rPr>
      </w:pPr>
      <w:r>
        <w:rPr>
          <w:rFonts w:ascii="Arial" w:cs="Arial" w:eastAsia="Arial" w:hAnsi="Arial"/>
          <w:sz w:val="18"/>
          <w:szCs w:val="18"/>
          <w:color w:val="auto"/>
        </w:rPr>
        <w:t>Except as otherwise indicated, all information in this prospectus supplement assumes no exercise of outstanding options and no exercise by the underwriters of their option to purchase up to an additional 555,000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i w:val="1"/>
          <w:iCs w:val="1"/>
          <w:color w:val="auto"/>
        </w:rPr>
        <w:t>You should consider carefully the risks described below and discussed under the section captioned “Risk Factors” contained in our Annual Report on Form 10-K for the year ended December 31, 2020 as updated by our subsequent filings under the Securities Exchange Act of 1934, as amended, or the Exchange Act, which are incorporated by reference in this prospectus supplement and the accompanying prospectus in their entirety, together with other information in this prospectus supplement, the accompanying prospectus and the information and documents incorporated by reference in this prospectus supplement and the accompanying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w:t>
      </w:r>
    </w:p>
    <w:p>
      <w:pPr>
        <w:spacing w:after="0" w:line="21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b w:val="1"/>
          <w:bCs w:val="1"/>
          <w:i w:val="1"/>
          <w:iCs w:val="1"/>
          <w:color w:val="auto"/>
        </w:rPr>
        <w:t>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investors.</w:t>
      </w:r>
    </w:p>
    <w:p>
      <w:pPr>
        <w:spacing w:after="0" w:line="5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offering price per share of common stock in this offering is considerably more than the net tangible book value per share of our outstanding common stock. As a result, investors purchasing shares of common stock in this offering will pay a price per share that substantially exceeds the value of our tangible assets after subtracting liabilities. Based upon the public offering price of $16.25 per share, new investors will incur immediate dilution of $10.59 per share based on the net tangible book value as of December 31, 2020. For a more detailed discussion of the foregoing, see the section entitled “Dilution” below. To the extent outstanding stock options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186"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27"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the development of Multi-omics capabilities, including build out of our clinical laboratory, advancement of our product pipeline, including to support development of tests for fibromyalgia, RA, thrombosis and lupus nephritis, enhancement of intellectual property protection for our technologies, and for working capital and other general corporate purposes. We may also use a portion of the net proceeds to in-license, acquire, or invest in complementary businesses, technologies, products or assets; however, we have no current commitments or obligations to do so.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42"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Section 21E of the Exchange Act. All statements other than statements of historical facts contained in this prospectus supplement, the accompanying prospectus and the documents incorporated by reference herein are forward-looking statements, including statements regarding our future results of operations and financial position, business strategy, the impact of the COVID-19 pandemic,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21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which we discuss in greater detail in the documents incorporated by reference herein, including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 -looking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supplement, the accompanying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We estimate that we will receive net proceeds of approximately $56.3 million from the sale of 3,700,000 shares of common stock offered by us in this offering, or approximately $64.8 million if the underwriters exercise in full their option to purchase up to an additional 555,000 shares of common stock, after deducting the underwriting discounts and commissions and estimated offering expenses payable by us.</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currently intend to use the net proceeds of this offering for the development of Multi-omics capabilities, including build out of our clinical laboratory, advancement of our product pipeline, including to support development of tests for fibromyalgia, RA, thrombosis and lupus nephritis, enhancement of intellectual property protection for our technologies, and for working capital and other general corporate purposes.</w:t>
      </w:r>
    </w:p>
    <w:p>
      <w:pPr>
        <w:spacing w:after="0" w:line="20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We may also use a portion of the net proceeds to in-license, acquire, or invest in complementary businesses, technologies, products or assets. However, we have no current commitments or obligations to do so.</w:t>
      </w:r>
    </w:p>
    <w:p>
      <w:pPr>
        <w:spacing w:after="0" w:line="19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If you invest in our common stock in this offering, your interest will be diluted to the extent of the difference between the public offering price per share and the net tangible book value per share of our common stock after this offering. As of December 31, 2020, our net tangible book value was $36.3 million, or $2.87 per share, based on 12,652,308 shares of our common stock outstanding as of December 31, 2020. Our net tangible book value per share represents the amount of our total tangible assets reduced by the amount of our total liabilities, divided by the total number of shares of our common stock outstanding as of December 31, 2020. After giving effect to our sale in this offering of 3,700,000 shares of common stock at the public offering price of $16.25 per share, after deducting the underwriting discounts and commissions and estimated offering expenses payable by us, our net tangible book value as of December 31, 2020 would have been $92.6 million, or $5.66 per share. This represents an immediate increase in net tangible book value of $2.79 per share to our existing stockholders and immediate dilution of $10.59 per share to new investors purchasing our common stock in this offering. The following table illustrates this per share dilution.</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40"/>
              <w:spacing w:after="0" w:line="202" w:lineRule="exact"/>
              <w:rPr>
                <w:sz w:val="20"/>
                <w:szCs w:val="20"/>
                <w:color w:val="auto"/>
              </w:rPr>
            </w:pPr>
            <w:r>
              <w:rPr>
                <w:rFonts w:ascii="Arial" w:cs="Arial" w:eastAsia="Arial" w:hAnsi="Arial"/>
                <w:sz w:val="18"/>
                <w:szCs w:val="18"/>
                <w:color w:val="auto"/>
              </w:rPr>
              <w:t>Net tangible book value per share at December 31, 2020</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per share attributable to investors purchasing shares in this offering</w:t>
            </w:r>
          </w:p>
        </w:tc>
        <w:tc>
          <w:tcPr>
            <w:tcW w:w="13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2.79</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7"/>
        </w:trPr>
        <w:tc>
          <w:tcPr>
            <w:tcW w:w="774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2000" w:type="dxa"/>
            <w:vAlign w:val="bottom"/>
            <w:gridSpan w:val="3"/>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investors purchasing our common stock in this offering</w:t>
            </w:r>
          </w:p>
        </w:tc>
        <w:tc>
          <w:tcPr>
            <w:tcW w:w="25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10.59</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If the underwriters exercise in full their option to purchase up to an additional 555,000 shares of our common stock at the public offering price of $16.25 per share, after deducting the underwriting discounts and commissions and estimated offering expenses payable by us, our as adjusted net tangible book value after this offering would be $5.98 per share, representing an immediate increase in net tangible book value of $3.11 per share to our existing stockholders and immediate dilution of $10.27 per share to new investors purchasing common stock in this offering.</w:t>
      </w:r>
    </w:p>
    <w:p>
      <w:pPr>
        <w:spacing w:after="0" w:line="20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The foregoing tables and calculations (other than net tangible book value calculations) are based on 12,652,308 shares outstanding as of December 31, 2020, and excludes:</w:t>
      </w:r>
    </w:p>
    <w:p>
      <w:pPr>
        <w:spacing w:after="0" w:line="224" w:lineRule="exact"/>
        <w:rPr>
          <w:sz w:val="20"/>
          <w:szCs w:val="20"/>
          <w:color w:val="auto"/>
        </w:rPr>
      </w:pPr>
    </w:p>
    <w:p>
      <w:pPr>
        <w:ind w:left="98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1,975,761 shares of common stock issuable upon the exercise of stock options outstanding as of December 31, 2020 under our equity incentive plans, with a weighted average exercise price of $11.81 per share;</w:t>
      </w:r>
    </w:p>
    <w:p>
      <w:pPr>
        <w:spacing w:after="0" w:line="27" w:lineRule="exact"/>
        <w:rPr>
          <w:rFonts w:ascii="MS PGothic" w:cs="MS PGothic" w:eastAsia="MS PGothic" w:hAnsi="MS PGothic"/>
          <w:sz w:val="25"/>
          <w:szCs w:val="25"/>
          <w:color w:val="auto"/>
          <w:vertAlign w:val="superscript"/>
        </w:rPr>
      </w:pPr>
    </w:p>
    <w:p>
      <w:pPr>
        <w:ind w:left="980" w:right="42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185,000 shares of common stock reserved for issuance upon the vesting of outstanding restricted stock units granted after December 31, 2020;</w:t>
      </w:r>
    </w:p>
    <w:p>
      <w:pPr>
        <w:spacing w:after="0" w:line="27"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426,827 shares of common stock issuable upon the exercise of warrants outstanding as of December 31, 2020, with a weighted-average exercise price of $4.90 per share;</w:t>
      </w:r>
    </w:p>
    <w:p>
      <w:pPr>
        <w:spacing w:after="0" w:line="27"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1,139,323 shares of common stock reserved for future issuance under our 2019 Incentive Award Plan as of December 31, 2020; and</w:t>
      </w:r>
    </w:p>
    <w:p>
      <w:pPr>
        <w:spacing w:after="0" w:line="27" w:lineRule="exact"/>
        <w:rPr>
          <w:rFonts w:ascii="MS PGothic" w:cs="MS PGothic" w:eastAsia="MS PGothic" w:hAnsi="MS PGothic"/>
          <w:sz w:val="25"/>
          <w:szCs w:val="25"/>
          <w:color w:val="auto"/>
          <w:vertAlign w:val="superscript"/>
        </w:rPr>
      </w:pPr>
    </w:p>
    <w:p>
      <w:pPr>
        <w:ind w:left="980" w:right="94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233,961 shares of common stock reserved for future issuance under our 2019 Employee Stock Purchase Plan as of December 31, 2020.</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To the extent that outstanding options are exercised,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34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Cowen and Company, LLC, William Blair &amp; Company, L.L.C. and Cantor Fitzgerald &amp; Co. are the representatives of the underwriters.</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9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9200" w:type="dxa"/>
            <w:vAlign w:val="bottom"/>
            <w:gridSpan w:val="3"/>
            <w:vMerge w:val="continue"/>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Cowen and Company, LLC</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1,202,500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spacing w:after="0" w:line="202" w:lineRule="exact"/>
              <w:rPr>
                <w:sz w:val="20"/>
                <w:szCs w:val="20"/>
                <w:color w:val="auto"/>
              </w:rPr>
            </w:pPr>
            <w:r>
              <w:rPr>
                <w:rFonts w:ascii="Arial" w:cs="Arial" w:eastAsia="Arial" w:hAnsi="Arial"/>
                <w:sz w:val="18"/>
                <w:szCs w:val="18"/>
                <w:color w:val="auto"/>
              </w:rPr>
              <w:t>William Blair &amp; Company, L.L.C.</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971,250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Cantor Fitzgerald &amp; Co.</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spacing w:after="0" w:line="202" w:lineRule="exact"/>
              <w:rPr>
                <w:sz w:val="20"/>
                <w:szCs w:val="20"/>
                <w:color w:val="auto"/>
              </w:rPr>
            </w:pPr>
            <w:r>
              <w:rPr>
                <w:rFonts w:ascii="Arial" w:cs="Arial" w:eastAsia="Arial" w:hAnsi="Arial"/>
                <w:sz w:val="18"/>
                <w:szCs w:val="18"/>
                <w:color w:val="auto"/>
              </w:rPr>
              <w:t>Canaccord Genuity LLC.</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416,250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BTIG, LLC</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202"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Discounts and Commissions</w:t>
      </w:r>
    </w:p>
    <w:p>
      <w:pPr>
        <w:spacing w:after="0" w:line="99"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These amounts are shown assuming both no exercise and full exercise of the underwriters’ option to purchase additional shares.</w:t>
      </w:r>
    </w:p>
    <w:p>
      <w:pPr>
        <w:spacing w:after="0" w:line="19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We estimate that the total expenses of the offering, excluding underwriting discount, will be approximately $250,000 and are payable by us. We have agreed to reimburse the underwriters for certain of their expenses in an amount up to $30,000.</w:t>
      </w:r>
    </w:p>
    <w:p>
      <w:pPr>
        <w:spacing w:after="0" w:line="9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2"/>
              <w:spacing w:after="0"/>
              <w:rPr>
                <w:sz w:val="20"/>
                <w:szCs w:val="20"/>
                <w:color w:val="auto"/>
              </w:rPr>
            </w:pPr>
            <w:r>
              <w:rPr>
                <w:rFonts w:ascii="Arial" w:cs="Arial" w:eastAsia="Arial" w:hAnsi="Arial"/>
                <w:sz w:val="14"/>
                <w:szCs w:val="14"/>
                <w:b w:val="1"/>
                <w:bCs w:val="1"/>
                <w:color w:val="auto"/>
                <w:w w:val="99"/>
              </w:rPr>
              <w:t>Without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2"/>
              <w:spacing w:after="0"/>
              <w:rPr>
                <w:sz w:val="20"/>
                <w:szCs w:val="20"/>
                <w:color w:val="auto"/>
              </w:rPr>
            </w:pPr>
            <w:r>
              <w:rPr>
                <w:rFonts w:ascii="Arial" w:cs="Arial" w:eastAsia="Arial" w:hAnsi="Arial"/>
                <w:sz w:val="14"/>
                <w:szCs w:val="14"/>
                <w:b w:val="1"/>
                <w:bCs w:val="1"/>
                <w:color w:val="auto"/>
              </w:rPr>
              <w:t>Option to</w:t>
            </w:r>
          </w:p>
        </w:tc>
        <w:tc>
          <w:tcPr>
            <w:tcW w:w="360" w:type="dxa"/>
            <w:vAlign w:val="bottom"/>
          </w:tcPr>
          <w:p>
            <w:pPr>
              <w:spacing w:after="0"/>
              <w:rPr>
                <w:sz w:val="14"/>
                <w:szCs w:val="1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With Option to</w:t>
            </w: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2"/>
              <w:spacing w:after="0"/>
              <w:rPr>
                <w:sz w:val="20"/>
                <w:szCs w:val="20"/>
                <w:color w:val="auto"/>
              </w:rPr>
            </w:pPr>
            <w:r>
              <w:rPr>
                <w:rFonts w:ascii="Arial" w:cs="Arial" w:eastAsia="Arial" w:hAnsi="Arial"/>
                <w:sz w:val="14"/>
                <w:szCs w:val="14"/>
                <w:b w:val="1"/>
                <w:bCs w:val="1"/>
                <w:color w:val="auto"/>
              </w:rPr>
              <w:t>Purchase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2"/>
              <w:spacing w:after="0"/>
              <w:rPr>
                <w:sz w:val="20"/>
                <w:szCs w:val="20"/>
                <w:color w:val="auto"/>
              </w:rPr>
            </w:pPr>
            <w:r>
              <w:rPr>
                <w:rFonts w:ascii="Arial" w:cs="Arial" w:eastAsia="Arial" w:hAnsi="Arial"/>
                <w:sz w:val="14"/>
                <w:szCs w:val="14"/>
                <w:b w:val="1"/>
                <w:bCs w:val="1"/>
                <w:color w:val="auto"/>
              </w:rPr>
              <w:t>Additional</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2"/>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r>
      <w:tr>
        <w:trPr>
          <w:trHeight w:val="175"/>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02"/>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16.25</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60,125,000</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69,143,750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2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0.975</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3,607,500</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4,148,625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2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15.275</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56,517,500</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64,995,125</w:t>
            </w:r>
          </w:p>
        </w:tc>
        <w:tc>
          <w:tcPr>
            <w:tcW w:w="60" w:type="dxa"/>
            <w:vAlign w:val="bottom"/>
            <w:shd w:val="clear" w:color="auto" w:fill="CCEEFF"/>
          </w:tcPr>
          <w:p>
            <w:pPr>
              <w:spacing w:after="0"/>
              <w:rPr>
                <w:sz w:val="17"/>
                <w:szCs w:val="17"/>
                <w:color w:val="auto"/>
              </w:rPr>
            </w:pPr>
          </w:p>
        </w:tc>
      </w:tr>
      <w:tr>
        <w:trPr>
          <w:trHeight w:val="36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0" w:type="dxa"/>
            <w:vAlign w:val="bottom"/>
            <w:gridSpan w:val="2"/>
          </w:tcPr>
          <w:p>
            <w:pPr>
              <w:jc w:val="right"/>
              <w:ind w:right="1259"/>
              <w:spacing w:after="0"/>
              <w:rPr>
                <w:sz w:val="20"/>
                <w:szCs w:val="20"/>
                <w:color w:val="auto"/>
              </w:rPr>
            </w:pPr>
            <w:r>
              <w:rPr>
                <w:rFonts w:ascii="Arial" w:cs="Arial" w:eastAsia="Arial" w:hAnsi="Arial"/>
                <w:sz w:val="18"/>
                <w:szCs w:val="18"/>
                <w:color w:val="auto"/>
              </w:rPr>
              <w:t>S-9</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underwriters propose to offer the shares of common stock to the public at the public offering price set forth on the cover of this prospectus. The underwriters may offer the shares of common stock to securities dealers at the public offering price less a concession not in excess of $0.585 per share. If all of the shares are not sold at the public offering price, the underwriters may change the offering price and other selling terms.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9"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We have granted to the underwriters an option to purchase up to an additional 555,000 shares of common stock at the public offering price, less the underwriting discount. This option is exercisable for a period of 30 days. To the extent that the underwriters exercise this option, the underwriters will purchase additional shares from us in approximately the same proportion as shown in the table above.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Discretionary Accounts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underwriters do not intend to confirm sales of the shares to any accounts over which they have discretionary authority.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Listing</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are listed on the Nasdaq Global Market under the symbol “XGN.”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 Short Positions</w:t>
      </w:r>
    </w:p>
    <w:p>
      <w:pPr>
        <w:spacing w:after="0" w:line="99"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purchases to cover positions created by short sales.</w:t>
      </w:r>
    </w:p>
    <w:p>
      <w:pPr>
        <w:spacing w:after="0" w:line="224" w:lineRule="exact"/>
        <w:rPr>
          <w:sz w:val="20"/>
          <w:szCs w:val="20"/>
          <w:color w:val="auto"/>
        </w:rPr>
      </w:pPr>
    </w:p>
    <w:p>
      <w:pPr>
        <w:ind w:left="980" w:right="100" w:hanging="432"/>
        <w:spacing w:after="0" w:line="223"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8" w:lineRule="exact"/>
        <w:rPr>
          <w:rFonts w:ascii="MS PGothic" w:cs="MS PGothic" w:eastAsia="MS PGothic" w:hAnsi="MS PGothic"/>
          <w:sz w:val="25"/>
          <w:szCs w:val="25"/>
          <w:color w:val="auto"/>
          <w:vertAlign w:val="superscript"/>
        </w:rPr>
      </w:pPr>
    </w:p>
    <w:p>
      <w:pPr>
        <w:ind w:left="980" w:right="20" w:hanging="432"/>
        <w:spacing w:after="0" w:line="242" w:lineRule="auto"/>
        <w:tabs>
          <w:tab w:leader="none" w:pos="980" w:val="left"/>
        </w:tabs>
        <w:numPr>
          <w:ilvl w:val="0"/>
          <w:numId w:val="5"/>
        </w:numPr>
        <w:rPr>
          <w:rFonts w:ascii="MS PGothic" w:cs="MS PGothic" w:eastAsia="MS PGothic" w:hAnsi="MS PGothic"/>
          <w:sz w:val="24"/>
          <w:szCs w:val="24"/>
          <w:color w:val="auto"/>
          <w:vertAlign w:val="superscript"/>
        </w:rPr>
      </w:pPr>
      <w:r>
        <w:rPr>
          <w:rFonts w:ascii="Arial" w:cs="Arial" w:eastAsia="Arial" w:hAnsi="Arial"/>
          <w:sz w:val="17"/>
          <w:szCs w:val="17"/>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w:t>
      </w:r>
    </w:p>
    <w:p>
      <w:pPr>
        <w:spacing w:after="0" w:line="25" w:lineRule="exact"/>
        <w:rPr>
          <w:rFonts w:ascii="MS PGothic" w:cs="MS PGothic" w:eastAsia="MS PGothic" w:hAnsi="MS PGothic"/>
          <w:sz w:val="24"/>
          <w:szCs w:val="24"/>
          <w:color w:val="auto"/>
          <w:vertAlign w:val="superscript"/>
        </w:rPr>
      </w:pPr>
    </w:p>
    <w:p>
      <w:pPr>
        <w:ind w:left="980" w:right="10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29" w:lineRule="exact"/>
        <w:rPr>
          <w:rFonts w:ascii="MS PGothic" w:cs="MS PGothic" w:eastAsia="MS PGothic" w:hAnsi="MS PGothic"/>
          <w:sz w:val="25"/>
          <w:szCs w:val="25"/>
          <w:color w:val="auto"/>
          <w:vertAlign w:val="superscript"/>
        </w:rPr>
      </w:pPr>
    </w:p>
    <w:p>
      <w:pPr>
        <w:ind w:left="980" w:right="140" w:hanging="432"/>
        <w:spacing w:after="0" w:line="223"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Global Market, in the over-the-counter market or otherwise and, if commenced, may be discontinued at any time.</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New York Stock Exchange, in the over-the-counter market or otherwise.</w:t>
      </w:r>
    </w:p>
    <w:p>
      <w:pPr>
        <w:spacing w:after="0" w:line="20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9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Market Making</w:t>
      </w:r>
    </w:p>
    <w:p>
      <w:pPr>
        <w:spacing w:after="0" w:line="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connection with this offering, underwriters and selling group members may engage in passive market making transactions in our common stock on the Nasdaq Global Market in accordance with Rule 103 of Regulation M under the Exchange Act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8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Pursuant to certain “lock-up” agreements, we and our executive officers, directors and certain of our securityholders affiliated with our directors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consequence of ownership of, directly or indirectly, or make any demand or request or exercise any right with respect to the registration of, or file with the SEC a registration statement under the Securities Act relating to, any common stock or securities convertible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into or exchangeable or exercisable for any common stock without the prior written consent of Cowen and Company, LLC, William Blair &amp; Company, L.L.C. and Cantor Fitzgerald &amp; Co., for a period of 90 days after the date of the pricing of the offering.</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The lock-up provision will not restrict broker-dealers from engaging in market making and similar activities conducted in the ordinary course of their business.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99"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8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shares may be offered to the public in that Member State at any time:</w:t>
      </w:r>
    </w:p>
    <w:p>
      <w:pPr>
        <w:spacing w:after="0" w:line="202" w:lineRule="exact"/>
        <w:rPr>
          <w:sz w:val="20"/>
          <w:szCs w:val="20"/>
          <w:color w:val="auto"/>
        </w:rPr>
      </w:pPr>
    </w:p>
    <w:p>
      <w:pPr>
        <w:ind w:left="920" w:hanging="3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the Prospectus Regulation;</w:t>
      </w:r>
    </w:p>
    <w:p>
      <w:pPr>
        <w:spacing w:after="0" w:line="211" w:lineRule="exact"/>
        <w:rPr>
          <w:rFonts w:ascii="Arial" w:cs="Arial" w:eastAsia="Arial" w:hAnsi="Arial"/>
          <w:sz w:val="18"/>
          <w:szCs w:val="18"/>
          <w:color w:val="auto"/>
        </w:rPr>
      </w:pPr>
    </w:p>
    <w:p>
      <w:pPr>
        <w:ind w:left="120" w:right="100" w:firstLine="436"/>
        <w:spacing w:after="0" w:line="246" w:lineRule="auto"/>
        <w:tabs>
          <w:tab w:leader="none" w:pos="9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the Prospectus Regulation), subject to obtaining the prior consent of the representatives for any such offer; or</w:t>
      </w:r>
    </w:p>
    <w:p>
      <w:pPr>
        <w:spacing w:after="0" w:line="196" w:lineRule="exact"/>
        <w:rPr>
          <w:rFonts w:ascii="Arial" w:cs="Arial" w:eastAsia="Arial" w:hAnsi="Arial"/>
          <w:sz w:val="18"/>
          <w:szCs w:val="18"/>
          <w:color w:val="auto"/>
        </w:rPr>
      </w:pPr>
    </w:p>
    <w:p>
      <w:pPr>
        <w:ind w:left="940" w:hanging="3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Conduct Authority, except that the shares may be offered to the public in the United Kingdom at any time:</w:t>
      </w:r>
    </w:p>
    <w:p>
      <w:pPr>
        <w:spacing w:after="0" w:line="212" w:lineRule="exact"/>
        <w:rPr>
          <w:sz w:val="20"/>
          <w:szCs w:val="20"/>
          <w:color w:val="auto"/>
        </w:rPr>
      </w:pPr>
    </w:p>
    <w:p>
      <w:pPr>
        <w:ind w:left="980" w:hanging="4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211" w:lineRule="exact"/>
        <w:rPr>
          <w:rFonts w:ascii="Arial" w:cs="Arial" w:eastAsia="Arial" w:hAnsi="Arial"/>
          <w:sz w:val="18"/>
          <w:szCs w:val="18"/>
          <w:color w:val="auto"/>
        </w:rPr>
      </w:pPr>
    </w:p>
    <w:p>
      <w:pPr>
        <w:ind w:left="120" w:right="560" w:firstLine="436"/>
        <w:spacing w:after="0" w:line="24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96" w:lineRule="exact"/>
        <w:rPr>
          <w:rFonts w:ascii="Arial" w:cs="Arial" w:eastAsia="Arial" w:hAnsi="Arial"/>
          <w:sz w:val="18"/>
          <w:szCs w:val="18"/>
          <w:color w:val="auto"/>
        </w:rPr>
      </w:pPr>
    </w:p>
    <w:p>
      <w:pPr>
        <w:ind w:left="980" w:hanging="4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9"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The shares will not be offered, directly or indirectly, to the public in Switzerland and this prospectus does not constitute a public offering prospectus as that term is understood pursuant to article 652a or 1156 of the Swiss Federal Code of Obligations.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This prospectus has not been prepared in the context of a public offering of financial securities in France within the meaning of Article L.411-1 of the French Code Monétaire et Financier and Title I of Book II of the Reglement Général of the Autorité des marchés financiers, or the AMF, and therefore has not been and will not be filed with the AMF for prior approval or submitted for clearance to the AMF. Consequently, the shares of our common stock may not be, directly or indirectly, offered or sold to the public in France and offers and sales of the shares of our common stock may only be made in France to qualified investors (investisseurs qualifiés) acting for their own, as defined in and in accordance with Articles L.411-2 and D.411-1 to D.411-4, D.734-1, D.744-1, D.754-1 and D.764-1 of the French Code Monétaire et Financier. Neither this prospectus nor any other offering material may be released, issued or distributed to the public in France or used in connection with any offer for subscription on sale of the shares of our common stock to the public in France. The subsequent direct or indirect retransfer of the shares of our common stock to the public in France may only be made in compliance with Articles L.411-1, L.411-2, L.412-1 and L.621-8 through L.621-8-3 of the French Code Monétaire et Financier.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Each person who is in possession of this prospectus is aware of the fact that no German securities prospectus (wertpapierprospekt) within the meaning of the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(ôffertliches angebot) within the meaning of the act with respect to any of the shares of our common stock otherwise than in accordance with the act and all other applicable legal and regulatory requirements.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Netherlands</w:t>
      </w:r>
    </w:p>
    <w:p>
      <w:pPr>
        <w:spacing w:after="0" w:line="9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offering of the shares of our common stock is not a public offering in The Netherlands. The shares of our common stock may not be offered or sold to individuals or legal entities in The Netherlands unless (i) a prospectus relating to the offer is available to the public, which has been approved by the Dutch Authority for the Financial Markets (Autoriteit Financiële Markten) or by the competent supervisory authority of another state that is a member of the European Union or party to the Agreement on the European Economic Area, as amended or (ii) an exception or exemption applies to the offer pursuant to Article 5:3 of The Netherlands Financial Supervision Act (Wet op het financieel toezicht) or Article 53 paragraph 2 or 3 of the Exemption Regulation of the Financial Supervision Act, for instance due to the offer targeting exclusively “qualified investors” (gekwalificeerde beleggers) within the meaning of Article 1:1 of The Netherlands Financial Supervision Act.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9"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205" w:lineRule="exact"/>
        <w:rPr>
          <w:sz w:val="20"/>
          <w:szCs w:val="20"/>
          <w:color w:val="auto"/>
        </w:rPr>
      </w:pPr>
    </w:p>
    <w:p>
      <w:pPr>
        <w:ind w:left="120" w:right="160" w:firstLine="436"/>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36"/>
        <w:spacing w:after="0" w:line="24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96" w:lineRule="exact"/>
        <w:rPr>
          <w:rFonts w:ascii="Arial" w:cs="Arial" w:eastAsia="Arial" w:hAnsi="Arial"/>
          <w:sz w:val="18"/>
          <w:szCs w:val="18"/>
          <w:color w:val="auto"/>
        </w:rPr>
      </w:pPr>
    </w:p>
    <w:p>
      <w:pPr>
        <w:ind w:left="980" w:hanging="4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12" w:lineRule="exact"/>
        <w:rPr>
          <w:sz w:val="20"/>
          <w:szCs w:val="20"/>
          <w:color w:val="auto"/>
        </w:rPr>
      </w:pPr>
    </w:p>
    <w:p>
      <w:pPr>
        <w:ind w:left="120" w:right="260" w:firstLine="436"/>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96" w:lineRule="exact"/>
        <w:rPr>
          <w:rFonts w:ascii="Arial" w:cs="Arial" w:eastAsia="Arial" w:hAnsi="Arial"/>
          <w:sz w:val="18"/>
          <w:szCs w:val="18"/>
          <w:color w:val="auto"/>
        </w:rPr>
      </w:pPr>
    </w:p>
    <w:p>
      <w:pPr>
        <w:ind w:left="120" w:right="160" w:firstLine="436"/>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97"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shares pursuant to an offer made under Section 275 of the SFA except:</w:t>
      </w:r>
    </w:p>
    <w:p>
      <w:pPr>
        <w:spacing w:after="0" w:line="203" w:lineRule="exact"/>
        <w:rPr>
          <w:sz w:val="20"/>
          <w:szCs w:val="20"/>
          <w:color w:val="auto"/>
        </w:rPr>
      </w:pPr>
    </w:p>
    <w:p>
      <w:pPr>
        <w:ind w:left="120" w:right="800" w:firstLine="436"/>
        <w:spacing w:after="0" w:line="246" w:lineRule="auto"/>
        <w:tabs>
          <w:tab w:leader="none" w:pos="7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6" w:lineRule="exact"/>
        <w:rPr>
          <w:rFonts w:ascii="Arial" w:cs="Arial" w:eastAsia="Arial" w:hAnsi="Arial"/>
          <w:sz w:val="18"/>
          <w:szCs w:val="18"/>
          <w:color w:val="auto"/>
        </w:rPr>
      </w:pPr>
    </w:p>
    <w:p>
      <w:pPr>
        <w:ind w:left="800" w:hanging="24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840" w:hanging="2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1" w:lineRule="exact"/>
        <w:rPr>
          <w:rFonts w:ascii="Arial" w:cs="Arial" w:eastAsia="Arial" w:hAnsi="Arial"/>
          <w:sz w:val="18"/>
          <w:szCs w:val="18"/>
          <w:color w:val="auto"/>
        </w:rPr>
      </w:pPr>
    </w:p>
    <w:p>
      <w:pPr>
        <w:ind w:left="860" w:hanging="30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11" w:lineRule="exact"/>
        <w:rPr>
          <w:rFonts w:ascii="Arial" w:cs="Arial" w:eastAsia="Arial" w:hAnsi="Arial"/>
          <w:sz w:val="18"/>
          <w:szCs w:val="18"/>
          <w:color w:val="auto"/>
        </w:rPr>
      </w:pPr>
    </w:p>
    <w:p>
      <w:pPr>
        <w:ind w:left="120" w:right="80" w:firstLine="436"/>
        <w:spacing w:after="0" w:line="246"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20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rPr>
          <w:sz w:val="20"/>
          <w:szCs w:val="20"/>
          <w:color w:val="auto"/>
        </w:rPr>
      </w:pPr>
      <w:r>
        <w:rPr>
          <w:rFonts w:ascii="Arial" w:cs="Arial" w:eastAsia="Arial" w:hAnsi="Arial"/>
          <w:sz w:val="18"/>
          <w:szCs w:val="18"/>
          <w:color w:val="auto"/>
        </w:rPr>
        <w:t>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3"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confirm and warrant that you are either:</w:t>
      </w:r>
    </w:p>
    <w:p>
      <w:pPr>
        <w:spacing w:after="0" w:line="81" w:lineRule="exact"/>
        <w:rPr>
          <w:sz w:val="20"/>
          <w:szCs w:val="20"/>
          <w:color w:val="auto"/>
        </w:rPr>
      </w:pPr>
    </w:p>
    <w:p>
      <w:pPr>
        <w:ind w:left="980" w:hanging="432"/>
        <w:spacing w:after="0"/>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“sophisticated investor” under section 708(8)(a) or (b) of the Corporations Act;</w:t>
      </w:r>
    </w:p>
    <w:p>
      <w:pPr>
        <w:spacing w:after="0" w:line="26"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“professional investor” within the meaning of section 708(11)(a) or (b) of the Corporations Act.</w:t>
      </w:r>
    </w:p>
    <w:p>
      <w:pPr>
        <w:spacing w:after="0" w:line="20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or professional investor under the Corporations Act any offer made to you under this prospectus is void and incapable of acceptance.</w:t>
      </w:r>
    </w:p>
    <w:p>
      <w:pPr>
        <w:spacing w:after="0" w:line="19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You warrant and agree that you will not offer any of the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6" w:lineRule="exact"/>
        <w:rPr>
          <w:sz w:val="20"/>
          <w:szCs w:val="20"/>
          <w:color w:val="auto"/>
        </w:rPr>
      </w:pPr>
    </w:p>
    <w:p>
      <w:pPr>
        <w:ind w:left="120" w:right="300" w:firstLine="440"/>
        <w:spacing w:after="0" w:line="248"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The validity of the issuance of the securities offered hereby will be passed upon by our counsel, Latham &amp; Watkins LLP, San Diego, California. The underwriters are being represented in connection with this offering by Mintz, Levin, Cohn, Ferris, Glovsky and Popeo, P.C., Boston, Massachusetts.</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jc w:val="both"/>
        <w:ind w:left="120" w:right="780" w:firstLine="440"/>
        <w:spacing w:after="0" w:line="261" w:lineRule="auto"/>
        <w:rPr>
          <w:sz w:val="20"/>
          <w:szCs w:val="20"/>
          <w:color w:val="auto"/>
        </w:rPr>
      </w:pPr>
      <w:r>
        <w:rPr>
          <w:rFonts w:ascii="Arial" w:cs="Arial" w:eastAsia="Arial" w:hAnsi="Arial"/>
          <w:sz w:val="17"/>
          <w:szCs w:val="17"/>
          <w:color w:val="auto"/>
        </w:rPr>
        <w:t>The financial statements as of December 31, 2020 and 2019 and for the years then ended incorporated by reference in this prospectus supplement have been so incorporated in reliance on the report of BDO USA, LLP, an independent registered public accounting firm, incorporated herein by reference, given on the authority of said firm as experts in auditing and accounting.</w:t>
      </w:r>
    </w:p>
    <w:p>
      <w:pPr>
        <w:spacing w:after="0" w:line="27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WHERE YOU CAN FIND MORE INFORMATION; INFORMATION INCORPORATED BY REFERENCE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99"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have filed with the SEC a registration statement on Form S-3 under the Securities Act, of which this prospectus supplement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203"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203" w:lineRule="exact"/>
        <w:rPr>
          <w:sz w:val="20"/>
          <w:szCs w:val="20"/>
          <w:color w:val="auto"/>
        </w:rPr>
      </w:pPr>
    </w:p>
    <w:p>
      <w:pPr>
        <w:ind w:left="120" w:right="500" w:firstLine="440"/>
        <w:spacing w:after="0"/>
        <w:rPr>
          <w:sz w:val="20"/>
          <w:szCs w:val="20"/>
          <w:color w:val="auto"/>
        </w:rPr>
      </w:pPr>
      <w:r>
        <w:rPr>
          <w:rFonts w:ascii="Arial" w:cs="Arial" w:eastAsia="Arial" w:hAnsi="Arial"/>
          <w:sz w:val="18"/>
          <w:szCs w:val="18"/>
          <w:color w:val="auto"/>
        </w:rPr>
        <w:t>Our website address is www.exagen.com. The information on, or accessible through, our website is not part of, and is not incorporated into, this prospectus supplement or the accompanying prospectus and should not be considered part of this prospectus supplement or the accompanying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8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and the accompanying prospectus to the extent that a statement contained in this prospectus supplement or the accompanying prospectus modifies or replaces that statement.</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Exchange Act between the date of this prospectus supplement and the termination of the offering of the securities described in this prospectus supplement. We are not, however, incorporating by reference any documents or portions thereof,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20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This prospectus supplement and the accompanying prospectus incorporate by reference the documents set forth below that have previously been filed with the SEC:</w:t>
      </w:r>
    </w:p>
    <w:p>
      <w:pPr>
        <w:spacing w:after="0" w:line="188" w:lineRule="exact"/>
        <w:rPr>
          <w:sz w:val="20"/>
          <w:szCs w:val="20"/>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16, 2021;</w:t>
      </w:r>
    </w:p>
    <w:p>
      <w:pPr>
        <w:spacing w:after="0" w:line="26" w:lineRule="exact"/>
        <w:rPr>
          <w:rFonts w:ascii="Arial" w:cs="Arial" w:eastAsia="Arial" w:hAnsi="Arial"/>
          <w:sz w:val="18"/>
          <w:szCs w:val="18"/>
          <w:color w:val="auto"/>
        </w:rPr>
      </w:pPr>
    </w:p>
    <w:p>
      <w:pPr>
        <w:ind w:left="980" w:hanging="432"/>
        <w:spacing w:after="0" w:line="205"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39">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March 22, 2021;</w:t>
      </w:r>
    </w:p>
    <w:p>
      <w:pPr>
        <w:spacing w:after="0" w:line="26" w:lineRule="exact"/>
        <w:rPr>
          <w:rFonts w:ascii="Arial" w:cs="Arial" w:eastAsia="Arial" w:hAnsi="Arial"/>
          <w:sz w:val="18"/>
          <w:szCs w:val="18"/>
          <w:color w:val="auto"/>
        </w:rPr>
      </w:pPr>
    </w:p>
    <w:p>
      <w:pPr>
        <w:ind w:left="980" w:right="480" w:hanging="432"/>
        <w:spacing w:after="0" w:line="21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40">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filed with the SEC on April 29, 2020; and</w:t>
      </w:r>
    </w:p>
    <w:p>
      <w:pPr>
        <w:spacing w:after="0" w:line="27" w:lineRule="exact"/>
        <w:rPr>
          <w:rFonts w:ascii="Arial" w:cs="Arial" w:eastAsia="Arial" w:hAnsi="Arial"/>
          <w:sz w:val="18"/>
          <w:szCs w:val="18"/>
          <w:color w:val="auto"/>
        </w:rPr>
      </w:pPr>
    </w:p>
    <w:p>
      <w:pPr>
        <w:ind w:left="980" w:hanging="432"/>
        <w:spacing w:after="0" w:line="21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1">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September 13, 2019 and any amendment or report filed with the SEC for the purpose of updating the description.</w:t>
      </w:r>
    </w:p>
    <w:p>
      <w:pPr>
        <w:spacing w:after="0" w:line="203" w:lineRule="exact"/>
        <w:rPr>
          <w:rFonts w:ascii="MS PGothic" w:cs="MS PGothic" w:eastAsia="MS PGothic" w:hAnsi="MS PGothic"/>
          <w:sz w:val="25"/>
          <w:szCs w:val="25"/>
          <w:color w:val="auto"/>
          <w:vertAlign w:val="superscript"/>
        </w:rPr>
      </w:pPr>
    </w:p>
    <w:p>
      <w:pPr>
        <w:ind w:left="120" w:right="160" w:firstLine="440"/>
        <w:spacing w:after="0" w:line="238"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spacing w:after="0" w:line="205" w:lineRule="exact"/>
        <w:rPr>
          <w:rFonts w:ascii="MS PGothic" w:cs="MS PGothic" w:eastAsia="MS PGothic" w:hAnsi="MS PGothic"/>
          <w:sz w:val="25"/>
          <w:szCs w:val="25"/>
          <w:color w:val="auto"/>
          <w:vertAlign w:val="superscript"/>
        </w:rPr>
      </w:pPr>
    </w:p>
    <w:p>
      <w:pPr>
        <w:ind w:left="120" w:right="480" w:firstLine="440"/>
        <w:spacing w:after="0"/>
        <w:rPr>
          <w:sz w:val="20"/>
          <w:szCs w:val="20"/>
          <w:color w:val="auto"/>
        </w:rPr>
      </w:pPr>
      <w:r>
        <w:rPr>
          <w:rFonts w:ascii="Arial" w:cs="Arial" w:eastAsia="Arial" w:hAnsi="Arial"/>
          <w:sz w:val="18"/>
          <w:szCs w:val="18"/>
          <w:color w:val="auto"/>
        </w:rPr>
        <w:t>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w:t>
      </w:r>
    </w:p>
    <w:p>
      <w:pPr>
        <w:spacing w:after="0" w:line="198" w:lineRule="exact"/>
        <w:rPr>
          <w:rFonts w:ascii="MS PGothic" w:cs="MS PGothic" w:eastAsia="MS PGothic" w:hAnsi="MS PGothic"/>
          <w:sz w:val="25"/>
          <w:szCs w:val="25"/>
          <w:color w:val="auto"/>
          <w:vertAlign w:val="superscript"/>
        </w:rPr>
      </w:pPr>
    </w:p>
    <w:p>
      <w:pPr>
        <w:jc w:val="center"/>
        <w:ind w:right="-139"/>
        <w:spacing w:after="0"/>
        <w:rPr>
          <w:sz w:val="20"/>
          <w:szCs w:val="20"/>
          <w:color w:val="auto"/>
        </w:rPr>
      </w:pPr>
      <w:r>
        <w:rPr>
          <w:rFonts w:ascii="Arial" w:cs="Arial" w:eastAsia="Arial" w:hAnsi="Arial"/>
          <w:sz w:val="18"/>
          <w:szCs w:val="18"/>
          <w:color w:val="auto"/>
        </w:rPr>
        <w:t>Exagen Inc.</w:t>
      </w:r>
    </w:p>
    <w:p>
      <w:pPr>
        <w:jc w:val="center"/>
        <w:ind w:right="-139"/>
        <w:spacing w:after="0" w:line="234" w:lineRule="auto"/>
        <w:rPr>
          <w:sz w:val="20"/>
          <w:szCs w:val="20"/>
          <w:color w:val="auto"/>
        </w:rPr>
      </w:pPr>
      <w:r>
        <w:rPr>
          <w:rFonts w:ascii="Arial" w:cs="Arial" w:eastAsia="Arial" w:hAnsi="Arial"/>
          <w:sz w:val="18"/>
          <w:szCs w:val="18"/>
          <w:color w:val="auto"/>
        </w:rPr>
        <w:t>Attention: Corporate Secretary</w:t>
      </w:r>
    </w:p>
    <w:p>
      <w:pPr>
        <w:jc w:val="center"/>
        <w:ind w:right="-139"/>
        <w:spacing w:after="0" w:line="235" w:lineRule="auto"/>
        <w:rPr>
          <w:sz w:val="20"/>
          <w:szCs w:val="20"/>
          <w:color w:val="auto"/>
        </w:rPr>
      </w:pPr>
      <w:r>
        <w:rPr>
          <w:rFonts w:ascii="Arial" w:cs="Arial" w:eastAsia="Arial" w:hAnsi="Arial"/>
          <w:sz w:val="18"/>
          <w:szCs w:val="18"/>
          <w:color w:val="auto"/>
        </w:rPr>
        <w:t>1261 Liberty Way</w:t>
      </w:r>
    </w:p>
    <w:p>
      <w:pPr>
        <w:jc w:val="center"/>
        <w:ind w:right="-139"/>
        <w:spacing w:after="0" w:line="235" w:lineRule="auto"/>
        <w:rPr>
          <w:sz w:val="20"/>
          <w:szCs w:val="20"/>
          <w:color w:val="auto"/>
        </w:rPr>
      </w:pPr>
      <w:r>
        <w:rPr>
          <w:rFonts w:ascii="Arial" w:cs="Arial" w:eastAsia="Arial" w:hAnsi="Arial"/>
          <w:sz w:val="18"/>
          <w:szCs w:val="18"/>
          <w:color w:val="auto"/>
        </w:rPr>
        <w:t>Vista, California 92081</w:t>
      </w:r>
    </w:p>
    <w:p>
      <w:pPr>
        <w:ind w:left="5440" w:right="4860" w:hanging="431"/>
        <w:spacing w:after="0" w:line="457" w:lineRule="auto"/>
        <w:tabs>
          <w:tab w:leader="none" w:pos="54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560-1501 S-18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171450</wp:posOffset>
            </wp:positionV>
            <wp:extent cx="1937385" cy="711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193738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$150,000,000</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276860</wp:posOffset>
            </wp:positionV>
            <wp:extent cx="1474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may offer and sell up to $150.0 million in the aggregate of the securities identified above from time to time in one or more offerings. This prospectus provides you with a general description of the securities.</w:t>
      </w:r>
    </w:p>
    <w:p>
      <w:pPr>
        <w:spacing w:after="0" w:line="22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spacing w:after="0" w:line="24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right="240" w:firstLine="4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2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4 OF THIS PROSPECTUS AND ANY SIMILAR SECTION CONTAINED IN THE APPLICABLE PROSPECTUS SUPPLEMENT CONCERNING FACTORS YOU SHOULD CONSIDER BEFORE INVESTING IN OUR SECURITIES.</w:t>
      </w:r>
    </w:p>
    <w:p>
      <w:pPr>
        <w:spacing w:after="0" w:line="24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“XGN.” On November 9, 2020, the last reported sale price of our common stock on The Nasdaq Global Select Market was $15.55 per share.</w:t>
      </w:r>
    </w:p>
    <w:p>
      <w:pPr>
        <w:spacing w:after="0" w:line="220"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November 19, 2020.</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6"/>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66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WHERE YOU CAN FIND MORE INFORMATION; INCORPORATION BY REFERENCE</w:t>
              </w:r>
            </w:hyperlink>
          </w:p>
        </w:tc>
        <w:tc>
          <w:tcPr>
            <w:tcW w:w="39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128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THE COMPANY</w:t>
              </w:r>
            </w:hyperlink>
          </w:p>
        </w:tc>
        <w:tc>
          <w:tcPr>
            <w:tcW w:w="9380" w:type="dxa"/>
            <w:vAlign w:val="bottom"/>
            <w:gridSpan w:val="13"/>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1066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CAUTIONARY NOTE REGARDING FORWARD-LOOKING STATEMENTS</w:t>
              </w:r>
            </w:hyperlink>
          </w:p>
        </w:tc>
        <w:tc>
          <w:tcPr>
            <w:tcW w:w="4880" w:type="dxa"/>
            <w:vAlign w:val="bottom"/>
            <w:gridSpan w:val="2"/>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USE OF PROCEEDS</w:t>
              </w:r>
            </w:hyperlink>
          </w:p>
        </w:tc>
        <w:tc>
          <w:tcPr>
            <w:tcW w:w="9060" w:type="dxa"/>
            <w:vAlign w:val="bottom"/>
            <w:gridSpan w:val="10"/>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158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DIVIDEND POLICY</w:t>
              </w:r>
            </w:hyperlink>
          </w:p>
        </w:tc>
        <w:tc>
          <w:tcPr>
            <w:tcW w:w="9080" w:type="dxa"/>
            <w:vAlign w:val="bottom"/>
            <w:gridSpan w:val="11"/>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DESCRIPTION OF DEBT SECURITIES</w:t>
              </w:r>
            </w:hyperlink>
          </w:p>
        </w:tc>
        <w:tc>
          <w:tcPr>
            <w:tcW w:w="7640" w:type="dxa"/>
            <w:vAlign w:val="bottom"/>
            <w:gridSpan w:val="3"/>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DESCRIPTION OF WARRANTS</w:t>
              </w:r>
            </w:hyperlink>
          </w:p>
        </w:tc>
        <w:tc>
          <w:tcPr>
            <w:tcW w:w="8180" w:type="dxa"/>
            <w:vAlign w:val="bottom"/>
            <w:gridSpan w:val="5"/>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202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DESCRIPTION OF UNITS</w:t>
              </w:r>
            </w:hyperlink>
          </w:p>
        </w:tc>
        <w:tc>
          <w:tcPr>
            <w:tcW w:w="8640" w:type="dxa"/>
            <w:vAlign w:val="bottom"/>
            <w:gridSpan w:val="8"/>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18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GLOBAL SECURITIES</w:t>
              </w:r>
            </w:hyperlink>
          </w:p>
        </w:tc>
        <w:tc>
          <w:tcPr>
            <w:tcW w:w="8860" w:type="dxa"/>
            <w:vAlign w:val="bottom"/>
            <w:gridSpan w:val="9"/>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5"/>
          </w:tcPr>
          <w:p>
            <w:pPr>
              <w:spacing w:after="0"/>
              <w:rPr>
                <w:sz w:val="22"/>
                <w:szCs w:val="22"/>
                <w:color w:val="auto"/>
              </w:rPr>
            </w:pPr>
          </w:p>
        </w:tc>
        <w:tc>
          <w:tcPr>
            <w:tcW w:w="8620" w:type="dxa"/>
            <w:vAlign w:val="bottom"/>
            <w:gridSpan w:val="7"/>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3"/>
        </w:trPr>
        <w:tc>
          <w:tcPr>
            <w:tcW w:w="10660" w:type="dxa"/>
            <w:vAlign w:val="bottom"/>
            <w:gridSpan w:val="1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When we refer to “Exagen,” “we,” “our,” “us” and the “Company” in this prospectus, we mean Exagen Inc., unless otherwise specified. When we refer to “you,” we mean the holders of the applicable series of securities.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We use our trademarks in this prospectus as well as trademarks, tradenames and service marks that are the property of other organizations. Solely for convenience, certain trademarks and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Our website address is www.exagen.com. The information on our website, however, is not, and should not be deemed to be, a part of this prospectus.</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 This prospectus and any accompanying prospectus supplement incorporate by reference the documents set forth below that have previously been filed with the SEC:</w:t>
      </w:r>
    </w:p>
    <w:p>
      <w:pPr>
        <w:spacing w:after="0" w:line="100"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March 25, 2020;</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5"/>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periods ended March 31, 2020, June 30, 2020 and September 30, 2020, filed with the SEC on </w:t>
      </w:r>
      <w:hyperlink r:id="rId50">
        <w:r>
          <w:rPr>
            <w:rFonts w:ascii="Arial" w:cs="Arial" w:eastAsia="Arial" w:hAnsi="Arial"/>
            <w:sz w:val="18"/>
            <w:szCs w:val="18"/>
            <w:u w:val="single" w:color="auto"/>
            <w:color w:val="0000EE"/>
          </w:rPr>
          <w:t>May 11,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1">
        <w:r>
          <w:rPr>
            <w:rFonts w:ascii="Arial" w:cs="Arial" w:eastAsia="Arial" w:hAnsi="Arial"/>
            <w:sz w:val="18"/>
            <w:szCs w:val="18"/>
            <w:u w:val="single" w:color="auto"/>
            <w:color w:val="0000EE"/>
          </w:rPr>
          <w:t xml:space="preserve">July 28,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2">
        <w:r>
          <w:rPr>
            <w:rFonts w:ascii="Arial" w:cs="Arial" w:eastAsia="Arial" w:hAnsi="Arial"/>
            <w:sz w:val="18"/>
            <w:szCs w:val="18"/>
            <w:u w:val="single" w:color="auto"/>
            <w:color w:val="0000EE"/>
          </w:rPr>
          <w:t>November 10,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3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40">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extent incorporated by reference into our Annual Report on Form 10-K), filed with the SEC on April 29, 2020;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53">
        <w:r>
          <w:rPr>
            <w:rFonts w:ascii="Arial" w:cs="Arial" w:eastAsia="Arial" w:hAnsi="Arial"/>
            <w:sz w:val="17"/>
            <w:szCs w:val="17"/>
            <w:u w:val="single" w:color="auto"/>
            <w:color w:val="0000EE"/>
          </w:rPr>
          <w:t>March 18, 2020</w:t>
        </w:r>
      </w:hyperlink>
      <w:r>
        <w:rPr>
          <w:rFonts w:ascii="Arial" w:cs="Arial" w:eastAsia="Arial" w:hAnsi="Arial"/>
          <w:sz w:val="17"/>
          <w:szCs w:val="17"/>
          <w:color w:val="auto"/>
        </w:rPr>
        <w:t xml:space="preserve">, </w:t>
      </w:r>
      <w:hyperlink r:id="rId54">
        <w:r>
          <w:rPr>
            <w:rFonts w:ascii="Arial" w:cs="Arial" w:eastAsia="Arial" w:hAnsi="Arial"/>
            <w:sz w:val="17"/>
            <w:szCs w:val="17"/>
            <w:u w:val="single" w:color="auto"/>
            <w:color w:val="0000EE"/>
          </w:rPr>
          <w:t>June 19, 2020</w:t>
        </w:r>
      </w:hyperlink>
      <w:r>
        <w:rPr>
          <w:rFonts w:ascii="Arial" w:cs="Arial" w:eastAsia="Arial" w:hAnsi="Arial"/>
          <w:sz w:val="17"/>
          <w:szCs w:val="17"/>
          <w:color w:val="auto"/>
        </w:rPr>
        <w:t xml:space="preserve">, </w:t>
      </w:r>
      <w:hyperlink r:id="rId55">
        <w:r>
          <w:rPr>
            <w:rFonts w:ascii="Arial" w:cs="Arial" w:eastAsia="Arial" w:hAnsi="Arial"/>
            <w:sz w:val="17"/>
            <w:szCs w:val="17"/>
            <w:u w:val="single" w:color="auto"/>
            <w:color w:val="0000EE"/>
          </w:rPr>
          <w:t>June 29,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56">
        <w:r>
          <w:rPr>
            <w:rFonts w:ascii="Arial" w:cs="Arial" w:eastAsia="Arial" w:hAnsi="Arial"/>
            <w:sz w:val="17"/>
            <w:szCs w:val="17"/>
            <w:u w:val="single" w:color="auto"/>
            <w:color w:val="0000EE"/>
          </w:rPr>
          <w:t>September 23, 2020</w:t>
        </w:r>
      </w:hyperlink>
      <w:r>
        <w:rPr>
          <w:rFonts w:ascii="Arial" w:cs="Arial" w:eastAsia="Arial" w:hAnsi="Arial"/>
          <w:sz w:val="17"/>
          <w:szCs w:val="17"/>
          <w:color w:val="auto"/>
        </w:rPr>
        <w:t>; and</w:t>
      </w:r>
    </w:p>
    <w:p>
      <w:pPr>
        <w:spacing w:after="0" w:line="16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September 13, 2019, including any amendments or reports filed for the purposes of updating this description.</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Vista, California 92081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(760) 560-1501</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4"/>
          <w:szCs w:val="14"/>
          <w:color w:val="auto"/>
        </w:rPr>
        <w:t>®</w:t>
      </w:r>
      <w:r>
        <w:rPr>
          <w:rFonts w:ascii="Arial" w:cs="Arial" w:eastAsia="Arial" w:hAnsi="Arial"/>
          <w:sz w:val="17"/>
          <w:szCs w:val="17"/>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8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w:t>
      </w:r>
    </w:p>
    <w:p>
      <w:pPr>
        <w:ind w:left="120"/>
        <w:spacing w:after="0" w:line="253" w:lineRule="auto"/>
        <w:rPr>
          <w:sz w:val="20"/>
          <w:szCs w:val="20"/>
          <w:color w:val="auto"/>
        </w:rPr>
      </w:pPr>
      <w:r>
        <w:rPr>
          <w:rFonts w:ascii="Arial" w:cs="Arial" w:eastAsia="Arial" w:hAnsi="Arial"/>
          <w:sz w:val="18"/>
          <w:szCs w:val="18"/>
          <w:color w:val="auto"/>
        </w:rPr>
        <w:t>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such securities. The occurrence of any of these risks might cause you to lose all or part of your investment in the offered securities.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within the meaning of Section 21E of the Exchange Act. All statements other than statements of historical facts contained in this prospectus and the documents incorporated by reference herein, including statements regarding our future results of operations and financial position, business strategy,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7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which we discuss in greater detail in the documents incorporated by reference herein, including under the heading “Risk Factors” and elsewhere in this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and security agreement with Innovatus Life Science Lending Fund I, LP.</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(the “bylaws”), which are filed as exhibits to our most recent Annual Report on Form 10-K and are incorporated by reference herein. We encourage you to read our certificate of incorporation and our bylaws for additional information.</w:t>
      </w:r>
    </w:p>
    <w:p>
      <w:pPr>
        <w:spacing w:after="0" w:line="15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$0.001 par value per share, and 10,000,000 shares of preferred stock, $0.001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As of September 30, 2020, there were 12,652,113 shares of our common stock outstanding and held of record by 50 stockholders.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of September 30, 2020, there were no shares of our preferred stock outstanding. Under the terms of our amended and restated certificate of incorporation, our board of directors has the authority, without further action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Prior to the issuance of shares of each series, the board of directors is required by the General Corporation Law of the State of Delaware, or the DGCL, and our amended and restated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w:t>
      </w:r>
    </w:p>
    <w:p>
      <w:pPr>
        <w:spacing w:after="0" w:line="17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a prospectus supplement relating to the class or series of preferred stock being offered the following terms:</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and stated value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shares of the preferred stock offered, the liquidation preference per share and the offering price of the preferred stock;</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dividend rate(s), period(s) or payment date(s) or method(s) of calculation applicable to the preferred stock;</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dividends are cumulative or non-cumulative and, if cumulative, the date from which dividends on the preferred stock will accumulate;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for a sinking fund, if any, for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 for redemption, if applicable,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will be convertible into common stock, including the conversion price or manner of calculation and conversion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the liquidation, dissolution or winding up of our affairs;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preferred stock.</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we specify otherwise in the applicable prospectus supplement, the preferred stock will rank, relating to dividends and upon our liquidation, dissolution or winding up:</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junior to all of our equity securities the terms of which specifically provide that the equity securities rank senior to the preferred stock.</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September 30, 2020, 426,827 shares of our common stock were issuable upon exercise of outstanding warrants to purchase common stock with a weighted average exercise price of $4.90 per share.</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of September 30, 2020, holders of 6,042,679 shares of our common stock, are entitled to the following rights with respect to the registration of such shares for public resale under the Securities Act, pursuant to an investor rights agreement by and among us and certain of our stockholders.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i w:val="1"/>
          <w:iCs w:val="1"/>
          <w:color w:val="auto"/>
        </w:rPr>
        <w:t xml:space="preserve">Form S-1. </w:t>
      </w:r>
      <w:r>
        <w:rPr>
          <w:rFonts w:ascii="Arial" w:cs="Arial" w:eastAsia="Arial" w:hAnsi="Arial"/>
          <w:sz w:val="18"/>
          <w:szCs w:val="18"/>
          <w:color w:val="auto"/>
        </w:rPr>
        <w:t>If at any time holders of at least 50% of the registrable securities request in writing that we effect a registration with respect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an offering, we may be required to register their shares. We are obligated to effect at most two registrations for the holders of registrable securities in response to these demand registration rights, subject to certain exceptions.</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Form S-</w:t>
      </w:r>
      <w:r>
        <w:rPr>
          <w:rFonts w:ascii="Arial" w:cs="Arial" w:eastAsia="Arial" w:hAnsi="Arial"/>
          <w:sz w:val="17"/>
          <w:szCs w:val="17"/>
          <w:color w:val="auto"/>
        </w:rPr>
        <w:t>3. If at any time, a holder of registrable securities requests in writing that we register their shares for public resale on Form S-3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price to the public of the offering is $1.0 million or more, we will be required to provide notice to all holders of registrable securities and to use our best efforts to effect such registration; provided, however, that we will not be required to effect such a registration if, within the preceding 12 months, we have already effected two registrations on Form S-3 for the holders of registrable securities.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 each of the above registrations,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at any time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 of Registration Rights</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registration rights terminate upon the earlier of September 20, 2022,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Undesignated Preferred Stock</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Meetings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Elimination of Stockholder Action by Written Consent</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Staggered Board</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Removal of Directors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Stockholders Not Entitled to Cumulative Voting</w:t>
      </w:r>
    </w:p>
    <w:p>
      <w:pPr>
        <w:spacing w:after="0" w:line="11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 Anti-Takeover Statute</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Choice of Forum</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form, the Court of Chancery of the State of Delaware will be the sole and exclusive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 any case, stockholders will not be deemed to have waived our compliance with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and amended and restated bylaws also provide that any person or entity purchasing or otherwise acquiring any interest in shares of our capital stock will be deemed to have notice of and to have consented to this choice of forum provision.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Charter Provisions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6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54"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on which the principal on a particular series of debt securities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jc w:val="both"/>
        <w:ind w:left="1080" w:right="86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and premium and interest on, the debt securities will be made;</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(Article IV)</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80" w:right="24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Exagen) is a corporation organized and validly existing under the laws of any U.S. domestic jurisdiction and expressly assumes our obligations on the debt securities and under the indenture;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Notwithstanding the above, any of our subsidiaries may consolidate with, merge into or transfer all or part of its properties to us. (Section 5.1)</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principal of any debt security of that series at its maturity;</w:t>
      </w:r>
    </w:p>
    <w:p>
      <w:pPr>
        <w:spacing w:after="0" w:line="130"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Exagen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Exagen; or</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waive a Default or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 applicable series of debt securities, we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76" w:lineRule="exact"/>
        <w:rPr>
          <w:sz w:val="20"/>
          <w:szCs w:val="20"/>
          <w:color w:val="auto"/>
        </w:rPr>
      </w:pPr>
    </w:p>
    <w:p>
      <w:pPr>
        <w:ind w:left="1080" w:right="6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29"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80" w:hanging="424"/>
        <w:spacing w:after="0" w:line="273"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ind w:left="1080" w:right="1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amounts and in the same manner and at the same times as would have been the case if the deposit and related covenant defeasance had not occurred. (Section 8.4)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080" w:right="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federal income tax consequences applicable to the warrants;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exercise any rights as stockholders of Exagen.</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5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320" w:top="459" w:right="5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9" w:right="5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such circumstances, in the event that a successor depositary is not obtained, securities certificates are required to be printed and delivered.</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080" w:right="220" w:hanging="424"/>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Euroclear and Clearstream</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6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59"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320" w:top="459"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Latham &amp; Watkins LLP, San Diego, California, will pass upon certain legal matters relating to the issuance and sale of the securities offered hereby on behalf of Exagen Inc.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financial statements as of December 31, 2019 and 2018 and for the years then ended incorporated by reference in this Prospectus have been so incorporated in reliance on the report of BDO USA, LLP, an independent registered public accounting firm, incorporated herein by reference, given on the authority of said firm as experts in auditing and accounting.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3,700,000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805180</wp:posOffset>
            </wp:positionV>
            <wp:extent cx="1937385" cy="7118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193738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668655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0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4080" w:type="dxa"/>
            <w:vAlign w:val="bottom"/>
          </w:tcPr>
          <w:p>
            <w:pPr>
              <w:spacing w:after="0"/>
              <w:rPr>
                <w:sz w:val="20"/>
                <w:szCs w:val="20"/>
                <w:color w:val="auto"/>
              </w:rPr>
            </w:pPr>
          </w:p>
        </w:tc>
      </w:tr>
      <w:tr>
        <w:trPr>
          <w:trHeight w:val="572"/>
        </w:trPr>
        <w:tc>
          <w:tcPr>
            <w:tcW w:w="4080" w:type="dxa"/>
            <w:vAlign w:val="bottom"/>
          </w:tcPr>
          <w:p>
            <w:pPr>
              <w:spacing w:after="0"/>
              <w:rPr>
                <w:sz w:val="20"/>
                <w:szCs w:val="20"/>
                <w:color w:val="auto"/>
              </w:rPr>
            </w:pPr>
            <w:r>
              <w:rPr>
                <w:rFonts w:ascii="Arial" w:cs="Arial" w:eastAsia="Arial" w:hAnsi="Arial"/>
                <w:sz w:val="29"/>
                <w:szCs w:val="29"/>
                <w:b w:val="1"/>
                <w:bCs w:val="1"/>
                <w:color w:val="auto"/>
              </w:rPr>
              <w:t>Cowen</w:t>
            </w:r>
          </w:p>
        </w:tc>
        <w:tc>
          <w:tcPr>
            <w:tcW w:w="2860" w:type="dxa"/>
            <w:vAlign w:val="bottom"/>
          </w:tcPr>
          <w:p>
            <w:pPr>
              <w:ind w:left="740"/>
              <w:spacing w:after="0"/>
              <w:rPr>
                <w:sz w:val="20"/>
                <w:szCs w:val="20"/>
                <w:color w:val="auto"/>
              </w:rPr>
            </w:pPr>
            <w:r>
              <w:rPr>
                <w:rFonts w:ascii="Arial" w:cs="Arial" w:eastAsia="Arial" w:hAnsi="Arial"/>
                <w:sz w:val="29"/>
                <w:szCs w:val="29"/>
                <w:b w:val="1"/>
                <w:bCs w:val="1"/>
                <w:color w:val="auto"/>
              </w:rPr>
              <w:t>William Blair</w:t>
            </w:r>
          </w:p>
        </w:tc>
        <w:tc>
          <w:tcPr>
            <w:tcW w:w="4080" w:type="dxa"/>
            <w:vAlign w:val="bottom"/>
          </w:tcPr>
          <w:p>
            <w:pPr>
              <w:ind w:left="3140"/>
              <w:spacing w:after="0"/>
              <w:rPr>
                <w:sz w:val="20"/>
                <w:szCs w:val="20"/>
                <w:color w:val="auto"/>
              </w:rPr>
            </w:pPr>
            <w:r>
              <w:rPr>
                <w:rFonts w:ascii="Arial" w:cs="Arial" w:eastAsia="Arial" w:hAnsi="Arial"/>
                <w:sz w:val="29"/>
                <w:szCs w:val="29"/>
                <w:b w:val="1"/>
                <w:bCs w:val="1"/>
                <w:color w:val="auto"/>
                <w:w w:val="98"/>
              </w:rPr>
              <w:t>Cantor</w:t>
            </w:r>
          </w:p>
        </w:tc>
      </w:tr>
      <w:tr>
        <w:trPr>
          <w:trHeight w:val="346"/>
        </w:trPr>
        <w:tc>
          <w:tcPr>
            <w:tcW w:w="408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80" w:type="dxa"/>
            <w:vAlign w:val="bottom"/>
          </w:tcPr>
          <w:p>
            <w:pPr>
              <w:spacing w:after="0"/>
              <w:rPr>
                <w:sz w:val="24"/>
                <w:szCs w:val="24"/>
                <w:color w:val="auto"/>
              </w:rPr>
            </w:pPr>
          </w:p>
        </w:tc>
      </w:tr>
      <w:tr>
        <w:trPr>
          <w:trHeight w:val="426"/>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Book-running Manager</w:t>
            </w:r>
          </w:p>
        </w:tc>
        <w:tc>
          <w:tcPr>
            <w:tcW w:w="4080" w:type="dxa"/>
            <w:vAlign w:val="bottom"/>
          </w:tcPr>
          <w:p>
            <w:pPr>
              <w:spacing w:after="0"/>
              <w:rPr>
                <w:sz w:val="24"/>
                <w:szCs w:val="24"/>
                <w:color w:val="auto"/>
              </w:rPr>
            </w:pPr>
          </w:p>
        </w:tc>
      </w:tr>
      <w:tr>
        <w:trPr>
          <w:trHeight w:val="515"/>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23"/>
                <w:szCs w:val="23"/>
                <w:b w:val="1"/>
                <w:bCs w:val="1"/>
                <w:color w:val="auto"/>
              </w:rPr>
              <w:t>Canaccord Genuity</w:t>
            </w:r>
          </w:p>
        </w:tc>
        <w:tc>
          <w:tcPr>
            <w:tcW w:w="4080" w:type="dxa"/>
            <w:vAlign w:val="bottom"/>
          </w:tcPr>
          <w:p>
            <w:pPr>
              <w:spacing w:after="0"/>
              <w:rPr>
                <w:sz w:val="24"/>
                <w:szCs w:val="24"/>
                <w:color w:val="auto"/>
              </w:rPr>
            </w:pPr>
          </w:p>
        </w:tc>
      </w:tr>
      <w:tr>
        <w:trPr>
          <w:trHeight w:val="348"/>
        </w:trPr>
        <w:tc>
          <w:tcPr>
            <w:tcW w:w="408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80" w:type="dxa"/>
            <w:vAlign w:val="bottom"/>
          </w:tcPr>
          <w:p>
            <w:pPr>
              <w:spacing w:after="0"/>
              <w:rPr>
                <w:sz w:val="24"/>
                <w:szCs w:val="24"/>
                <w:color w:val="auto"/>
              </w:rPr>
            </w:pPr>
          </w:p>
        </w:tc>
      </w:tr>
      <w:tr>
        <w:trPr>
          <w:trHeight w:val="425"/>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Lead Manager</w:t>
            </w:r>
          </w:p>
        </w:tc>
        <w:tc>
          <w:tcPr>
            <w:tcW w:w="4080" w:type="dxa"/>
            <w:vAlign w:val="bottom"/>
          </w:tcPr>
          <w:p>
            <w:pPr>
              <w:spacing w:after="0"/>
              <w:rPr>
                <w:sz w:val="24"/>
                <w:szCs w:val="24"/>
                <w:color w:val="auto"/>
              </w:rPr>
            </w:pPr>
          </w:p>
        </w:tc>
      </w:tr>
      <w:tr>
        <w:trPr>
          <w:trHeight w:val="515"/>
        </w:trPr>
        <w:tc>
          <w:tcPr>
            <w:tcW w:w="40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23"/>
                <w:szCs w:val="23"/>
                <w:b w:val="1"/>
                <w:bCs w:val="1"/>
                <w:color w:val="auto"/>
              </w:rPr>
              <w:t>BTIG</w:t>
            </w:r>
          </w:p>
        </w:tc>
        <w:tc>
          <w:tcPr>
            <w:tcW w:w="4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March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434975</wp:posOffset>
            </wp:positionV>
            <wp:extent cx="699516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upperLetter"/>
      <w:start w:val="1"/>
    </w:lvl>
  </w:abstractNum>
  <w:abstractNum w:abstractNumId="6">
    <w:nsid w:val="628C895D"/>
    <w:multiLevelType w:val="hybridMultilevel"/>
    <w:lvl w:ilvl="0">
      <w:lvlJc w:val="left"/>
      <w:lvlText w:val="%1."/>
      <w:numFmt w:val="upperLetter"/>
      <w:start w:val="1"/>
    </w:lvl>
  </w:abstractNum>
  <w:abstractNum w:abstractNumId="7">
    <w:nsid w:val="333AB105"/>
    <w:multiLevelType w:val="hybridMultilevel"/>
    <w:lvl w:ilvl="0">
      <w:lvlJc w:val="left"/>
      <w:lvlText w:val="%1."/>
      <w:numFmt w:val="upperLetter"/>
      <w:start w:val="1"/>
    </w:lvl>
  </w:abstractNum>
  <w:abstractNum w:abstractNumId="8">
    <w:nsid w:val="721DA317"/>
    <w:multiLevelType w:val="hybridMultilevel"/>
    <w:lvl w:ilvl="0">
      <w:lvlJc w:val="left"/>
      <w:lvlText w:val="%1."/>
      <w:numFmt w:val="upperLetter"/>
      <w:start w:val="2"/>
    </w:lvl>
  </w:abstractNum>
  <w:abstractNum w:abstractNumId="9">
    <w:nsid w:val="2443A858"/>
    <w:multiLevelType w:val="hybridMultilevel"/>
    <w:lvl w:ilvl="0">
      <w:lvlJc w:val="left"/>
      <w:lvlText w:val="%1."/>
      <w:numFmt w:val="upperLetter"/>
      <w:start w:val="1"/>
    </w:lvl>
  </w:abstractNum>
  <w:abstractNum w:abstractNumId="10">
    <w:nsid w:val="2D1D5AE9"/>
    <w:multiLevelType w:val="hybridMultilevel"/>
    <w:lvl w:ilvl="0">
      <w:lvlJc w:val="left"/>
      <w:lvlText w:val="(%1)"/>
      <w:numFmt w:val="lowerRoman"/>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760"/>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jpe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jpe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38" Type="http://schemas.openxmlformats.org/officeDocument/2006/relationships/hyperlink" Target="http://www.sec.gov/ix?doc=/Archives/edgar/data/1274737/000127473721000015/exdx-20201231.htm" TargetMode="External"/><Relationship Id="rId39" Type="http://schemas.openxmlformats.org/officeDocument/2006/relationships/hyperlink" Target="http://www.sec.gov/Archives/edgar/data/1274737/000127473721000017/xgnxbylawamendment3x22x21.htm" TargetMode="External"/><Relationship Id="rId40" Type="http://schemas.openxmlformats.org/officeDocument/2006/relationships/hyperlink" Target="http://www.sec.gov/Archives/edgar/data/1274737/000127473720000031/a2020def14a.htm" TargetMode="External"/><Relationship Id="rId41" Type="http://schemas.openxmlformats.org/officeDocument/2006/relationships/hyperlink" Target="http://www.sec.gov/Archives/edgar/data/1274737/000119312519244881/d756255d8a12b.htm" TargetMode="External"/><Relationship Id="rId49" Type="http://schemas.openxmlformats.org/officeDocument/2006/relationships/hyperlink" Target="http://www.sec.gov/ix?doc=/Archives/edgar/data/1274737/000127473720000026/exdx-20191231.htm" TargetMode="External"/><Relationship Id="rId50" Type="http://schemas.openxmlformats.org/officeDocument/2006/relationships/hyperlink" Target="http://www.sec.gov/ix?doc=/Archives/edgar/data/1274737/000127473720000037/exdx-20200331.htm" TargetMode="External"/><Relationship Id="rId51" Type="http://schemas.openxmlformats.org/officeDocument/2006/relationships/hyperlink" Target="http://www.sec.gov/ix?doc=/Archives/edgar/data/1274737/000127473720000077/exdx-20200630.htm" TargetMode="External"/><Relationship Id="rId52" Type="http://schemas.openxmlformats.org/officeDocument/2006/relationships/hyperlink" Target="http://www.sec.gov/ix?doc=/Archives/edgar/data/1274737/000127473720000097/exdx-20200930.htm" TargetMode="External"/><Relationship Id="rId53" Type="http://schemas.openxmlformats.org/officeDocument/2006/relationships/hyperlink" Target="http://www.sec.gov/Archives/edgar/data/1274737/000127473720000016/xgn8-kxleaseagreementa.htm" TargetMode="External"/><Relationship Id="rId54" Type="http://schemas.openxmlformats.org/officeDocument/2006/relationships/hyperlink" Target="http://www.sec.gov/Archives/edgar/data/1274737/000127473720000040/xgn8-kxannualmeetingre.htm" TargetMode="External"/><Relationship Id="rId55" Type="http://schemas.openxmlformats.org/officeDocument/2006/relationships/hyperlink" Target="http://www.sec.gov/Archives/edgar/data/1274737/000127473720000043/xgn8-kxjanssenamendmen.htm" TargetMode="External"/><Relationship Id="rId56" Type="http://schemas.openxmlformats.org/officeDocument/2006/relationships/hyperlink" Target="http://www.sec.gov/Archives/edgar/data/1274737/000127473720000080/xgn8-kxdirectorappoi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2021-03-25T17:18:03Z</dcterms:created>
  <dcterms:modified xsi:type="dcterms:W3CDTF">2021-03-25T17:18:03Z</dcterms:modified>
</cp:coreProperties>
</file>