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5162.xml.htm"/>
      <w:bookmarkStart w:id="1" w:name="kswkform4_17883851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 Jeffrey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EXAGEN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1261 LIBERTY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20,614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7.2175</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323,339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3.0175</w:t>
            </w:r>
            <w:r>
              <w:rPr>
                <w:rFonts w:ascii="Times;serif" w:hAnsi="Times;serif"/>
                <w:color w:val="008000"/>
                <w:position w:val="7"/>
                <w:sz w:val="16"/>
                <w:sz w:val="20"/>
                <w:shd w:fill="FFFFFF" w:val="clear"/>
              </w:rPr>
              <w:t>(3)</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324,910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sold by the Reporting Person, at the direction of the Issuer, to cover tax withholding obligations in connection with the vesting and settlement of Restricted Stock Units. The sale is mandated solely by the Issuer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voluntarily reporting the acquisition of the common stock pursuant to the Issuer's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purchased through the ESPP in transactions that were exempt under both Rule 16b-3(d) and Rule 16b-3(c).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G. Black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9439"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3649</Characters>
  <CharactersWithSpaces>4244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