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10, 2026</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March 10, 2026, the Company reported its financial results for the quarter and year ended December 31, 2025. A copy of the press release issued by the Company is furnished as Exhibit 99.1 to this report.</w:t>
      </w:r>
    </w:p>
    <w:p>
      <w:pPr>
        <w:spacing w:after="0" w:line="16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 except as shall be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18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March 10, 2026</w:t>
            </w:r>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52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2"/>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7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March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Jeffrey G. Black</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47447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Exagen Inc. Reports Strong Fourth Quarter and Full-Year 2025 Results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Record full-year total revenue and AVISE® CTD average selling price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New biomarkers and sales force expansion drove over 11% full-year test volume growth</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Carlsbad, Calif., – Exagen Inc. (Nasdaq: XGN), a leading provider of autoimmune testing, today reported financial results for the fourth quarter and full year ended December 31, 2025, and recent business highlights.</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3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December</w:t>
            </w:r>
          </w:p>
        </w:tc>
        <w:tc>
          <w:tcPr>
            <w:tcW w:w="180" w:type="dxa"/>
            <w:vAlign w:val="bottom"/>
          </w:tcPr>
          <w:p>
            <w:pPr>
              <w:spacing w:after="0"/>
              <w:rPr>
                <w:sz w:val="14"/>
                <w:szCs w:val="14"/>
                <w:color w:val="auto"/>
              </w:rPr>
            </w:pPr>
          </w:p>
        </w:tc>
        <w:tc>
          <w:tcPr>
            <w:tcW w:w="1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14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040" w:type="dxa"/>
            <w:vAlign w:val="bottom"/>
          </w:tcPr>
          <w:p>
            <w:pPr>
              <w:spacing w:after="0"/>
              <w:rPr>
                <w:sz w:val="16"/>
                <w:szCs w:val="16"/>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1"/>
        </w:trPr>
        <w:tc>
          <w:tcPr>
            <w:tcW w:w="40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ASP data)</w:t>
            </w:r>
          </w:p>
        </w:tc>
        <w:tc>
          <w:tcPr>
            <w:tcW w:w="1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460" w:type="dxa"/>
            <w:vAlign w:val="bottom"/>
            <w:shd w:val="clear" w:color="auto" w:fill="CCEEFF"/>
          </w:tcPr>
          <w:p>
            <w:pPr>
              <w:jc w:val="right"/>
              <w:ind w:right="1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16,631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66,575</w:t>
            </w:r>
          </w:p>
        </w:tc>
        <w:tc>
          <w:tcPr>
            <w:tcW w:w="0" w:type="dxa"/>
            <w:vAlign w:val="bottom"/>
          </w:tcPr>
          <w:p>
            <w:pPr>
              <w:spacing w:after="0"/>
              <w:rPr>
                <w:sz w:val="1"/>
                <w:szCs w:val="1"/>
                <w:color w:val="auto"/>
              </w:rPr>
            </w:pPr>
          </w:p>
        </w:tc>
      </w:tr>
      <w:tr>
        <w:trPr>
          <w:trHeight w:val="199"/>
        </w:trPr>
        <w:tc>
          <w:tcPr>
            <w:tcW w:w="4040" w:type="dxa"/>
            <w:vAlign w:val="bottom"/>
          </w:tcPr>
          <w:p>
            <w:pPr>
              <w:ind w:left="20"/>
              <w:spacing w:after="0"/>
              <w:rPr>
                <w:sz w:val="20"/>
                <w:szCs w:val="20"/>
                <w:color w:val="auto"/>
              </w:rPr>
            </w:pPr>
            <w:r>
              <w:rPr>
                <w:rFonts w:ascii="Arial" w:cs="Arial" w:eastAsia="Arial" w:hAnsi="Arial"/>
                <w:sz w:val="14"/>
                <w:szCs w:val="14"/>
                <w:color w:val="auto"/>
              </w:rPr>
              <w:t>Gross margin</w:t>
            </w:r>
          </w:p>
        </w:tc>
        <w:tc>
          <w:tcPr>
            <w:tcW w:w="1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55.4 %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58.3 %</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60" w:type="dxa"/>
            <w:vAlign w:val="bottom"/>
            <w:shd w:val="clear" w:color="auto" w:fill="CCEEFF"/>
          </w:tcPr>
          <w:p>
            <w:pPr>
              <w:jc w:val="right"/>
              <w:ind w:right="1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14,181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52,869</w:t>
            </w:r>
          </w:p>
        </w:tc>
        <w:tc>
          <w:tcPr>
            <w:tcW w:w="0" w:type="dxa"/>
            <w:vAlign w:val="bottom"/>
          </w:tcPr>
          <w:p>
            <w:pPr>
              <w:spacing w:after="0"/>
              <w:rPr>
                <w:sz w:val="1"/>
                <w:szCs w:val="1"/>
                <w:color w:val="auto"/>
              </w:rPr>
            </w:pPr>
          </w:p>
        </w:tc>
      </w:tr>
      <w:tr>
        <w:trPr>
          <w:trHeight w:val="199"/>
        </w:trPr>
        <w:tc>
          <w:tcPr>
            <w:tcW w:w="404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460" w:type="dxa"/>
            <w:vAlign w:val="bottom"/>
          </w:tcPr>
          <w:p>
            <w:pPr>
              <w:jc w:val="right"/>
              <w:ind w:right="1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(4,975)</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68"/>
              <w:spacing w:after="0"/>
              <w:rPr>
                <w:sz w:val="20"/>
                <w:szCs w:val="20"/>
                <w:color w:val="auto"/>
              </w:rPr>
            </w:pPr>
            <w:r>
              <w:rPr>
                <w:rFonts w:ascii="Arial" w:cs="Arial" w:eastAsia="Arial" w:hAnsi="Arial"/>
                <w:sz w:val="14"/>
                <w:szCs w:val="14"/>
                <w:color w:val="auto"/>
              </w:rPr>
              <w:t>(14,070)</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460" w:type="dxa"/>
            <w:vAlign w:val="bottom"/>
            <w:shd w:val="clear" w:color="auto" w:fill="CCEEFF"/>
          </w:tcPr>
          <w:p>
            <w:pPr>
              <w:jc w:val="right"/>
              <w:ind w:right="1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(4,673)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(19,951)</w:t>
            </w:r>
          </w:p>
        </w:tc>
        <w:tc>
          <w:tcPr>
            <w:tcW w:w="0" w:type="dxa"/>
            <w:vAlign w:val="bottom"/>
          </w:tcPr>
          <w:p>
            <w:pPr>
              <w:spacing w:after="0"/>
              <w:rPr>
                <w:sz w:val="1"/>
                <w:szCs w:val="1"/>
                <w:color w:val="auto"/>
              </w:rPr>
            </w:pPr>
          </w:p>
        </w:tc>
      </w:tr>
      <w:tr>
        <w:trPr>
          <w:trHeight w:val="198"/>
        </w:trPr>
        <w:tc>
          <w:tcPr>
            <w:tcW w:w="404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460" w:type="dxa"/>
            <w:vAlign w:val="bottom"/>
          </w:tcPr>
          <w:p>
            <w:pPr>
              <w:jc w:val="right"/>
              <w:ind w:right="1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(3,670)</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980" w:type="dxa"/>
            <w:vAlign w:val="bottom"/>
          </w:tcPr>
          <w:p>
            <w:pPr>
              <w:jc w:val="right"/>
              <w:ind w:right="68"/>
              <w:spacing w:after="0"/>
              <w:rPr>
                <w:sz w:val="20"/>
                <w:szCs w:val="20"/>
                <w:color w:val="auto"/>
              </w:rPr>
            </w:pPr>
            <w:r>
              <w:rPr>
                <w:rFonts w:ascii="Arial" w:cs="Arial" w:eastAsia="Arial" w:hAnsi="Arial"/>
                <w:sz w:val="14"/>
                <w:szCs w:val="14"/>
                <w:color w:val="auto"/>
              </w:rPr>
              <w:t>(9,794)</w:t>
            </w: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w:t>
            </w:r>
          </w:p>
        </w:tc>
        <w:tc>
          <w:tcPr>
            <w:tcW w:w="14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$32,420</w:t>
            </w: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40" w:type="dxa"/>
            <w:vAlign w:val="bottom"/>
          </w:tcPr>
          <w:p>
            <w:pPr>
              <w:ind w:left="20"/>
              <w:spacing w:after="0"/>
              <w:rPr>
                <w:sz w:val="20"/>
                <w:szCs w:val="20"/>
                <w:color w:val="auto"/>
              </w:rPr>
            </w:pPr>
            <w:r>
              <w:rPr>
                <w:rFonts w:ascii="Arial" w:cs="Arial" w:eastAsia="Arial" w:hAnsi="Arial"/>
                <w:sz w:val="14"/>
                <w:szCs w:val="14"/>
                <w:color w:val="auto"/>
              </w:rPr>
              <w:t>Trailing-twelve-month average selling price (ASP)</w:t>
            </w:r>
          </w:p>
        </w:tc>
        <w:tc>
          <w:tcPr>
            <w:tcW w:w="1460" w:type="dxa"/>
            <w:vAlign w:val="bottom"/>
          </w:tcPr>
          <w:p>
            <w:pPr>
              <w:spacing w:after="0"/>
              <w:rPr>
                <w:sz w:val="16"/>
                <w:szCs w:val="16"/>
                <w:color w:val="auto"/>
              </w:rPr>
            </w:pPr>
          </w:p>
        </w:tc>
        <w:tc>
          <w:tcPr>
            <w:tcW w:w="1080" w:type="dxa"/>
            <w:vAlign w:val="bottom"/>
            <w:gridSpan w:val="3"/>
          </w:tcPr>
          <w:p>
            <w:pPr>
              <w:jc w:val="right"/>
              <w:ind w:right="48"/>
              <w:spacing w:after="0"/>
              <w:rPr>
                <w:sz w:val="20"/>
                <w:szCs w:val="20"/>
                <w:color w:val="auto"/>
              </w:rPr>
            </w:pPr>
            <w:r>
              <w:rPr>
                <w:rFonts w:ascii="Arial" w:cs="Arial" w:eastAsia="Arial" w:hAnsi="Arial"/>
                <w:sz w:val="14"/>
                <w:szCs w:val="14"/>
                <w:color w:val="auto"/>
              </w:rPr>
              <w:t>$441</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Highlights:</w:t>
      </w:r>
    </w:p>
    <w:p>
      <w:pPr>
        <w:spacing w:after="0" w:line="150" w:lineRule="exact"/>
        <w:rPr>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Supported the diagnosis and management of care for over 137,000 patients tested by AVISE CTD.</w:t>
      </w:r>
    </w:p>
    <w:p>
      <w:pPr>
        <w:spacing w:after="0" w:line="107"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Delivered record total revenue of $66.6 million, an increase of 20% compared to 2024.</w:t>
      </w:r>
    </w:p>
    <w:p>
      <w:pPr>
        <w:spacing w:after="0" w:line="121" w:lineRule="exact"/>
        <w:rPr>
          <w:rFonts w:ascii="Arial" w:cs="Arial" w:eastAsia="Arial" w:hAnsi="Arial"/>
          <w:sz w:val="20"/>
          <w:szCs w:val="20"/>
          <w:color w:val="auto"/>
        </w:rPr>
      </w:pPr>
    </w:p>
    <w:p>
      <w:pPr>
        <w:ind w:left="940" w:hanging="284"/>
        <w:spacing w:after="0"/>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Grew AVISE CTD test volume over 11% compared to 2024.</w:t>
      </w:r>
    </w:p>
    <w:p>
      <w:pPr>
        <w:spacing w:after="0" w:line="121" w:lineRule="exact"/>
        <w:rPr>
          <w:rFonts w:ascii="Arial" w:cs="Arial" w:eastAsia="Arial" w:hAnsi="Arial"/>
          <w:sz w:val="20"/>
          <w:szCs w:val="20"/>
          <w:color w:val="auto"/>
        </w:rPr>
      </w:pPr>
    </w:p>
    <w:p>
      <w:pPr>
        <w:ind w:left="980" w:right="340" w:hanging="324"/>
        <w:spacing w:after="0" w:line="255"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Expanded AVISE CTD trailing twelve-month ASP to $441 per test, an increase of $30 per test, or 7% compared to 2024.</w:t>
      </w:r>
    </w:p>
    <w:p>
      <w:pPr>
        <w:spacing w:after="0" w:line="1" w:lineRule="exact"/>
        <w:rPr>
          <w:rFonts w:ascii="Arial" w:cs="Arial" w:eastAsia="Arial" w:hAnsi="Arial"/>
          <w:sz w:val="20"/>
          <w:szCs w:val="20"/>
          <w:color w:val="auto"/>
        </w:rPr>
      </w:pPr>
    </w:p>
    <w:p>
      <w:pPr>
        <w:ind w:left="980" w:hanging="324"/>
        <w:spacing w:after="0" w:line="253"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Enhanced the AVISE CTD platform with commercial launch of novel T-Cell and seronegative RA biomarkers, including anti-RA33 and anti-PAD4.</w:t>
      </w:r>
    </w:p>
    <w:p>
      <w:pPr>
        <w:spacing w:after="0" w:line="77" w:lineRule="exact"/>
        <w:rPr>
          <w:rFonts w:ascii="Arial" w:cs="Arial" w:eastAsia="Arial" w:hAnsi="Arial"/>
          <w:sz w:val="20"/>
          <w:szCs w:val="20"/>
          <w:color w:val="auto"/>
        </w:rPr>
      </w:pPr>
    </w:p>
    <w:p>
      <w:pPr>
        <w:ind w:left="980" w:right="120" w:hanging="324"/>
        <w:spacing w:after="0" w:line="286"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Enriched leadership team through appointment of Michael Mahler, PhD, as Chief Scientific Officer and expanded the Board of Directors with appointment of Chas McKhann.</w:t>
      </w:r>
    </w:p>
    <w:p>
      <w:pPr>
        <w:spacing w:after="0" w:line="32" w:lineRule="exact"/>
        <w:rPr>
          <w:rFonts w:ascii="Arial" w:cs="Arial" w:eastAsia="Arial" w:hAnsi="Arial"/>
          <w:sz w:val="20"/>
          <w:szCs w:val="20"/>
          <w:color w:val="auto"/>
        </w:rPr>
      </w:pPr>
    </w:p>
    <w:p>
      <w:pPr>
        <w:ind w:left="980" w:right="540" w:hanging="324"/>
        <w:spacing w:after="0" w:line="286" w:lineRule="auto"/>
        <w:tabs>
          <w:tab w:leader="none" w:pos="941" w:val="left"/>
        </w:tabs>
        <w:numPr>
          <w:ilvl w:val="0"/>
          <w:numId w:val="2"/>
        </w:numPr>
        <w:rPr>
          <w:rFonts w:ascii="Arial" w:cs="Arial" w:eastAsia="Arial" w:hAnsi="Arial"/>
          <w:sz w:val="20"/>
          <w:szCs w:val="20"/>
          <w:color w:val="auto"/>
        </w:rPr>
      </w:pPr>
      <w:r>
        <w:rPr>
          <w:rFonts w:ascii="Arial" w:cs="Arial" w:eastAsia="Arial" w:hAnsi="Arial"/>
          <w:sz w:val="20"/>
          <w:szCs w:val="20"/>
          <w:color w:val="auto"/>
        </w:rPr>
        <w:t>Positioned balance sheet to support Company's path to cash flow positivity through $20 million public offering of common stock and $25 million credit facility, ending the year with $32 million in cash and cash equivalents.</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36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1B1B1B"/>
        </w:rPr>
        <w:t xml:space="preserve">“Exagen is committed to improving care for autoimmune disease, delivering clarity for patients and confidence for clinicians,” </w:t>
      </w:r>
      <w:r>
        <w:rPr>
          <w:rFonts w:ascii="Arial" w:cs="Arial" w:eastAsia="Arial" w:hAnsi="Arial"/>
          <w:sz w:val="20"/>
          <w:szCs w:val="20"/>
          <w:color w:val="000000"/>
        </w:rPr>
        <w:t xml:space="preserve">said John Aballi, President and CEO. </w:t>
      </w:r>
      <w:r>
        <w:rPr>
          <w:rFonts w:ascii="Arial" w:cs="Arial" w:eastAsia="Arial" w:hAnsi="Arial"/>
          <w:sz w:val="20"/>
          <w:szCs w:val="20"/>
          <w:color w:val="1B1B1B"/>
        </w:rPr>
        <w:t>“I’m incredibly proud of our team’s accomplishments throughout 2025. Their disciplined</w:t>
      </w:r>
      <w:r>
        <w:rPr>
          <w:rFonts w:ascii="Arial" w:cs="Arial" w:eastAsia="Arial" w:hAnsi="Arial"/>
          <w:sz w:val="20"/>
          <w:szCs w:val="20"/>
          <w:color w:val="000000"/>
        </w:rPr>
        <w:t xml:space="preserve"> </w:t>
      </w:r>
      <w:r>
        <w:rPr>
          <w:rFonts w:ascii="Arial" w:cs="Arial" w:eastAsia="Arial" w:hAnsi="Arial"/>
          <w:sz w:val="20"/>
          <w:szCs w:val="20"/>
          <w:color w:val="1B1B1B"/>
        </w:rPr>
        <w:t>execution advanced our operational turnaround and delivered record revenue performance, driven by both test volume growth and gains to ASP. We are clearly building a stronger foundation for long-term, profitable growth and value creation. Looking ahead, we plan to expand Exagen’s reach across autoimmune disease, addressing multiple, high-impact clinical dilemmas in one of the largest and most underserved markets in healthcare.”</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Outlook</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1B1B1B"/>
        </w:rPr>
        <w:t>The Company expects full-year 2026 revenue of $70 million to $73 million.</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150"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A conference call to review fourth quarter and full-year 2025 financial results is scheduled for today, March 10, 2026, at 8:30 a.m. ET (5:30 a.m. PT). Interested parties may access the conference call by dialing (877) 407-0890 (U.S.), or +1 (201) 389-0918 (international). Additionally, a link to a live webcast of the call will be available in the Investor Relations section of Exagen's website at investors.exagen.com. Participants are asked to join a few minutes prior to the call to register for the event.</w:t>
      </w:r>
    </w:p>
    <w:p>
      <w:pPr>
        <w:spacing w:after="0" w:line="85" w:lineRule="exact"/>
        <w:rPr>
          <w:sz w:val="20"/>
          <w:szCs w:val="20"/>
          <w:color w:val="auto"/>
        </w:rPr>
      </w:pPr>
    </w:p>
    <w:p>
      <w:pPr>
        <w:jc w:val="both"/>
        <w:ind w:right="180"/>
        <w:spacing w:after="0" w:line="269" w:lineRule="auto"/>
        <w:rPr>
          <w:sz w:val="20"/>
          <w:szCs w:val="20"/>
          <w:color w:val="auto"/>
        </w:rPr>
      </w:pPr>
      <w:r>
        <w:rPr>
          <w:rFonts w:ascii="Arial" w:cs="Arial" w:eastAsia="Arial" w:hAnsi="Arial"/>
          <w:sz w:val="20"/>
          <w:szCs w:val="20"/>
          <w:color w:val="auto"/>
        </w:rPr>
        <w:t>A replay of the conference call will be available until March 24, 2026. Interested parties may access the replay by dialing (877) 660-6853 (U.S.) or +1 (201) 612-7415 (international) using passcode 13757484. A link to the replay of the webcast will also be available in the Investor Relations section of Exagen's website.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 (Unaudited)</w:t>
      </w:r>
    </w:p>
    <w:p>
      <w:pPr>
        <w:spacing w:after="0" w:line="258" w:lineRule="exact"/>
        <w:rPr>
          <w:sz w:val="20"/>
          <w:szCs w:val="20"/>
          <w:color w:val="auto"/>
        </w:rPr>
      </w:pPr>
    </w:p>
    <w:p>
      <w:pPr>
        <w:ind w:right="20"/>
        <w:spacing w:after="0" w:line="240" w:lineRule="exact"/>
        <w:rPr>
          <w:sz w:val="20"/>
          <w:szCs w:val="20"/>
          <w:color w:val="auto"/>
        </w:rPr>
      </w:pPr>
      <w:r>
        <w:rPr>
          <w:rFonts w:ascii="Arial" w:cs="Arial" w:eastAsia="Arial" w:hAnsi="Arial"/>
          <w:sz w:val="20"/>
          <w:szCs w:val="20"/>
          <w:color w:val="auto"/>
        </w:rPr>
        <w:t>In addition to the financial results prepared in accordance with generally accepted accounting principles in the United States (GAAP), this press release contains the metric adjusted EBITDA, which is not calculated in accordance with GAAP and is a non-GAAP financial measure. Adjusted EBITDA is defined as net loss adjusted for interest income (expense), income tax expense (benefit), depreciation and amortization expense, stock</w:t>
      </w:r>
      <w:r>
        <w:rPr>
          <w:rFonts w:ascii="MS PGothic" w:cs="MS PGothic" w:eastAsia="MS PGothic" w:hAnsi="MS PGothic"/>
          <w:sz w:val="20"/>
          <w:szCs w:val="20"/>
          <w:color w:val="auto"/>
        </w:rPr>
        <w:t>‑</w:t>
      </w:r>
      <w:r>
        <w:rPr>
          <w:rFonts w:ascii="Arial" w:cs="Arial" w:eastAsia="Arial" w:hAnsi="Arial"/>
          <w:sz w:val="20"/>
          <w:szCs w:val="20"/>
          <w:color w:val="auto"/>
        </w:rPr>
        <w:t>based compensation expense, and certain other non</w:t>
      </w:r>
      <w:r>
        <w:rPr>
          <w:rFonts w:ascii="MS PGothic" w:cs="MS PGothic" w:eastAsia="MS PGothic" w:hAnsi="MS PGothic"/>
          <w:sz w:val="20"/>
          <w:szCs w:val="20"/>
          <w:color w:val="auto"/>
        </w:rPr>
        <w:t>‑</w:t>
      </w:r>
      <w:r>
        <w:rPr>
          <w:rFonts w:ascii="Arial" w:cs="Arial" w:eastAsia="Arial" w:hAnsi="Arial"/>
          <w:sz w:val="20"/>
          <w:szCs w:val="20"/>
          <w:color w:val="auto"/>
        </w:rPr>
        <w:t>cash, unusual or non</w:t>
      </w:r>
      <w:r>
        <w:rPr>
          <w:rFonts w:ascii="MS PGothic" w:cs="MS PGothic" w:eastAsia="MS PGothic" w:hAnsi="MS PGothic"/>
          <w:sz w:val="20"/>
          <w:szCs w:val="20"/>
          <w:color w:val="auto"/>
        </w:rPr>
        <w:t>‑</w:t>
      </w:r>
      <w:r>
        <w:rPr>
          <w:rFonts w:ascii="Arial" w:cs="Arial" w:eastAsia="Arial" w:hAnsi="Arial"/>
          <w:sz w:val="20"/>
          <w:szCs w:val="20"/>
          <w:color w:val="auto"/>
        </w:rPr>
        <w:t>recurring items, including, for example, losses on extinguishment of debt and changes in the fair value of warrant liabilities; we do not exclude normal, recurring, cash operating expenses from this measure. Such items could have a significant impact on the calculation of GAAP net loss.</w:t>
      </w:r>
    </w:p>
    <w:p>
      <w:pPr>
        <w:spacing w:after="0" w:line="227"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color w:val="auto"/>
        </w:rPr>
        <w:t>Exagen uses adjusted EBITDA internally because the company believes these metrics provide useful supplemental information in assessing its operating performance reported in accordance with GAAP. Exagen believes adjusted EBITDA may enhance an evaluation of our operating performance because it excludes the impact of prior decisions made about capital investment, financing, investing and certain expenses the company believes are not indicative of our ongoing performance. However, this non-GAAP financial measure may be different from non-GAAP financial measures used by other companies, even when the same or similarly titled terms are used to identify such measures, limiting their usefulness for comparative purposes.</w:t>
      </w:r>
    </w:p>
    <w:p>
      <w:pPr>
        <w:spacing w:after="0" w:line="186" w:lineRule="exact"/>
        <w:rPr>
          <w:sz w:val="20"/>
          <w:szCs w:val="20"/>
          <w:color w:val="auto"/>
        </w:rPr>
      </w:pPr>
    </w:p>
    <w:p>
      <w:pPr>
        <w:ind w:right="540"/>
        <w:spacing w:after="0" w:line="286" w:lineRule="auto"/>
        <w:rPr>
          <w:sz w:val="20"/>
          <w:szCs w:val="20"/>
          <w:color w:val="auto"/>
        </w:rPr>
      </w:pPr>
      <w:r>
        <w:rPr>
          <w:rFonts w:ascii="Arial" w:cs="Arial" w:eastAsia="Arial" w:hAnsi="Arial"/>
          <w:sz w:val="20"/>
          <w:szCs w:val="20"/>
          <w:color w:val="auto"/>
        </w:rPr>
        <w:t>This non-GAAP financial measure is not meant to be considered in isolation or used as a substitute for net loss reported in accordance with GAAP, should be considered in conjunction with our financial</w:t>
      </w:r>
    </w:p>
    <w:p>
      <w:pPr>
        <w:sectPr>
          <w:pgSz w:w="11900" w:h="16838" w:orient="portrait"/>
          <w:cols w:equalWidth="0" w:num="1">
            <w:col w:w="11240"/>
          </w:cols>
          <w:pgMar w:left="320" w:top="1440" w:right="339" w:bottom="1440" w:gutter="0" w:footer="0" w:header="0"/>
        </w:sectPr>
      </w:pPr>
    </w:p>
    <w:bookmarkStart w:id="5" w:name="page6"/>
    <w:bookmarkEnd w:id="5"/>
    <w:p>
      <w:pPr>
        <w:ind w:right="60"/>
        <w:spacing w:after="0" w:line="252" w:lineRule="auto"/>
        <w:rPr>
          <w:sz w:val="20"/>
          <w:szCs w:val="20"/>
          <w:color w:val="auto"/>
        </w:rPr>
      </w:pPr>
      <w:r>
        <w:rPr>
          <w:rFonts w:ascii="Arial" w:cs="Arial" w:eastAsia="Arial" w:hAnsi="Arial"/>
          <w:sz w:val="20"/>
          <w:szCs w:val="20"/>
          <w:color w:val="auto"/>
        </w:rPr>
        <w:t>information presented in accordance with GAAP, has no standardized meaning prescribed by GAAP, is unaudited, and is not prepared under any comprehensive set of accounting rules or principles. In addition, from time to time in the future, there may be other items that Exagen may exclude for purposes of these non-GAAP financial measures, and the company may in the future cease to exclude items that it has historically excluded for purposes of these non-GAAP financial measures. Likewise, Exagen may determine to modify the nature of adjustments to arrive at these non-GAAP financial measures. Because of the non-standardized definitions of non-GAAP financial measures, the non-GAAP financial measure as used by the company in this press release and the accompanying reconciliation table have limits in their usefulness to investors and may be calculated differently from, and therefore may not be directly comparable to, similarly titled measures used by other companies. Accordingly, investors should not place undue reliance on non-GAAP financial measures.</w:t>
      </w:r>
    </w:p>
    <w:p>
      <w:pPr>
        <w:spacing w:after="0" w:line="203" w:lineRule="exact"/>
        <w:rPr>
          <w:sz w:val="20"/>
          <w:szCs w:val="20"/>
          <w:color w:val="auto"/>
        </w:rPr>
      </w:pPr>
    </w:p>
    <w:p>
      <w:pPr>
        <w:ind w:right="620"/>
        <w:spacing w:after="0" w:line="286" w:lineRule="auto"/>
        <w:rPr>
          <w:sz w:val="20"/>
          <w:szCs w:val="20"/>
          <w:color w:val="auto"/>
        </w:rPr>
      </w:pPr>
      <w:r>
        <w:rPr>
          <w:rFonts w:ascii="Arial" w:cs="Arial" w:eastAsia="Arial" w:hAnsi="Arial"/>
          <w:sz w:val="20"/>
          <w:szCs w:val="20"/>
          <w:color w:val="auto"/>
        </w:rPr>
        <w:t>A reconciliation of net loss to non-GAAP adjusted EBITDA is provided in the financial schedules that are part of this press release.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Exagen</w:t>
      </w:r>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Exagen Inc. (Nasdaq: XGN) is a leading provider of autoimmune diagnostics, committed to transforming care for patients with chronic and debilitating autoimmune conditions. Based in San Diego County, California, Exagen’s mission is to provide clarity in autoimmune disease decision-making and improve clinical outcomes through its innovative testing portfolio. The company’s flagship product, AVISE® CTD, enables clinicians to more effectively diagnose complex autoimmune conditions such as lupus, rheumatoid arthritis, and Sjögren’s disease earlier and with greater accuracy. Exagen’s CLIA-certified, CAP-accredited laboratory specializes in the testing of rheumatic diseases, delivering precise and timely results, supported by a suite of AVISE-branded tests for disease diagnosis, prognosis, and monitoring. With a focus on research, innovation, education, and patient-centered care, Exagen is dedicated to addressing the ongoing challenges of autoimmune disease management.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visit Exagen.com or follow Exagen on LinkedIn.</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58"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Exagen’s goals, strategies, positioning, and ambitions; evaluations and judgments regarding financial results and the potential implications of those results, potential future financial and business performance, including any improvements to adjusted EBITDA, ASP, net loss and potential profitability; the potential utility and effectiveness of Exagen’s services and testing solutions; potential stockholder value and growth and full-year 2026 guidance.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delays in reimbursement and coverage decisions from Medicare and third-party payors and interactions with regulatory authorities, and delays in ongoing and planned clinical trials involving its tests; the potential effects of inflation and tariffs on Exagen’s margins; and changes in laws and regulations related to Exagen’s regulatory requirements. Exagen’s commercial success depends upon attaining and maintaining significant market acceptance of its testing products among rheumatologists, patients, third-party payors and others in the medical community; Exagen’s ability to successfully execute on its business strategies; and ability to obtain additional funding; third-</w:t>
      </w:r>
    </w:p>
    <w:p>
      <w:pPr>
        <w:sectPr>
          <w:pgSz w:w="11900" w:h="16838" w:orient="portrait"/>
          <w:cols w:equalWidth="0" w:num="1">
            <w:col w:w="11240"/>
          </w:cols>
          <w:pgMar w:left="320" w:top="1414" w:right="339" w:bottom="1440" w:gutter="0" w:footer="0" w:header="0"/>
        </w:sectPr>
      </w:pPr>
    </w:p>
    <w:bookmarkStart w:id="6" w:name="page7"/>
    <w:bookmarkEnd w:id="6"/>
    <w:p>
      <w:pPr>
        <w:spacing w:after="0" w:line="252" w:lineRule="auto"/>
        <w:rPr>
          <w:sz w:val="20"/>
          <w:szCs w:val="20"/>
          <w:color w:val="auto"/>
        </w:rPr>
      </w:pPr>
      <w:r>
        <w:rPr>
          <w:rFonts w:ascii="Arial" w:cs="Arial" w:eastAsia="Arial" w:hAnsi="Arial"/>
          <w:sz w:val="20"/>
          <w:szCs w:val="20"/>
          <w:color w:val="auto"/>
        </w:rPr>
        <w:t>party payors not providing coverage and adequate reimbursement for Exagen’s testing products, including Exagen’s ability to collect on funds due; Exagen’s ability to obtain and maintain intellectual property protection for its testing products; regulatory developments affecting Exagen’s business; and other risks described in Exagen’s prior press releases and Exagen’s filings with the Securities and Exchange Commission (SEC), including under the heading “Risk Factors” in Exagen’s Annual Report on Form 10-K for the year ended December 31, 2025, expected to be filed with the SEC on March 10, 2026,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Tina Jacobsen, CFA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Exagen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ir@exagen.com</w:t>
      </w:r>
    </w:p>
    <w:p>
      <w:pPr>
        <w:sectPr>
          <w:pgSz w:w="11900" w:h="16838" w:orient="portrait"/>
          <w:cols w:equalWidth="0" w:num="1">
            <w:col w:w="11220"/>
          </w:cols>
          <w:pgMar w:left="320" w:top="1414" w:right="359" w:bottom="1440" w:gutter="0" w:footer="0" w:header="0"/>
        </w:sectPr>
      </w:pPr>
    </w:p>
    <w:bookmarkStart w:id="7" w:name="page8"/>
    <w:bookmarkEnd w:id="7"/>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December 31,</w:t>
            </w:r>
          </w:p>
        </w:tc>
        <w:tc>
          <w:tcPr>
            <w:tcW w:w="340" w:type="dxa"/>
            <w:vAlign w:val="bottom"/>
          </w:tcPr>
          <w:p>
            <w:pPr>
              <w:spacing w:after="0"/>
              <w:rPr>
                <w:sz w:val="17"/>
                <w:szCs w:val="17"/>
                <w:color w:val="auto"/>
              </w:rPr>
            </w:pPr>
          </w:p>
        </w:tc>
        <w:tc>
          <w:tcPr>
            <w:tcW w:w="278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4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16,631</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55,641</w:t>
            </w:r>
          </w:p>
        </w:tc>
        <w:tc>
          <w:tcPr>
            <w:tcW w:w="0" w:type="dxa"/>
            <w:vAlign w:val="bottom"/>
          </w:tcPr>
          <w:p>
            <w:pPr>
              <w:spacing w:after="0"/>
              <w:rPr>
                <w:sz w:val="1"/>
                <w:szCs w:val="1"/>
                <w:color w:val="auto"/>
              </w:rPr>
            </w:pPr>
          </w:p>
        </w:tc>
      </w:tr>
      <w:tr>
        <w:trPr>
          <w:trHeight w:val="198"/>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Costs of revenue</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7,425</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27,776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22,529</w:t>
            </w: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9,206</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8,477</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38,799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33,112</w:t>
            </w:r>
          </w:p>
        </w:tc>
        <w:tc>
          <w:tcPr>
            <w:tcW w:w="0" w:type="dxa"/>
            <w:vAlign w:val="bottom"/>
          </w:tcPr>
          <w:p>
            <w:pPr>
              <w:spacing w:after="0"/>
              <w:rPr>
                <w:sz w:val="1"/>
                <w:szCs w:val="1"/>
                <w:color w:val="auto"/>
              </w:rPr>
            </w:pPr>
          </w:p>
        </w:tc>
      </w:tr>
      <w:tr>
        <w:trPr>
          <w:trHeight w:val="178"/>
        </w:trPr>
        <w:tc>
          <w:tcPr>
            <w:tcW w:w="48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12,424</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46,615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41,373</w:t>
            </w:r>
          </w:p>
        </w:tc>
        <w:tc>
          <w:tcPr>
            <w:tcW w:w="0" w:type="dxa"/>
            <w:vAlign w:val="bottom"/>
          </w:tcPr>
          <w:p>
            <w:pPr>
              <w:spacing w:after="0"/>
              <w:rPr>
                <w:sz w:val="1"/>
                <w:szCs w:val="1"/>
                <w:color w:val="auto"/>
              </w:rPr>
            </w:pPr>
          </w:p>
        </w:tc>
      </w:tr>
      <w:tr>
        <w:trPr>
          <w:trHeight w:val="198"/>
        </w:trPr>
        <w:tc>
          <w:tcPr>
            <w:tcW w:w="48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Research and development expenses</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1,757</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5,375</w:t>
            </w: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14,181</w:t>
            </w: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11,860</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52,869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46,748</w:t>
            </w:r>
          </w:p>
        </w:tc>
        <w:tc>
          <w:tcPr>
            <w:tcW w:w="0" w:type="dxa"/>
            <w:vAlign w:val="bottom"/>
          </w:tcPr>
          <w:p>
            <w:pPr>
              <w:spacing w:after="0"/>
              <w:rPr>
                <w:sz w:val="1"/>
                <w:szCs w:val="1"/>
                <w:color w:val="auto"/>
              </w:rPr>
            </w:pPr>
          </w:p>
        </w:tc>
      </w:tr>
      <w:tr>
        <w:trPr>
          <w:trHeight w:val="192"/>
        </w:trPr>
        <w:tc>
          <w:tcPr>
            <w:tcW w:w="48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(4,975)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(3,383)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(14,070)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(13,636)</w:t>
            </w: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w:t>
            </w:r>
          </w:p>
        </w:tc>
        <w:tc>
          <w:tcPr>
            <w:tcW w:w="0" w:type="dxa"/>
            <w:vAlign w:val="bottom"/>
          </w:tcPr>
          <w:p>
            <w:pPr>
              <w:spacing w:after="0"/>
              <w:rPr>
                <w:sz w:val="1"/>
                <w:szCs w:val="1"/>
                <w:color w:val="auto"/>
              </w:rPr>
            </w:pPr>
          </w:p>
        </w:tc>
      </w:tr>
      <w:tr>
        <w:trPr>
          <w:trHeight w:val="198"/>
        </w:trPr>
        <w:tc>
          <w:tcPr>
            <w:tcW w:w="488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 liability</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200"/>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(15,103)</w:t>
            </w:r>
          </w:p>
        </w:tc>
        <w:tc>
          <w:tcPr>
            <w:tcW w:w="0" w:type="dxa"/>
            <w:vAlign w:val="bottom"/>
          </w:tcPr>
          <w:p>
            <w:pPr>
              <w:spacing w:after="0"/>
              <w:rPr>
                <w:sz w:val="1"/>
                <w:szCs w:val="1"/>
                <w:color w:val="auto"/>
              </w:rPr>
            </w:pPr>
          </w:p>
        </w:tc>
      </w:tr>
      <w:tr>
        <w:trPr>
          <w:trHeight w:val="198"/>
        </w:trPr>
        <w:tc>
          <w:tcPr>
            <w:tcW w:w="488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21"/>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share, basic and diluted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8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(0.93)</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880" w:type="dxa"/>
            <w:vAlign w:val="bottom"/>
            <w:shd w:val="clear" w:color="auto" w:fill="CCEEFF"/>
          </w:tcPr>
          <w:p>
            <w:pPr>
              <w:ind w:left="20"/>
              <w:spacing w:after="0" w:line="124" w:lineRule="exact"/>
              <w:rPr>
                <w:sz w:val="20"/>
                <w:szCs w:val="20"/>
                <w:color w:val="auto"/>
              </w:rPr>
            </w:pPr>
            <w:r>
              <w:rPr>
                <w:rFonts w:ascii="Arial" w:cs="Arial" w:eastAsia="Arial" w:hAnsi="Arial"/>
                <w:sz w:val="14"/>
                <w:szCs w:val="14"/>
                <w:color w:val="auto"/>
              </w:rPr>
              <w:t>Weighted-average number of shares used to compute net loss per share,</w:t>
            </w:r>
          </w:p>
        </w:tc>
        <w:tc>
          <w:tcPr>
            <w:tcW w:w="24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23,575,693</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18,427,887</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21,558,245</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18,203,044</w:t>
            </w:r>
          </w:p>
        </w:tc>
        <w:tc>
          <w:tcPr>
            <w:tcW w:w="0" w:type="dxa"/>
            <w:vAlign w:val="bottom"/>
          </w:tcPr>
          <w:p>
            <w:pPr>
              <w:spacing w:after="0"/>
              <w:rPr>
                <w:sz w:val="1"/>
                <w:szCs w:val="1"/>
                <w:color w:val="auto"/>
              </w:rPr>
            </w:pPr>
          </w:p>
        </w:tc>
      </w:tr>
      <w:tr>
        <w:trPr>
          <w:trHeight w:val="178"/>
        </w:trPr>
        <w:tc>
          <w:tcPr>
            <w:tcW w:w="4880" w:type="dxa"/>
            <w:vAlign w:val="bottom"/>
            <w:tcBorders>
              <w:bottom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color w:val="auto"/>
              </w:rPr>
              <w:t>basic and diluted</w:t>
            </w:r>
          </w:p>
        </w:tc>
        <w:tc>
          <w:tcPr>
            <w:tcW w:w="2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17" w:right="339" w:bottom="1440" w:gutter="0" w:footer="0" w:header="0"/>
        </w:sectPr>
      </w:pPr>
    </w:p>
    <w:bookmarkStart w:id="8" w:name="page9"/>
    <w:bookmarkEnd w:id="8"/>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2"/>
        </w:trPr>
        <w:tc>
          <w:tcPr>
            <w:tcW w:w="868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32,220</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22,036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7,835</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5,818</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6,584</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48,893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36,455</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6,938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5,283</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2,401</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58,022</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44,689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6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4,153</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4,137</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Accrued and other current 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6,916</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Deferred revenue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Finance lease liabilities, current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Operating lease liabilities, current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Borrowings, current</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14,159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13,506</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non-current, net of discounts and debt issuance costs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22,264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19,822</w:t>
            </w:r>
          </w:p>
        </w:tc>
        <w:tc>
          <w:tcPr>
            <w:tcW w:w="0" w:type="dxa"/>
            <w:vAlign w:val="bottom"/>
          </w:tcPr>
          <w:p>
            <w:pPr>
              <w:spacing w:after="0"/>
              <w:rPr>
                <w:sz w:val="1"/>
                <w:szCs w:val="1"/>
                <w:color w:val="auto"/>
              </w:rPr>
            </w:pPr>
          </w:p>
        </w:tc>
      </w:tr>
      <w:tr>
        <w:trPr>
          <w:trHeight w:val="199"/>
        </w:trPr>
        <w:tc>
          <w:tcPr>
            <w:tcW w:w="8680" w:type="dxa"/>
            <w:vAlign w:val="bottom"/>
          </w:tcPr>
          <w:p>
            <w:pPr>
              <w:ind w:left="20"/>
              <w:spacing w:after="0"/>
              <w:rPr>
                <w:sz w:val="20"/>
                <w:szCs w:val="20"/>
                <w:color w:val="auto"/>
              </w:rPr>
            </w:pPr>
            <w:r>
              <w:rPr>
                <w:rFonts w:ascii="Arial" w:cs="Arial" w:eastAsia="Arial" w:hAnsi="Arial"/>
                <w:sz w:val="14"/>
                <w:szCs w:val="14"/>
                <w:color w:val="auto"/>
              </w:rPr>
              <w:t>Finance lease liabilities, non-current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1,960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99"/>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Warrant liability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40,573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35,149</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Preferred stock, $0.001 par value per share; 10,000,000 share authorized, no shares issued or outstanding at December 31,</w:t>
            </w:r>
          </w:p>
        </w:tc>
        <w:tc>
          <w:tcPr>
            <w:tcW w:w="28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2025 and December 31, 2024</w:t>
            </w: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at December 31, 2025 and December 31, 2024; 22,911,575</w:t>
            </w:r>
          </w:p>
        </w:tc>
        <w:tc>
          <w:tcPr>
            <w:tcW w:w="2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and 17,640,328 shares issued and outstanding at December 31, 2025 and December 31, 2024, respectively</w:t>
            </w:r>
          </w:p>
        </w:tc>
        <w:tc>
          <w:tcPr>
            <w:tcW w:w="2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4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331,708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303,853</w:t>
            </w:r>
          </w:p>
        </w:tc>
        <w:tc>
          <w:tcPr>
            <w:tcW w:w="0" w:type="dxa"/>
            <w:vAlign w:val="bottom"/>
          </w:tcPr>
          <w:p>
            <w:pPr>
              <w:spacing w:after="0"/>
              <w:rPr>
                <w:sz w:val="1"/>
                <w:szCs w:val="1"/>
                <w:color w:val="auto"/>
              </w:rPr>
            </w:pPr>
          </w:p>
        </w:tc>
      </w:tr>
      <w:tr>
        <w:trPr>
          <w:trHeight w:val="206"/>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(314,282)</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(294,331)</w:t>
            </w:r>
          </w:p>
        </w:tc>
        <w:tc>
          <w:tcPr>
            <w:tcW w:w="0" w:type="dxa"/>
            <w:vAlign w:val="bottom"/>
          </w:tcPr>
          <w:p>
            <w:pPr>
              <w:spacing w:after="0"/>
              <w:rPr>
                <w:sz w:val="1"/>
                <w:szCs w:val="1"/>
                <w:color w:val="auto"/>
              </w:rPr>
            </w:pPr>
          </w:p>
        </w:tc>
      </w:tr>
      <w:tr>
        <w:trPr>
          <w:trHeight w:val="192"/>
        </w:trPr>
        <w:tc>
          <w:tcPr>
            <w:tcW w:w="868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17,449</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9,540</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58,022</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44,689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17"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168" w:lineRule="exact"/>
        <w:rPr>
          <w:sz w:val="20"/>
          <w:szCs w:val="20"/>
          <w:color w:val="auto"/>
        </w:rPr>
      </w:pPr>
    </w:p>
    <w:p>
      <w:pPr>
        <w:ind w:right="300"/>
        <w:spacing w:after="0" w:line="262" w:lineRule="auto"/>
        <w:rPr>
          <w:sz w:val="20"/>
          <w:szCs w:val="20"/>
          <w:color w:val="auto"/>
        </w:rPr>
      </w:pPr>
      <w:r>
        <w:rPr>
          <w:rFonts w:ascii="Arial" w:cs="Arial" w:eastAsia="Arial" w:hAnsi="Arial"/>
          <w:sz w:val="20"/>
          <w:szCs w:val="20"/>
          <w:color w:val="auto"/>
        </w:rPr>
        <w:t>The table below presents the reconciliation of adjusted EBITDA, which is a non-GAAP financial measure. See "Use of Non-GAAP Financial Measures (UNAUDITED)" above for further information regarding the Company's use of non-GAAP financial measures.</w:t>
      </w:r>
    </w:p>
    <w:p>
      <w:pPr>
        <w:sectPr>
          <w:pgSz w:w="11900" w:h="16838" w:orient="portrait"/>
          <w:cols w:equalWidth="0" w:num="1">
            <w:col w:w="11220"/>
          </w:cols>
          <w:pgMar w:left="320" w:top="1440" w:right="359" w:bottom="1440" w:gutter="0" w:footer="0" w:header="0"/>
        </w:sectPr>
      </w:pPr>
    </w:p>
    <w:p>
      <w:pPr>
        <w:spacing w:after="0" w:line="15" w:lineRule="exact"/>
        <w:rPr>
          <w:sz w:val="20"/>
          <w:szCs w:val="20"/>
          <w:color w:val="auto"/>
        </w:rPr>
      </w:pPr>
    </w:p>
    <w:p>
      <w:pPr>
        <w:jc w:val="center"/>
        <w:ind w:left="4120"/>
        <w:spacing w:after="0"/>
        <w:rPr>
          <w:sz w:val="20"/>
          <w:szCs w:val="20"/>
          <w:color w:val="auto"/>
        </w:rPr>
      </w:pPr>
      <w:r>
        <w:rPr>
          <w:rFonts w:ascii="Arial" w:cs="Arial" w:eastAsia="Arial" w:hAnsi="Arial"/>
          <w:sz w:val="14"/>
          <w:szCs w:val="14"/>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23495</wp:posOffset>
            </wp:positionV>
            <wp:extent cx="2245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5" w:lineRule="exact"/>
        <w:rPr>
          <w:sz w:val="20"/>
          <w:szCs w:val="20"/>
          <w:color w:val="auto"/>
        </w:rPr>
      </w:pPr>
    </w:p>
    <w:p>
      <w:pPr>
        <w:ind w:left="4720"/>
        <w:spacing w:after="0"/>
        <w:tabs>
          <w:tab w:leader="none" w:pos="652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Arial" w:cs="Arial" w:eastAsia="Arial" w:hAnsi="Arial"/>
          <w:sz w:val="14"/>
          <w:szCs w:val="14"/>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23495</wp:posOffset>
            </wp:positionV>
            <wp:extent cx="2254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35" w:lineRule="exact"/>
        <w:rPr>
          <w:sz w:val="20"/>
          <w:szCs w:val="20"/>
          <w:color w:val="auto"/>
        </w:rPr>
      </w:pPr>
    </w:p>
    <w:p>
      <w:pPr>
        <w:ind w:left="160"/>
        <w:spacing w:after="0"/>
        <w:tabs>
          <w:tab w:leader="none" w:pos="198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35" w:lineRule="exact"/>
        <w:rPr>
          <w:sz w:val="20"/>
          <w:szCs w:val="20"/>
          <w:color w:val="auto"/>
        </w:rPr>
      </w:pPr>
    </w:p>
    <w:p>
      <w:pPr>
        <w:sectPr>
          <w:pgSz w:w="11900" w:h="16838" w:orient="portrait"/>
          <w:cols w:equalWidth="0" w:num="2">
            <w:col w:w="7480" w:space="720"/>
            <w:col w:w="3020"/>
          </w:cols>
          <w:pgMar w:left="320" w:top="1440" w:right="359" w:bottom="1440" w:gutter="0" w:footer="0" w:header="0"/>
          <w:type w:val="continuous"/>
        </w:sectPr>
      </w:pPr>
    </w:p>
    <w:tbl>
      <w:tblPr>
        <w:tblLayout w:type="fixed"/>
        <w:tblInd w:w="40" w:type="dxa"/>
        <w:tblCellMar>
          <w:top w:w="0" w:type="dxa"/>
          <w:left w:w="0" w:type="dxa"/>
          <w:bottom w:w="0" w:type="dxa"/>
          <w:right w:w="0" w:type="dxa"/>
        </w:tblCellMar>
      </w:tblPr>
      <w:tr>
        <w:trPr>
          <w:trHeight w:val="185"/>
        </w:trPr>
        <w:tc>
          <w:tcPr>
            <w:tcW w:w="40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183"/>
        </w:trPr>
        <w:tc>
          <w:tcPr>
            <w:tcW w:w="1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28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r>
      <w:tr>
        <w:trPr>
          <w:trHeight w:val="198"/>
        </w:trPr>
        <w:tc>
          <w:tcPr>
            <w:tcW w:w="40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(4,673)</w:t>
            </w:r>
          </w:p>
        </w:tc>
        <w:tc>
          <w:tcPr>
            <w:tcW w:w="120" w:type="dxa"/>
            <w:vAlign w:val="bottom"/>
          </w:tcPr>
          <w:p>
            <w:pPr>
              <w:spacing w:after="0"/>
              <w:rPr>
                <w:sz w:val="17"/>
                <w:szCs w:val="17"/>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(3,761)</w:t>
            </w:r>
          </w:p>
        </w:tc>
        <w:tc>
          <w:tcPr>
            <w:tcW w:w="120" w:type="dxa"/>
            <w:vAlign w:val="bottom"/>
          </w:tcPr>
          <w:p>
            <w:pPr>
              <w:spacing w:after="0"/>
              <w:rPr>
                <w:sz w:val="17"/>
                <w:szCs w:val="17"/>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(19,951)</w:t>
            </w:r>
          </w:p>
        </w:tc>
        <w:tc>
          <w:tcPr>
            <w:tcW w:w="100" w:type="dxa"/>
            <w:vAlign w:val="bottom"/>
          </w:tcPr>
          <w:p>
            <w:pPr>
              <w:spacing w:after="0"/>
              <w:rPr>
                <w:sz w:val="17"/>
                <w:szCs w:val="17"/>
                <w:color w:val="auto"/>
              </w:rPr>
            </w:pP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(15,115)</w:t>
            </w:r>
          </w:p>
        </w:tc>
      </w:tr>
      <w:tr>
        <w:trPr>
          <w:trHeight w:val="207"/>
        </w:trPr>
        <w:tc>
          <w:tcPr>
            <w:tcW w:w="40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income</w:t>
            </w: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r>
      <w:tr>
        <w:trPr>
          <w:trHeight w:val="198"/>
        </w:trPr>
        <w:tc>
          <w:tcPr>
            <w:tcW w:w="4000" w:type="dxa"/>
            <w:vAlign w:val="bottom"/>
            <w:gridSpan w:val="2"/>
          </w:tcPr>
          <w:p>
            <w:pPr>
              <w:ind w:left="340"/>
              <w:spacing w:after="0"/>
              <w:rPr>
                <w:sz w:val="20"/>
                <w:szCs w:val="20"/>
                <w:color w:val="auto"/>
              </w:rPr>
            </w:pPr>
            <w:r>
              <w:rPr>
                <w:rFonts w:ascii="Arial" w:cs="Arial" w:eastAsia="Arial" w:hAnsi="Arial"/>
                <w:sz w:val="14"/>
                <w:szCs w:val="14"/>
                <w:color w:val="auto"/>
              </w:rPr>
              <w:t>Interest expense</w:t>
            </w: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4,318</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2,234</w:t>
            </w:r>
          </w:p>
        </w:tc>
      </w:tr>
      <w:tr>
        <w:trPr>
          <w:trHeight w:val="207"/>
        </w:trPr>
        <w:tc>
          <w:tcPr>
            <w:tcW w:w="40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Loss on extinguishment of debt</w:t>
            </w:r>
          </w:p>
        </w:tc>
        <w:tc>
          <w:tcPr>
            <w:tcW w:w="6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4000" w:type="dxa"/>
            <w:vAlign w:val="bottom"/>
            <w:gridSpan w:val="2"/>
          </w:tcPr>
          <w:p>
            <w:pPr>
              <w:ind w:left="340"/>
              <w:spacing w:after="0"/>
              <w:rPr>
                <w:sz w:val="20"/>
                <w:szCs w:val="20"/>
                <w:color w:val="auto"/>
              </w:rPr>
            </w:pPr>
            <w:r>
              <w:rPr>
                <w:rFonts w:ascii="Arial" w:cs="Arial" w:eastAsia="Arial" w:hAnsi="Arial"/>
                <w:sz w:val="14"/>
                <w:szCs w:val="14"/>
                <w:color w:val="auto"/>
              </w:rPr>
              <w:t>Change in fair value of warrant liability</w:t>
            </w: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(1,602)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1,506</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40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expense</w:t>
            </w:r>
          </w:p>
        </w:tc>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8"/>
        </w:trPr>
        <w:tc>
          <w:tcPr>
            <w:tcW w:w="400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 expense</w:t>
            </w: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2,118</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1,724</w:t>
            </w:r>
          </w:p>
        </w:tc>
      </w:tr>
      <w:tr>
        <w:trPr>
          <w:trHeight w:val="207"/>
        </w:trPr>
        <w:tc>
          <w:tcPr>
            <w:tcW w:w="40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Stock-based compensation expense</w:t>
            </w:r>
          </w:p>
        </w:tc>
        <w:tc>
          <w:tcPr>
            <w:tcW w:w="6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2,158</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w:t>
            </w:r>
          </w:p>
        </w:tc>
      </w:tr>
      <w:tr>
        <w:trPr>
          <w:trHeight w:val="192"/>
        </w:trPr>
        <w:tc>
          <w:tcPr>
            <w:tcW w:w="4000" w:type="dxa"/>
            <w:vAlign w:val="bottom"/>
            <w:gridSpan w:val="2"/>
          </w:tcPr>
          <w:p>
            <w:pPr>
              <w:spacing w:after="0"/>
              <w:rPr>
                <w:sz w:val="20"/>
                <w:szCs w:val="20"/>
                <w:color w:val="auto"/>
              </w:rPr>
            </w:pPr>
            <w:r>
              <w:rPr>
                <w:rFonts w:ascii="Arial" w:cs="Arial" w:eastAsia="Arial" w:hAnsi="Arial"/>
                <w:sz w:val="14"/>
                <w:szCs w:val="14"/>
                <w:color w:val="auto"/>
              </w:rPr>
              <w:t>Adjusted EBITDA (Non-GAAP)</w:t>
            </w:r>
          </w:p>
        </w:tc>
        <w:tc>
          <w:tcPr>
            <w:tcW w:w="6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(3,670)</w:t>
            </w:r>
          </w:p>
        </w:tc>
        <w:tc>
          <w:tcPr>
            <w:tcW w:w="120" w:type="dxa"/>
            <w:vAlign w:val="bottom"/>
          </w:tcPr>
          <w:p>
            <w:pPr>
              <w:spacing w:after="0"/>
              <w:rPr>
                <w:sz w:val="16"/>
                <w:szCs w:val="16"/>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(2,535)</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(9,794)</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(10,149)</w:t>
            </w:r>
          </w:p>
        </w:tc>
      </w:tr>
      <w:tr>
        <w:trPr>
          <w:trHeight w:val="25"/>
        </w:trPr>
        <w:tc>
          <w:tcPr>
            <w:tcW w:w="12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20"/>
      </w:cols>
      <w:pgMar w:left="320" w:top="144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2026-03-10T07:05:24Z</dcterms:created>
  <dcterms:modified xsi:type="dcterms:W3CDTF">2026-03-10T07:05:24Z</dcterms:modified>
</cp:coreProperties>
</file>