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560" w:hanging="323"/>
        <w:spacing w:after="0" w:line="208" w:lineRule="auto"/>
        <w:tabs>
          <w:tab w:leader="none" w:pos="5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163195</wp:posOffset>
            </wp:positionH>
            <wp:positionV relativeFrom="paragraph">
              <wp:posOffset>-112395</wp:posOffset>
            </wp:positionV>
            <wp:extent cx="10414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2020</w:t>
      </w:r>
    </w:p>
    <w:p>
      <w:pPr>
        <w:ind w:left="560" w:hanging="323"/>
        <w:spacing w:after="0" w:line="182" w:lineRule="auto"/>
        <w:tabs>
          <w:tab w:leader="none" w:pos="56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163195</wp:posOffset>
            </wp:positionH>
            <wp:positionV relativeFrom="paragraph">
              <wp:posOffset>-113030</wp:posOffset>
            </wp:positionV>
            <wp:extent cx="104140" cy="105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tbl>
      <w:tblPr>
        <w:tblLayout w:type="fixed"/>
        <w:tblInd w:w="6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540" w:type="dxa"/>
            <w:vAlign w:val="bottom"/>
          </w:tcPr>
          <w:p>
            <w:pPr>
              <w:spacing w:after="0"/>
              <w:rPr>
                <w:sz w:val="20"/>
                <w:szCs w:val="20"/>
                <w:color w:val="auto"/>
              </w:rPr>
            </w:pPr>
          </w:p>
        </w:tc>
      </w:tr>
      <w:tr>
        <w:trPr>
          <w:trHeight w:val="689"/>
        </w:trPr>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4"/>
          </w:tcPr>
          <w:p>
            <w:pPr>
              <w:jc w:val="center"/>
              <w:ind w:right="280"/>
              <w:spacing w:after="0"/>
              <w:rPr>
                <w:sz w:val="20"/>
                <w:szCs w:val="20"/>
                <w:color w:val="auto"/>
              </w:rPr>
            </w:pPr>
            <w:r>
              <w:rPr>
                <w:rFonts w:ascii="Arial" w:cs="Arial" w:eastAsia="Arial" w:hAnsi="Arial"/>
                <w:sz w:val="40"/>
                <w:szCs w:val="40"/>
                <w:b w:val="1"/>
                <w:bCs w:val="1"/>
                <w:color w:val="auto"/>
                <w:w w:val="99"/>
              </w:rPr>
              <w:t>EXAGEN INC.</w:t>
            </w:r>
          </w:p>
        </w:tc>
        <w:tc>
          <w:tcPr>
            <w:tcW w:w="354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680" w:type="dxa"/>
            <w:vAlign w:val="bottom"/>
            <w:gridSpan w:val="7"/>
          </w:tcPr>
          <w:p>
            <w:pPr>
              <w:jc w:val="center"/>
              <w:ind w:right="250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513"/>
        </w:trPr>
        <w:tc>
          <w:tcPr>
            <w:tcW w:w="440" w:type="dxa"/>
            <w:vAlign w:val="bottom"/>
          </w:tcPr>
          <w:p>
            <w:pPr>
              <w:spacing w:after="0"/>
              <w:rPr>
                <w:sz w:val="24"/>
                <w:szCs w:val="24"/>
                <w:color w:val="auto"/>
              </w:rPr>
            </w:pPr>
          </w:p>
        </w:tc>
        <w:tc>
          <w:tcPr>
            <w:tcW w:w="2580" w:type="dxa"/>
            <w:vAlign w:val="bottom"/>
          </w:tcPr>
          <w:p>
            <w:pPr>
              <w:jc w:val="center"/>
              <w:ind w:left="1748"/>
              <w:spacing w:after="0"/>
              <w:rPr>
                <w:sz w:val="20"/>
                <w:szCs w:val="20"/>
                <w:color w:val="auto"/>
              </w:rPr>
            </w:pPr>
            <w:r>
              <w:rPr>
                <w:rFonts w:ascii="Arial" w:cs="Arial" w:eastAsia="Arial" w:hAnsi="Arial"/>
                <w:sz w:val="14"/>
                <w:szCs w:val="14"/>
                <w:b w:val="1"/>
                <w:bCs w:val="1"/>
                <w:color w:val="auto"/>
              </w:rPr>
              <w:t>Delaware</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jc w:val="right"/>
              <w:ind w:right="1328"/>
              <w:spacing w:after="0"/>
              <w:rPr>
                <w:sz w:val="20"/>
                <w:szCs w:val="20"/>
                <w:color w:val="auto"/>
              </w:rPr>
            </w:pPr>
            <w:r>
              <w:rPr>
                <w:rFonts w:ascii="Arial" w:cs="Arial" w:eastAsia="Arial" w:hAnsi="Arial"/>
                <w:sz w:val="14"/>
                <w:szCs w:val="14"/>
                <w:b w:val="1"/>
                <w:bCs w:val="1"/>
                <w:color w:val="auto"/>
              </w:rPr>
              <w:t>20-0434866</w:t>
            </w:r>
          </w:p>
        </w:tc>
      </w:tr>
      <w:tr>
        <w:trPr>
          <w:trHeight w:val="188"/>
        </w:trPr>
        <w:tc>
          <w:tcPr>
            <w:tcW w:w="440" w:type="dxa"/>
            <w:vAlign w:val="bottom"/>
          </w:tcPr>
          <w:p>
            <w:pPr>
              <w:spacing w:after="0"/>
              <w:rPr>
                <w:sz w:val="16"/>
                <w:szCs w:val="16"/>
                <w:color w:val="auto"/>
              </w:rPr>
            </w:pPr>
          </w:p>
        </w:tc>
        <w:tc>
          <w:tcPr>
            <w:tcW w:w="362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(State or other jurisdiction of</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40" w:type="dxa"/>
            <w:vAlign w:val="bottom"/>
          </w:tcPr>
          <w:p>
            <w:pPr>
              <w:spacing w:after="0"/>
              <w:rPr>
                <w:sz w:val="16"/>
                <w:szCs w:val="16"/>
                <w:color w:val="auto"/>
              </w:rPr>
            </w:pPr>
          </w:p>
        </w:tc>
        <w:tc>
          <w:tcPr>
            <w:tcW w:w="362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incorporation or organization)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24"/>
        </w:trPr>
        <w:tc>
          <w:tcPr>
            <w:tcW w:w="440" w:type="dxa"/>
            <w:vAlign w:val="bottom"/>
          </w:tcPr>
          <w:p>
            <w:pPr>
              <w:spacing w:after="0"/>
              <w:rPr>
                <w:sz w:val="24"/>
                <w:szCs w:val="24"/>
                <w:color w:val="auto"/>
              </w:rPr>
            </w:pPr>
          </w:p>
        </w:tc>
        <w:tc>
          <w:tcPr>
            <w:tcW w:w="2580" w:type="dxa"/>
            <w:vAlign w:val="bottom"/>
          </w:tcPr>
          <w:p>
            <w:pPr>
              <w:jc w:val="center"/>
              <w:ind w:left="228"/>
              <w:spacing w:after="0"/>
              <w:rPr>
                <w:sz w:val="20"/>
                <w:szCs w:val="20"/>
                <w:color w:val="auto"/>
              </w:rPr>
            </w:pPr>
            <w:r>
              <w:rPr>
                <w:rFonts w:ascii="Arial" w:cs="Arial" w:eastAsia="Arial" w:hAnsi="Arial"/>
                <w:sz w:val="14"/>
                <w:szCs w:val="14"/>
                <w:b w:val="1"/>
                <w:bCs w:val="1"/>
                <w:color w:val="auto"/>
              </w:rPr>
              <w:t>1261 Liberty Way,</w:t>
            </w: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Suite C</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2580" w:type="dxa"/>
            <w:vAlign w:val="bottom"/>
          </w:tcPr>
          <w:p>
            <w:pPr>
              <w:jc w:val="center"/>
              <w:ind w:left="248"/>
              <w:spacing w:after="0"/>
              <w:rPr>
                <w:sz w:val="20"/>
                <w:szCs w:val="20"/>
                <w:color w:val="auto"/>
              </w:rPr>
            </w:pPr>
            <w:r>
              <w:rPr>
                <w:rFonts w:ascii="Arial" w:cs="Arial" w:eastAsia="Arial" w:hAnsi="Arial"/>
                <w:sz w:val="14"/>
                <w:szCs w:val="14"/>
                <w:b w:val="1"/>
                <w:bCs w:val="1"/>
                <w:color w:val="auto"/>
              </w:rPr>
              <w:t>Vista,</w:t>
            </w:r>
          </w:p>
        </w:tc>
        <w:tc>
          <w:tcPr>
            <w:tcW w:w="1040" w:type="dxa"/>
            <w:vAlign w:val="bottom"/>
          </w:tcPr>
          <w:p>
            <w:pPr>
              <w:jc w:val="right"/>
              <w:ind w:right="268"/>
              <w:spacing w:after="0"/>
              <w:rPr>
                <w:sz w:val="20"/>
                <w:szCs w:val="20"/>
                <w:color w:val="auto"/>
              </w:rPr>
            </w:pPr>
            <w:r>
              <w:rPr>
                <w:rFonts w:ascii="Arial" w:cs="Arial" w:eastAsia="Arial" w:hAnsi="Arial"/>
                <w:sz w:val="14"/>
                <w:szCs w:val="14"/>
                <w:b w:val="1"/>
                <w:bCs w:val="1"/>
                <w:color w:val="auto"/>
              </w:rPr>
              <w:t>California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tcPr>
          <w:p>
            <w:pPr>
              <w:jc w:val="right"/>
              <w:ind w:right="1508"/>
              <w:spacing w:after="0"/>
              <w:rPr>
                <w:sz w:val="20"/>
                <w:szCs w:val="20"/>
                <w:color w:val="auto"/>
              </w:rPr>
            </w:pPr>
            <w:r>
              <w:rPr>
                <w:rFonts w:ascii="Arial" w:cs="Arial" w:eastAsia="Arial" w:hAnsi="Arial"/>
                <w:sz w:val="14"/>
                <w:szCs w:val="14"/>
                <w:b w:val="1"/>
                <w:bCs w:val="1"/>
                <w:color w:val="auto"/>
              </w:rPr>
              <w:t>92081</w:t>
            </w:r>
          </w:p>
        </w:tc>
      </w:tr>
      <w:tr>
        <w:trPr>
          <w:trHeight w:val="216"/>
        </w:trPr>
        <w:tc>
          <w:tcPr>
            <w:tcW w:w="440" w:type="dxa"/>
            <w:vAlign w:val="bottom"/>
          </w:tcPr>
          <w:p>
            <w:pPr>
              <w:spacing w:after="0"/>
              <w:rPr>
                <w:sz w:val="18"/>
                <w:szCs w:val="18"/>
                <w:color w:val="auto"/>
              </w:rPr>
            </w:pPr>
          </w:p>
        </w:tc>
        <w:tc>
          <w:tcPr>
            <w:tcW w:w="362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(Address of Principal Executive Offices)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594"/>
        </w:trPr>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4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(760) 560-1501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680" w:type="dxa"/>
            <w:vAlign w:val="bottom"/>
            <w:gridSpan w:val="7"/>
          </w:tcPr>
          <w:p>
            <w:pPr>
              <w:jc w:val="center"/>
              <w:ind w:right="2528"/>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70"/>
        </w:trPr>
        <w:tc>
          <w:tcPr>
            <w:tcW w:w="4060" w:type="dxa"/>
            <w:vAlign w:val="bottom"/>
            <w:gridSpan w:val="3"/>
          </w:tcPr>
          <w:p>
            <w:pPr>
              <w:jc w:val="right"/>
              <w:ind w:right="348"/>
              <w:spacing w:after="0"/>
              <w:rPr>
                <w:sz w:val="20"/>
                <w:szCs w:val="20"/>
                <w:color w:val="auto"/>
              </w:rPr>
            </w:pPr>
            <w:r>
              <w:rPr>
                <w:rFonts w:ascii="Arial" w:cs="Arial" w:eastAsia="Arial" w:hAnsi="Arial"/>
                <w:sz w:val="14"/>
                <w:szCs w:val="14"/>
                <w:color w:val="auto"/>
              </w:rPr>
              <w:t>Securities registered pursuant to Section 12(b) of the Act: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249"/>
        </w:trPr>
        <w:tc>
          <w:tcPr>
            <w:tcW w:w="440" w:type="dxa"/>
            <w:vAlign w:val="bottom"/>
          </w:tcPr>
          <w:p>
            <w:pPr>
              <w:spacing w:after="0"/>
              <w:rPr>
                <w:sz w:val="21"/>
                <w:szCs w:val="21"/>
                <w:color w:val="auto"/>
              </w:rPr>
            </w:pPr>
          </w:p>
        </w:tc>
        <w:tc>
          <w:tcPr>
            <w:tcW w:w="25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 of each class</w:t>
            </w:r>
          </w:p>
        </w:tc>
        <w:tc>
          <w:tcPr>
            <w:tcW w:w="10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40" w:type="dxa"/>
            <w:vAlign w:val="bottom"/>
          </w:tcPr>
          <w:p>
            <w:pPr>
              <w:spacing w:after="0"/>
              <w:rPr>
                <w:sz w:val="17"/>
                <w:szCs w:val="17"/>
                <w:color w:val="auto"/>
              </w:rPr>
            </w:pPr>
          </w:p>
        </w:tc>
        <w:tc>
          <w:tcPr>
            <w:tcW w:w="36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Common Stock, par value $0.001 per share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XGN</w:t>
            </w:r>
          </w:p>
        </w:tc>
        <w:tc>
          <w:tcPr>
            <w:tcW w:w="3540" w:type="dxa"/>
            <w:vAlign w:val="bottom"/>
          </w:tcPr>
          <w:p>
            <w:pPr>
              <w:jc w:val="center"/>
              <w:ind w:right="16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179"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10" w:lineRule="exact"/>
        <w:rPr>
          <w:sz w:val="24"/>
          <w:szCs w:val="24"/>
          <w:color w:val="auto"/>
        </w:rPr>
      </w:pPr>
    </w:p>
    <w:tbl>
      <w:tblPr>
        <w:tblLayout w:type="fixed"/>
        <w:tblInd w:w="48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19"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right="320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May 8, 2020 was 12,640,217.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8500" w:type="dxa"/>
            <w:vAlign w:val="bottom"/>
            <w:gridSpan w:val="3"/>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56"/>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5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Financial Statements (unaudited)</w:t>
              </w:r>
            </w:hyperlink>
          </w:p>
        </w:tc>
        <w:tc>
          <w:tcPr>
            <w:tcW w:w="98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Balance Sheets as of March 31, 2020 and December 31, 2019</w:t>
              </w:r>
            </w:hyperlink>
          </w:p>
        </w:tc>
        <w:tc>
          <w:tcPr>
            <w:tcW w:w="98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85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Statements of Operations for the Three Months ended March 31, 2020 and 2019</w:t>
              </w:r>
            </w:hyperlink>
          </w:p>
        </w:tc>
        <w:tc>
          <w:tcPr>
            <w:tcW w:w="98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189"/>
        </w:trPr>
        <w:tc>
          <w:tcPr>
            <w:tcW w:w="8500" w:type="dxa"/>
            <w:vAlign w:val="bottom"/>
            <w:gridSpan w:val="3"/>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Statements of Redeemable Convertible Preferred Stock and Stockholders' Equity (Deficit) for</w:t>
              </w:r>
            </w:hyperlink>
          </w:p>
        </w:tc>
        <w:tc>
          <w:tcPr>
            <w:tcW w:w="980" w:type="dxa"/>
            <w:vAlign w:val="bottom"/>
            <w:vMerge w:val="restart"/>
          </w:tcPr>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6"/>
        </w:trPr>
        <w:tc>
          <w:tcPr>
            <w:tcW w:w="4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the Three Months ended March 31, 2020 and 2019</w:t>
              </w:r>
            </w:hyperlink>
          </w:p>
        </w:tc>
        <w:tc>
          <w:tcPr>
            <w:tcW w:w="43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50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Statements of Cash Flows for the Three Months ended March 31, 2020 and 2019</w:t>
              </w:r>
            </w:hyperlink>
          </w:p>
        </w:tc>
        <w:tc>
          <w:tcPr>
            <w:tcW w:w="980" w:type="dxa"/>
            <w:vAlign w:val="bottom"/>
          </w:tcPr>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Unaudited Condensed Financial Statements</w:t>
              </w:r>
            </w:hyperlink>
          </w:p>
        </w:tc>
        <w:tc>
          <w:tcPr>
            <w:tcW w:w="980" w:type="dxa"/>
            <w:vAlign w:val="bottom"/>
          </w:tcPr>
          <w:p>
            <w:pPr>
              <w:ind w:left="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ind w:left="14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18</w:t>
              </w:r>
            </w:hyperlink>
          </w:p>
        </w:tc>
        <w:tc>
          <w:tcPr>
            <w:tcW w:w="0" w:type="dxa"/>
            <w:vAlign w:val="bottom"/>
          </w:tcPr>
          <w:p>
            <w:pPr>
              <w:spacing w:after="0"/>
              <w:rPr>
                <w:sz w:val="1"/>
                <w:szCs w:val="1"/>
                <w:color w:val="auto"/>
              </w:rPr>
            </w:pPr>
          </w:p>
        </w:tc>
      </w:tr>
      <w:tr>
        <w:trPr>
          <w:trHeight w:val="256"/>
        </w:trPr>
        <w:tc>
          <w:tcPr>
            <w:tcW w:w="850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ind w:left="1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Controls and Procedures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500"/>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0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56"/>
        </w:trPr>
        <w:tc>
          <w:tcPr>
            <w:tcW w:w="850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Risk Factors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Unregistered Sales of Equity Securities and Use of Proceeds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Defaults Upon Senior Securities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Mine Safety Disclosures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256"/>
        </w:trPr>
        <w:tc>
          <w:tcPr>
            <w:tcW w:w="850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Other Information</w:t>
              </w:r>
            </w:hyperlink>
          </w:p>
        </w:tc>
        <w:tc>
          <w:tcPr>
            <w:tcW w:w="98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Exhibits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Signatures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1320165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80" w:space="640"/>
            <w:col w:w="9480"/>
          </w:cols>
          <w:pgMar w:left="340" w:top="886" w:right="7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68,648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72,084</w:t>
            </w:r>
          </w:p>
        </w:tc>
        <w:tc>
          <w:tcPr>
            <w:tcW w:w="0" w:type="dxa"/>
            <w:vAlign w:val="bottom"/>
          </w:tcPr>
          <w:p>
            <w:pPr>
              <w:spacing w:after="0"/>
              <w:rPr>
                <w:sz w:val="1"/>
                <w:szCs w:val="1"/>
                <w:color w:val="auto"/>
              </w:rPr>
            </w:pPr>
          </w:p>
        </w:tc>
      </w:tr>
      <w:tr>
        <w:trPr>
          <w:trHeight w:val="210"/>
        </w:trPr>
        <w:tc>
          <w:tcPr>
            <w:tcW w:w="860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203"/>
        </w:trPr>
        <w:tc>
          <w:tcPr>
            <w:tcW w:w="860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77,575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81,250</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3"/>
        </w:trPr>
        <w:tc>
          <w:tcPr>
            <w:tcW w:w="860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84,644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4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32,651</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60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at March 31, 2020 and</w:t>
            </w:r>
          </w:p>
        </w:tc>
        <w:tc>
          <w:tcPr>
            <w:tcW w:w="140" w:type="dxa"/>
            <w:vAlign w:val="bottom"/>
          </w:tcPr>
          <w:p>
            <w:pPr>
              <w:spacing w:after="0"/>
              <w:rPr>
                <w:sz w:val="13"/>
                <w:szCs w:val="13"/>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600" w:type="dxa"/>
            <w:vAlign w:val="bottom"/>
          </w:tcPr>
          <w:p>
            <w:pPr>
              <w:ind w:left="360"/>
              <w:spacing w:after="0"/>
              <w:rPr>
                <w:sz w:val="20"/>
                <w:szCs w:val="20"/>
                <w:color w:val="auto"/>
              </w:rPr>
            </w:pPr>
            <w:r>
              <w:rPr>
                <w:rFonts w:ascii="Arial" w:cs="Arial" w:eastAsia="Arial" w:hAnsi="Arial"/>
                <w:sz w:val="14"/>
                <w:szCs w:val="14"/>
                <w:color w:val="auto"/>
              </w:rPr>
              <w:t>December 31, 2019</w:t>
            </w: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60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March 31, 2020 (unaudited) and December 31, 2019;</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60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12,627,056 and 12,560,990 shares issued and outstanding at March 31, 2020 (unaudited) and December 31, 2019,</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respectively</w:t>
            </w: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220,689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220,248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(170,165)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(164,602)</w:t>
            </w:r>
          </w:p>
        </w:tc>
        <w:tc>
          <w:tcPr>
            <w:tcW w:w="0" w:type="dxa"/>
            <w:vAlign w:val="bottom"/>
          </w:tcPr>
          <w:p>
            <w:pPr>
              <w:spacing w:after="0"/>
              <w:rPr>
                <w:sz w:val="1"/>
                <w:szCs w:val="1"/>
                <w:color w:val="auto"/>
              </w:rPr>
            </w:pPr>
          </w:p>
        </w:tc>
      </w:tr>
      <w:tr>
        <w:trPr>
          <w:trHeight w:val="204"/>
        </w:trPr>
        <w:tc>
          <w:tcPr>
            <w:tcW w:w="86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50,537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3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84,644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8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8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9,260</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10"/>
        </w:trPr>
        <w:tc>
          <w:tcPr>
            <w:tcW w:w="838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6,179</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3"/>
        </w:trPr>
        <w:tc>
          <w:tcPr>
            <w:tcW w:w="83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11,134</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3"/>
        </w:trPr>
        <w:tc>
          <w:tcPr>
            <w:tcW w:w="83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(5,681)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8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22"/>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203"/>
        </w:trPr>
        <w:tc>
          <w:tcPr>
            <w:tcW w:w="838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 (Note 2)</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(5,563)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(4,818)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 (Note 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12,595,715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63,016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Unaudited Condensed Statements of Redeemable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168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Additional</w:t>
            </w: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80"/>
              <w:spacing w:after="0" w:line="120" w:lineRule="exact"/>
              <w:rPr>
                <w:sz w:val="20"/>
                <w:szCs w:val="20"/>
                <w:color w:val="auto"/>
              </w:rPr>
            </w:pPr>
            <w:r>
              <w:rPr>
                <w:rFonts w:ascii="Arial" w:cs="Arial" w:eastAsia="Arial" w:hAnsi="Arial"/>
                <w:sz w:val="11"/>
                <w:szCs w:val="11"/>
                <w:b w:val="1"/>
                <w:bCs w:val="1"/>
                <w:color w:val="auto"/>
                <w:w w:val="98"/>
              </w:rPr>
              <w:t>Paid-In</w:t>
            </w:r>
          </w:p>
        </w:tc>
        <w:tc>
          <w:tcPr>
            <w:tcW w:w="300" w:type="dxa"/>
            <w:vAlign w:val="bottom"/>
          </w:tcPr>
          <w:p>
            <w:pPr>
              <w:spacing w:after="0"/>
              <w:rPr>
                <w:sz w:val="4"/>
                <w:szCs w:val="4"/>
                <w:color w:val="auto"/>
              </w:rPr>
            </w:pPr>
          </w:p>
        </w:tc>
        <w:tc>
          <w:tcPr>
            <w:tcW w:w="1520" w:type="dxa"/>
            <w:vAlign w:val="bottom"/>
            <w:gridSpan w:val="2"/>
            <w:vMerge w:val="restart"/>
          </w:tcPr>
          <w:p>
            <w:pPr>
              <w:jc w:val="center"/>
              <w:ind w:right="440"/>
              <w:spacing w:after="0" w:line="120" w:lineRule="exact"/>
              <w:rPr>
                <w:sz w:val="20"/>
                <w:szCs w:val="20"/>
                <w:color w:val="auto"/>
              </w:rPr>
            </w:pPr>
            <w:r>
              <w:rPr>
                <w:rFonts w:ascii="Arial" w:cs="Arial" w:eastAsia="Arial" w:hAnsi="Arial"/>
                <w:sz w:val="11"/>
                <w:szCs w:val="11"/>
                <w:b w:val="1"/>
                <w:bCs w:val="1"/>
                <w:color w:val="auto"/>
                <w:w w:val="98"/>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4"/>
              <w:spacing w:after="0" w:line="120"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46"/>
        </w:trPr>
        <w:tc>
          <w:tcPr>
            <w:tcW w:w="3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8"/>
              </w:rPr>
              <w:t>Capital</w:t>
            </w:r>
          </w:p>
        </w:tc>
        <w:tc>
          <w:tcPr>
            <w:tcW w:w="300" w:type="dxa"/>
            <w:vAlign w:val="bottom"/>
          </w:tcPr>
          <w:p>
            <w:pPr>
              <w:spacing w:after="0"/>
              <w:rPr>
                <w:sz w:val="12"/>
                <w:szCs w:val="12"/>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Deficit</w:t>
            </w:r>
          </w:p>
        </w:tc>
        <w:tc>
          <w:tcPr>
            <w:tcW w:w="280" w:type="dxa"/>
            <w:vAlign w:val="bottom"/>
          </w:tcPr>
          <w:p>
            <w:pPr>
              <w:spacing w:after="0"/>
              <w:rPr>
                <w:sz w:val="12"/>
                <w:szCs w:val="12"/>
                <w:color w:val="auto"/>
              </w:rPr>
            </w:pPr>
          </w:p>
        </w:tc>
        <w:tc>
          <w:tcPr>
            <w:tcW w:w="1360" w:type="dxa"/>
            <w:vAlign w:val="bottom"/>
          </w:tcPr>
          <w:p>
            <w:pPr>
              <w:jc w:val="center"/>
              <w:ind w:right="214"/>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37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4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12,560,990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220,248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(164,602)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10"/>
        </w:trPr>
        <w:tc>
          <w:tcPr>
            <w:tcW w:w="374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1400" w:type="dxa"/>
            <w:vAlign w:val="bottom"/>
          </w:tcPr>
          <w:p>
            <w:pPr>
              <w:jc w:val="right"/>
              <w:ind w:right="73"/>
              <w:spacing w:after="0"/>
              <w:rPr>
                <w:sz w:val="20"/>
                <w:szCs w:val="20"/>
                <w:color w:val="auto"/>
              </w:rPr>
            </w:pPr>
            <w:r>
              <w:rPr>
                <w:rFonts w:ascii="Arial" w:cs="Arial" w:eastAsia="Arial" w:hAnsi="Arial"/>
                <w:sz w:val="14"/>
                <w:szCs w:val="14"/>
                <w:color w:val="auto"/>
              </w:rPr>
              <w:t>43,700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360" w:type="dxa"/>
            <w:vAlign w:val="bottom"/>
          </w:tcPr>
          <w:p>
            <w:pPr>
              <w:jc w:val="right"/>
              <w:ind w:right="74"/>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2"/>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10"/>
        </w:trPr>
        <w:tc>
          <w:tcPr>
            <w:tcW w:w="3740" w:type="dxa"/>
            <w:vAlign w:val="bottom"/>
          </w:tcPr>
          <w:p>
            <w:pPr>
              <w:ind w:left="340"/>
              <w:spacing w:after="0"/>
              <w:rPr>
                <w:sz w:val="20"/>
                <w:szCs w:val="20"/>
                <w:color w:val="auto"/>
              </w:rPr>
            </w:pPr>
            <w:r>
              <w:rPr>
                <w:rFonts w:ascii="Arial" w:cs="Arial" w:eastAsia="Arial" w:hAnsi="Arial"/>
                <w:sz w:val="14"/>
                <w:szCs w:val="14"/>
                <w:color w:val="auto"/>
              </w:rPr>
              <w:t>Net exercise of common stock warrants</w:t>
            </w:r>
          </w:p>
        </w:tc>
        <w:tc>
          <w:tcPr>
            <w:tcW w:w="1400" w:type="dxa"/>
            <w:vAlign w:val="bottom"/>
          </w:tcPr>
          <w:p>
            <w:pPr>
              <w:jc w:val="right"/>
              <w:ind w:right="73"/>
              <w:spacing w:after="0"/>
              <w:rPr>
                <w:sz w:val="20"/>
                <w:szCs w:val="20"/>
                <w:color w:val="auto"/>
              </w:rPr>
            </w:pPr>
            <w:r>
              <w:rPr>
                <w:rFonts w:ascii="Arial" w:cs="Arial" w:eastAsia="Arial" w:hAnsi="Arial"/>
                <w:sz w:val="14"/>
                <w:szCs w:val="14"/>
                <w:color w:val="auto"/>
              </w:rPr>
              <w:t>22,366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36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14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12,627,056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220,689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(170,165)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50,537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Balances at December 31, 2018</w:t>
      </w:r>
    </w:p>
    <w:p>
      <w:pPr>
        <w:spacing w:after="0" w:line="73" w:lineRule="exact"/>
        <w:rPr>
          <w:sz w:val="20"/>
          <w:szCs w:val="20"/>
          <w:color w:val="auto"/>
        </w:rPr>
      </w:pPr>
    </w:p>
    <w:p>
      <w:pPr>
        <w:ind w:left="360" w:right="220"/>
        <w:spacing w:after="0" w:line="229" w:lineRule="auto"/>
        <w:rPr>
          <w:sz w:val="20"/>
          <w:szCs w:val="20"/>
          <w:color w:val="auto"/>
        </w:rPr>
      </w:pPr>
      <w:r>
        <w:rPr>
          <w:rFonts w:ascii="Arial" w:cs="Arial" w:eastAsia="Arial" w:hAnsi="Arial"/>
          <w:sz w:val="14"/>
          <w:szCs w:val="14"/>
          <w:color w:val="auto"/>
        </w:rPr>
        <w:t>Accretion of redeemable convertible preferred stock</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Exercise of stock options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360"/>
        <w:spacing w:after="0" w:line="219" w:lineRule="auto"/>
        <w:rPr>
          <w:sz w:val="20"/>
          <w:szCs w:val="20"/>
          <w:color w:val="auto"/>
        </w:rPr>
      </w:pPr>
      <w:r>
        <w:rPr>
          <w:rFonts w:ascii="Arial" w:cs="Arial" w:eastAsia="Arial" w:hAnsi="Arial"/>
          <w:sz w:val="14"/>
          <w:szCs w:val="14"/>
          <w:color w:val="auto"/>
        </w:rPr>
        <w:t>Issuance of Series G redeemable convertible preferred stock for aggregate proceeds of $0.078 per share, net of issuance costs of $96 (Note 7)</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loss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Balances at March 31, 2019</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color w:val="auto"/>
        </w:rPr>
        <w:t>Redeemable</w:t>
      </w:r>
    </w:p>
    <w:p>
      <w:pPr>
        <w:spacing w:after="0" w:line="2"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color w:val="auto"/>
        </w:rPr>
        <w:t>Convertible</w:t>
      </w:r>
    </w:p>
    <w:p>
      <w:pPr>
        <w:jc w:val="center"/>
        <w:ind w:right="260"/>
        <w:spacing w:after="0"/>
        <w:rPr>
          <w:sz w:val="20"/>
          <w:szCs w:val="20"/>
          <w:color w:val="auto"/>
        </w:rPr>
      </w:pPr>
      <w:r>
        <w:rPr>
          <w:rFonts w:ascii="Arial" w:cs="Arial" w:eastAsia="Arial" w:hAnsi="Arial"/>
          <w:sz w:val="11"/>
          <w:szCs w:val="11"/>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15875</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58" w:lineRule="exact"/>
        <w:rPr>
          <w:sz w:val="20"/>
          <w:szCs w:val="20"/>
          <w:color w:val="auto"/>
        </w:rPr>
      </w:pPr>
    </w:p>
    <w:p>
      <w:pPr>
        <w:ind w:left="80"/>
        <w:spacing w:after="0"/>
        <w:tabs>
          <w:tab w:leader="none" w:pos="1260" w:val="left"/>
        </w:tabs>
        <w:rPr>
          <w:sz w:val="20"/>
          <w:szCs w:val="20"/>
          <w:color w:val="auto"/>
        </w:rPr>
      </w:pPr>
      <w:r>
        <w:rPr>
          <w:rFonts w:ascii="Arial" w:cs="Arial" w:eastAsia="Arial" w:hAnsi="Arial"/>
          <w:sz w:val="11"/>
          <w:szCs w:val="11"/>
          <w:b w:val="1"/>
          <w:bCs w:val="1"/>
          <w:color w:val="auto"/>
        </w:rPr>
        <w:t>Shares</w:t>
      </w:r>
      <w:r>
        <w:rPr>
          <w:sz w:val="20"/>
          <w:szCs w:val="20"/>
          <w:color w:val="auto"/>
        </w:rPr>
        <w:tab/>
      </w:r>
      <w:r>
        <w:rPr>
          <w:rFonts w:ascii="Arial" w:cs="Arial" w:eastAsia="Arial" w:hAnsi="Arial"/>
          <w:sz w:val="11"/>
          <w:szCs w:val="11"/>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23495</wp:posOffset>
            </wp:positionV>
            <wp:extent cx="707199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63"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532,606,084</w:t>
      </w:r>
      <w:r>
        <w:rPr>
          <w:sz w:val="20"/>
          <w:szCs w:val="20"/>
          <w:color w:val="auto"/>
        </w:rPr>
        <w:tab/>
      </w:r>
      <w:r>
        <w:rPr>
          <w:rFonts w:ascii="Arial" w:cs="Arial" w:eastAsia="Arial" w:hAnsi="Arial"/>
          <w:sz w:val="14"/>
          <w:szCs w:val="14"/>
          <w:color w:val="auto"/>
        </w:rPr>
        <w:t>$  105,232</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—2,114</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-259080</wp:posOffset>
            </wp:positionV>
            <wp:extent cx="707199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14605</wp:posOffset>
            </wp:positionV>
            <wp:extent cx="707199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278"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4"/>
          <w:szCs w:val="14"/>
          <w:color w:val="auto"/>
        </w:rPr>
        <w:t>97,646,289</w:t>
      </w:r>
      <w:r>
        <w:rPr>
          <w:sz w:val="20"/>
          <w:szCs w:val="20"/>
          <w:color w:val="auto"/>
        </w:rPr>
        <w:tab/>
      </w:r>
      <w:r>
        <w:rPr>
          <w:rFonts w:ascii="Arial" w:cs="Arial" w:eastAsia="Arial" w:hAnsi="Arial"/>
          <w:sz w:val="14"/>
          <w:szCs w:val="14"/>
          <w:color w:val="auto"/>
        </w:rPr>
        <w:t>7,520</w:t>
      </w:r>
    </w:p>
    <w:p>
      <w:pPr>
        <w:spacing w:after="0" w:line="55" w:lineRule="exact"/>
        <w:rPr>
          <w:sz w:val="20"/>
          <w:szCs w:val="20"/>
          <w:color w:val="auto"/>
        </w:rPr>
      </w:pPr>
    </w:p>
    <w:p>
      <w:pPr>
        <w:jc w:val="both"/>
        <w:ind w:left="660"/>
        <w:spacing w:after="0"/>
        <w:tabs>
          <w:tab w:leader="none" w:pos="1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14605</wp:posOffset>
            </wp:positionV>
            <wp:extent cx="707199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49"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630,252,373</w:t>
      </w:r>
      <w:r>
        <w:rPr>
          <w:sz w:val="20"/>
          <w:szCs w:val="20"/>
          <w:color w:val="auto"/>
        </w:rPr>
        <w:tab/>
      </w:r>
      <w:r>
        <w:rPr>
          <w:rFonts w:ascii="Arial" w:cs="Arial" w:eastAsia="Arial" w:hAnsi="Arial"/>
          <w:sz w:val="14"/>
          <w:szCs w:val="14"/>
          <w:color w:val="auto"/>
        </w:rPr>
        <w:t>$  114,866</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64"/>
        </w:trPr>
        <w:tc>
          <w:tcPr>
            <w:tcW w:w="1360" w:type="dxa"/>
            <w:vAlign w:val="bottom"/>
            <w:tcBorders>
              <w:left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6"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4"/>
                <w:szCs w:val="4"/>
                <w:color w:val="auto"/>
              </w:rPr>
            </w:pPr>
          </w:p>
        </w:tc>
        <w:tc>
          <w:tcPr>
            <w:tcW w:w="960" w:type="dxa"/>
            <w:vAlign w:val="bottom"/>
            <w:gridSpan w:val="2"/>
            <w:vMerge w:val="restart"/>
          </w:tcPr>
          <w:p>
            <w:pPr>
              <w:jc w:val="right"/>
              <w:ind w:right="260"/>
              <w:spacing w:after="0" w:line="106"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4"/>
                <w:szCs w:val="4"/>
                <w:color w:val="auto"/>
              </w:rPr>
            </w:pPr>
          </w:p>
        </w:tc>
        <w:tc>
          <w:tcPr>
            <w:tcW w:w="880" w:type="dxa"/>
            <w:vAlign w:val="bottom"/>
            <w:vMerge w:val="restart"/>
          </w:tcPr>
          <w:p>
            <w:pPr>
              <w:jc w:val="center"/>
              <w:ind w:right="33"/>
              <w:spacing w:after="0" w:line="106"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32"/>
        </w:trPr>
        <w:tc>
          <w:tcPr>
            <w:tcW w:w="11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left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96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880" w:type="dxa"/>
            <w:vAlign w:val="bottom"/>
          </w:tcPr>
          <w:p>
            <w:pPr>
              <w:jc w:val="center"/>
              <w:ind w:right="33"/>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22"/>
        </w:trPr>
        <w:tc>
          <w:tcPr>
            <w:tcW w:w="116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tcBorders>
          </w:tcPr>
          <w:p>
            <w:pPr>
              <w:jc w:val="right"/>
              <w:ind w:right="92"/>
              <w:spacing w:after="0"/>
              <w:rPr>
                <w:sz w:val="20"/>
                <w:szCs w:val="20"/>
                <w:color w:val="auto"/>
              </w:rPr>
            </w:pPr>
            <w:r>
              <w:rPr>
                <w:rFonts w:ascii="Arial" w:cs="Arial" w:eastAsia="Arial" w:hAnsi="Arial"/>
                <w:sz w:val="14"/>
                <w:szCs w:val="14"/>
                <w:color w:val="auto"/>
              </w:rPr>
              <w:t>63,005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40,598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(152,564)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324"/>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jc w:val="right"/>
              <w:ind w:right="92"/>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459"/>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160" w:type="dxa"/>
            <w:vAlign w:val="bottom"/>
            <w:tcBorders>
              <w:left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(2,704)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jc w:val="right"/>
              <w:ind w:right="92"/>
              <w:spacing w:after="0"/>
              <w:rPr>
                <w:sz w:val="20"/>
                <w:szCs w:val="20"/>
                <w:color w:val="auto"/>
              </w:rPr>
            </w:pPr>
            <w:r>
              <w:rPr>
                <w:rFonts w:ascii="Arial" w:cs="Arial" w:eastAsia="Arial" w:hAnsi="Arial"/>
                <w:sz w:val="14"/>
                <w:szCs w:val="14"/>
                <w:color w:val="auto"/>
              </w:rPr>
              <w:t>63,029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38,496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(155,268)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(116,772)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480" w:space="580"/>
            <w:col w:w="1760" w:space="260"/>
            <w:col w:w="5160"/>
          </w:cols>
          <w:pgMar w:left="320" w:top="886" w:right="3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8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202"/>
        </w:trPr>
        <w:tc>
          <w:tcPr>
            <w:tcW w:w="8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(5,563)</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(2,704)</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0"/>
        </w:trPr>
        <w:tc>
          <w:tcPr>
            <w:tcW w:w="890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182</w:t>
            </w:r>
          </w:p>
        </w:tc>
      </w:tr>
      <w:tr>
        <w:trPr>
          <w:trHeight w:val="222"/>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w:t>
            </w:r>
          </w:p>
        </w:tc>
      </w:tr>
      <w:tr>
        <w:trPr>
          <w:trHeight w:val="210"/>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1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159</w:t>
            </w:r>
          </w:p>
        </w:tc>
      </w:tr>
      <w:tr>
        <w:trPr>
          <w:trHeight w:val="222"/>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900" w:type="dxa"/>
            <w:vAlign w:val="bottom"/>
          </w:tcPr>
          <w:p>
            <w:pPr>
              <w:ind w:left="340"/>
              <w:spacing w:after="0"/>
              <w:rPr>
                <w:sz w:val="20"/>
                <w:szCs w:val="20"/>
                <w:color w:val="auto"/>
              </w:rPr>
            </w:pPr>
            <w:r>
              <w:rPr>
                <w:rFonts w:ascii="Arial" w:cs="Arial" w:eastAsia="Arial" w:hAnsi="Arial"/>
                <w:sz w:val="14"/>
                <w:szCs w:val="14"/>
                <w:color w:val="auto"/>
              </w:rPr>
              <w:t>Loss on disposal of assets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22"/>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r>
      <w:tr>
        <w:trPr>
          <w:trHeight w:val="210"/>
        </w:trPr>
        <w:tc>
          <w:tcPr>
            <w:tcW w:w="8900" w:type="dxa"/>
            <w:vAlign w:val="bottom"/>
          </w:tcPr>
          <w:p>
            <w:pPr>
              <w:ind w:left="340"/>
              <w:spacing w:after="0"/>
              <w:rPr>
                <w:sz w:val="20"/>
                <w:szCs w:val="20"/>
                <w:color w:val="auto"/>
              </w:rPr>
            </w:pPr>
            <w:r>
              <w:rPr>
                <w:rFonts w:ascii="Arial" w:cs="Arial" w:eastAsia="Arial" w:hAnsi="Arial"/>
                <w:sz w:val="14"/>
                <w:szCs w:val="14"/>
                <w:color w:val="auto"/>
              </w:rPr>
              <w:t>Changes in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8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r>
      <w:tr>
        <w:trPr>
          <w:trHeight w:val="210"/>
        </w:trPr>
        <w:tc>
          <w:tcPr>
            <w:tcW w:w="8900" w:type="dxa"/>
            <w:vAlign w:val="bottom"/>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378</w:t>
            </w:r>
          </w:p>
        </w:tc>
      </w:tr>
      <w:tr>
        <w:trPr>
          <w:trHeight w:val="222"/>
        </w:trPr>
        <w:tc>
          <w:tcPr>
            <w:tcW w:w="8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90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145</w:t>
            </w:r>
          </w:p>
        </w:tc>
      </w:tr>
      <w:tr>
        <w:trPr>
          <w:trHeight w:val="222"/>
        </w:trPr>
        <w:tc>
          <w:tcPr>
            <w:tcW w:w="8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and 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160</w:t>
            </w:r>
          </w:p>
        </w:tc>
      </w:tr>
      <w:tr>
        <w:trPr>
          <w:trHeight w:val="203"/>
        </w:trPr>
        <w:tc>
          <w:tcPr>
            <w:tcW w:w="8900" w:type="dxa"/>
            <w:vAlign w:val="bottom"/>
          </w:tcPr>
          <w:p>
            <w:pPr>
              <w:ind w:left="34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(1,950)</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r>
      <w:tr>
        <w:trPr>
          <w:trHeight w:val="216"/>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common stock upon exercise of stock options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Principal payment on capital lease obligations</w:t>
            </w:r>
          </w:p>
        </w:tc>
        <w:tc>
          <w:tcPr>
            <w:tcW w:w="1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Series G redeemable convertible preferred stock, net of issuance costs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3,770</w:t>
            </w: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Payments of deferred offering costs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(274)</w:t>
            </w:r>
          </w:p>
        </w:tc>
      </w:tr>
      <w:tr>
        <w:trPr>
          <w:trHeight w:val="215"/>
        </w:trPr>
        <w:tc>
          <w:tcPr>
            <w:tcW w:w="8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3,476</w:t>
            </w:r>
          </w:p>
        </w:tc>
      </w:tr>
      <w:tr>
        <w:trPr>
          <w:trHeight w:val="203"/>
        </w:trPr>
        <w:tc>
          <w:tcPr>
            <w:tcW w:w="89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1,163</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72,184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13,264</w:t>
            </w:r>
          </w:p>
        </w:tc>
      </w:tr>
      <w:tr>
        <w:trPr>
          <w:trHeight w:val="204"/>
        </w:trPr>
        <w:tc>
          <w:tcPr>
            <w:tcW w:w="89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68,748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14,427</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Cash paid for interest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502</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Accretion to redemption value of redeemable convertible preferred stock</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2,114</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w:t>
            </w: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included in 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4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suffered recurring losses and negative cash flows from operating activities since inception. The Company anticipates that it will continue to incur net losses into the foreseeable future. At March 31, 2020, the Company had cash and cash equivalents of $68.6 million and had an accumulated deficit of $170.2 million, respectively. Since inception, the Company has financed its operations primarily through private placements of preferred securities, the sale of common stock through its initial public offering (IPO) and debt financing arrangements. Based on the Company's current business plan, management believes that its existing capital resources will be sufficient to fund the Company's obligations for at least twelve months following the issuance of these financial statements.</w:t>
      </w:r>
    </w:p>
    <w:p>
      <w:pPr>
        <w:spacing w:after="0" w:line="20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accompanying interim condensed balance sheet as of March 31, 2020, the condensed statements of operations and the condensed statements of redeemable convertible preferred stock and stockholders' equity (deficit) for the three months ended March 31, 2020 and 2019 and cash flows for the three months ended March 31, 2020 and 2019 and the related footnote disclosure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adjustments, which include only normal recurring adjustments, necessary for the fair presentation of the Company's financial position as of March 31, 2020 and its results of operations for the three months ended March 31, 2020 and 2019 and cash flows for the three months ended March 31,</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2020 and 2019 in accordance with GAAP. The results for the three months ended March 31, 2020 are not necessarily indicative of the results expected for the full fiscal year or any other interim period. The year-end condensed balance sheet data was derived from audited financial statements, but does not include all disclosures required by accounting principles generally accepted in the United States of America. These unaudited condensed financial statements should be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7" w:name="page8"/>
    <w:bookmarkEnd w:id="7"/>
    <w:p>
      <w:pPr>
        <w:ind w:right="40"/>
        <w:spacing w:after="0" w:line="261" w:lineRule="auto"/>
        <w:rPr>
          <w:sz w:val="20"/>
          <w:szCs w:val="20"/>
          <w:color w:val="auto"/>
        </w:rPr>
      </w:pPr>
      <w:r>
        <w:rPr>
          <w:rFonts w:ascii="Arial" w:cs="Arial" w:eastAsia="Arial" w:hAnsi="Arial"/>
          <w:sz w:val="18"/>
          <w:szCs w:val="18"/>
          <w:color w:val="auto"/>
        </w:rPr>
        <w:t>read in conjunction with the Company’s audited financial statements for the year ended December 31, 2019, included in its Annual Report on Form 10-K filed with the SEC on March 25, 2020.</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fair value of financial instruments measured at fair value, the recoverability of its long-lived assets (including goodwill), net deferred tax assets (and related valuation allowance), and for periods prior to the IPO, the fair value of the Company's common stock and redeemable convertible preferred stock.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3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Significant payers and customers are those which represent more than 10% of the Company's total revenue or accounts receivable balance at each respective balance sheet date. For each significant payer and customer, revenue as a percentage of total revenue and accounts receivable as a percentage of total accounts receivable are as follows:</w:t>
      </w:r>
    </w:p>
    <w:p>
      <w:pPr>
        <w:spacing w:after="0" w:line="284"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26035</wp:posOffset>
            </wp:positionV>
            <wp:extent cx="2074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0" w:lineRule="exact"/>
        <w:rPr>
          <w:sz w:val="20"/>
          <w:szCs w:val="20"/>
          <w:color w:val="auto"/>
        </w:rPr>
      </w:pPr>
    </w:p>
    <w:p>
      <w:pPr>
        <w:jc w:val="center"/>
        <w:ind w:left="7960"/>
        <w:spacing w:after="0"/>
        <w:rPr>
          <w:sz w:val="20"/>
          <w:szCs w:val="20"/>
          <w:color w:val="auto"/>
        </w:rPr>
      </w:pPr>
      <w:r>
        <w:rPr>
          <w:rFonts w:ascii="Arial" w:cs="Arial" w:eastAsia="Arial" w:hAnsi="Arial"/>
          <w:sz w:val="13"/>
          <w:szCs w:val="13"/>
          <w:b w:val="1"/>
          <w:bCs w:val="1"/>
          <w:color w:val="auto"/>
        </w:rPr>
        <w:t>Three Months Ended</w:t>
      </w:r>
    </w:p>
    <w:p>
      <w:pPr>
        <w:spacing w:after="0" w:line="2" w:lineRule="exact"/>
        <w:rPr>
          <w:sz w:val="20"/>
          <w:szCs w:val="20"/>
          <w:color w:val="auto"/>
        </w:rPr>
      </w:pPr>
    </w:p>
    <w:p>
      <w:pPr>
        <w:jc w:val="center"/>
        <w:ind w:left="796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11430</wp:posOffset>
            </wp:positionV>
            <wp:extent cx="2074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5"/>
                <w:szCs w:val="15"/>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50"/>
        </w:trPr>
        <w:tc>
          <w:tcPr>
            <w:tcW w:w="7980" w:type="dxa"/>
            <w:vAlign w:val="bottom"/>
          </w:tcPr>
          <w:p>
            <w:pPr>
              <w:ind w:left="20"/>
              <w:spacing w:after="0"/>
              <w:rPr>
                <w:sz w:val="20"/>
                <w:szCs w:val="20"/>
                <w:color w:val="auto"/>
              </w:rPr>
            </w:pPr>
            <w:r>
              <w:rPr>
                <w:rFonts w:ascii="Arial" w:cs="Arial" w:eastAsia="Arial" w:hAnsi="Arial"/>
                <w:sz w:val="18"/>
                <w:szCs w:val="18"/>
                <w:color w:val="auto"/>
              </w:rPr>
              <w:t>Blue Shield</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Healthcare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Medicare Advantage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601"/>
        </w:trPr>
        <w:tc>
          <w:tcPr>
            <w:tcW w:w="798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3"/>
                <w:szCs w:val="13"/>
                <w:b w:val="1"/>
                <w:bCs w:val="1"/>
                <w:color w:val="auto"/>
              </w:rPr>
              <w:t>Accounts Receivable</w:t>
            </w:r>
          </w:p>
        </w:tc>
        <w:tc>
          <w:tcPr>
            <w:tcW w:w="200" w:type="dxa"/>
            <w:vAlign w:val="bottom"/>
            <w:tcBorders>
              <w:bottom w:val="single" w:sz="8" w:color="auto"/>
            </w:tcBorders>
          </w:tcPr>
          <w:p>
            <w:pPr>
              <w:spacing w:after="0"/>
              <w:rPr>
                <w:sz w:val="24"/>
                <w:szCs w:val="24"/>
                <w:color w:val="auto"/>
              </w:rPr>
            </w:pPr>
          </w:p>
        </w:tc>
      </w:tr>
      <w:tr>
        <w:trPr>
          <w:trHeight w:val="412"/>
        </w:trPr>
        <w:tc>
          <w:tcPr>
            <w:tcW w:w="7980" w:type="dxa"/>
            <w:vAlign w:val="bottom"/>
          </w:tcPr>
          <w:p>
            <w:pPr>
              <w:spacing w:after="0"/>
              <w:rPr>
                <w:sz w:val="24"/>
                <w:szCs w:val="24"/>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March 31, 2020</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2019</w:t>
            </w:r>
          </w:p>
        </w:tc>
        <w:tc>
          <w:tcPr>
            <w:tcW w:w="200" w:type="dxa"/>
            <w:vAlign w:val="bottom"/>
            <w:tcBorders>
              <w:bottom w:val="single" w:sz="8" w:color="auto"/>
            </w:tcBorders>
          </w:tcPr>
          <w:p>
            <w:pPr>
              <w:spacing w:after="0"/>
              <w:rPr>
                <w:sz w:val="24"/>
                <w:szCs w:val="24"/>
                <w:color w:val="auto"/>
              </w:rPr>
            </w:pPr>
          </w:p>
        </w:tc>
      </w:tr>
      <w:tr>
        <w:trPr>
          <w:trHeight w:val="250"/>
        </w:trPr>
        <w:tc>
          <w:tcPr>
            <w:tcW w:w="7980" w:type="dxa"/>
            <w:vAlign w:val="bottom"/>
          </w:tcPr>
          <w:p>
            <w:pPr>
              <w:ind w:left="20"/>
              <w:spacing w:after="0"/>
              <w:rPr>
                <w:sz w:val="20"/>
                <w:szCs w:val="20"/>
                <w:color w:val="auto"/>
              </w:rPr>
            </w:pPr>
            <w:r>
              <w:rPr>
                <w:rFonts w:ascii="Arial" w:cs="Arial" w:eastAsia="Arial" w:hAnsi="Arial"/>
                <w:sz w:val="18"/>
                <w:szCs w:val="18"/>
                <w:color w:val="auto"/>
              </w:rPr>
              <w:t>United Healthcare</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314"/>
        </w:trPr>
        <w:tc>
          <w:tcPr>
            <w:tcW w:w="7980" w:type="dxa"/>
            <w:vAlign w:val="bottom"/>
          </w:tcPr>
          <w:p>
            <w:pPr>
              <w:ind w:left="20"/>
              <w:spacing w:after="0"/>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634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020" w:hanging="99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45"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For the three months ended March 31, 2020 and 2019, approximately 83%, and 85%,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March 31, 2020 and 2019, approximately 96% and 94%, respectively, of the Company's inventories were purchased from two suppliers. An interruption in the supply of these materials would impact the Company's ability to perform testing services.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payer and customer category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7"/>
                <w:szCs w:val="17"/>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6,062</w:t>
            </w:r>
          </w:p>
        </w:tc>
        <w:tc>
          <w:tcPr>
            <w:tcW w:w="120" w:type="dxa"/>
            <w:vAlign w:val="bottom"/>
          </w:tcPr>
          <w:p>
            <w:pPr>
              <w:spacing w:after="0"/>
              <w:rPr>
                <w:sz w:val="18"/>
                <w:szCs w:val="18"/>
                <w:color w:val="auto"/>
              </w:rPr>
            </w:pP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5,461</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2,432</w:t>
            </w:r>
          </w:p>
        </w:tc>
      </w:tr>
      <w:tr>
        <w:trPr>
          <w:trHeight w:val="210"/>
        </w:trPr>
        <w:tc>
          <w:tcPr>
            <w:tcW w:w="8240" w:type="dxa"/>
            <w:vAlign w:val="bottom"/>
          </w:tcPr>
          <w:p>
            <w:pPr>
              <w:ind w:left="20"/>
              <w:spacing w:after="0"/>
              <w:rPr>
                <w:sz w:val="20"/>
                <w:szCs w:val="20"/>
                <w:color w:val="auto"/>
              </w:rPr>
            </w:pPr>
            <w:r>
              <w:rPr>
                <w:rFonts w:ascii="Arial" w:cs="Arial" w:eastAsia="Arial" w:hAnsi="Arial"/>
                <w:sz w:val="14"/>
                <w:szCs w:val="14"/>
                <w:color w:val="auto"/>
              </w:rPr>
              <w:t>Client</w:t>
            </w:r>
          </w:p>
        </w:tc>
        <w:tc>
          <w:tcPr>
            <w:tcW w:w="90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1,105</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Other(1)</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w:t>
            </w:r>
          </w:p>
        </w:tc>
      </w:tr>
      <w:tr>
        <w:trPr>
          <w:trHeight w:val="216"/>
        </w:trPr>
        <w:tc>
          <w:tcPr>
            <w:tcW w:w="8240" w:type="dxa"/>
            <w:vAlign w:val="bottom"/>
          </w:tcPr>
          <w:p>
            <w:pPr>
              <w:ind w:left="20"/>
              <w:spacing w:after="0"/>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100</w:t>
            </w:r>
          </w:p>
        </w:tc>
      </w:tr>
      <w:tr>
        <w:trPr>
          <w:trHeight w:val="229"/>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4"/>
          <w:szCs w:val="14"/>
          <w:color w:val="auto"/>
        </w:rPr>
        <w:t>(1)</w:t>
        <w:tab/>
        <w:t>Includes patient self-pay that is immaterial</w:t>
      </w:r>
      <w:r>
        <w:rPr>
          <w:rFonts w:ascii="Arial" w:cs="Arial" w:eastAsia="Arial" w:hAnsi="Arial"/>
          <w:sz w:val="17"/>
          <w:szCs w:val="17"/>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carrying value of the Company's cash and cash equivalents, other assets and accrued liabilities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jc w:val="both"/>
        <w:ind w:left="1700" w:right="260" w:hanging="1295"/>
        <w:spacing w:after="0" w:line="256" w:lineRule="auto"/>
        <w:rPr>
          <w:sz w:val="20"/>
          <w:szCs w:val="20"/>
          <w:color w:val="auto"/>
        </w:rPr>
      </w:pPr>
      <w:r>
        <w:rPr>
          <w:rFonts w:ascii="Arial" w:cs="Arial" w:eastAsia="Arial" w:hAnsi="Arial"/>
          <w:sz w:val="18"/>
          <w:szCs w:val="18"/>
          <w:color w:val="auto"/>
        </w:rPr>
        <w:t>Level 2 -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 Unobservable inputs that are supported by little or no market activity for the related assets or liabilities.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9" w:name="page10"/>
    <w:bookmarkEnd w:id="9"/>
    <w:p>
      <w:pPr>
        <w:ind w:right="200"/>
        <w:spacing w:after="0" w:line="261"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7"/>
                <w:szCs w:val="17"/>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68,648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72,084</w:t>
            </w:r>
          </w:p>
        </w:tc>
      </w:tr>
      <w:tr>
        <w:trPr>
          <w:trHeight w:val="25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100</w:t>
            </w:r>
          </w:p>
        </w:tc>
      </w:tr>
      <w:tr>
        <w:trPr>
          <w:trHeight w:val="275"/>
        </w:trPr>
        <w:tc>
          <w:tcPr>
            <w:tcW w:w="7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68,748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72,184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healthcare insurers, government payers (primarily Medicare and Medicaid), client payers (i.e., hospitals, other laboratories, etc.), and patient self-pay. The Company's service is a single performance obligation that is completed upon the delivery of test results to the prescribing physician which triggers revenue recognition.</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Payers are billed at the Company's list price. Net revenues recognized consist of amounts billed net of allowances for differences between amounts billed and the estimated consideration the Company expects to receive from such payers.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The Company's portfolios are grouped per payer (i.e. each individual third-party insurance, Medicare, client payers, patient self-pay, etc.) and per test basis.</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Collection of the Company's net revenues from payers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43"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In December 2018, the Company entered into a co-promotion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(the Janssen Agreement). The Company is responsible for the costs associated with its salesforce over the course of such co-promotion. Janssen is responsible for all other aspects of the commercialization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is entitled to a quarterly tiered promotion fee ranging from $750 to $1,250 per prescription based on the incremental increase in total prescribed units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for that quarter over a predetermined baseline. The promotion fee is determined on a sliding rate, ranging from the high hundreds of dollars to the low one thousands per prescribed unit of SIMPONI</w:t>
      </w:r>
      <w:r>
        <w:rPr>
          <w:rFonts w:ascii="Arial" w:cs="Arial" w:eastAsia="Arial" w:hAnsi="Arial"/>
          <w:sz w:val="21"/>
          <w:szCs w:val="21"/>
          <w:color w:val="auto"/>
          <w:vertAlign w:val="superscript"/>
        </w:rPr>
        <w:t>®</w:t>
      </w:r>
      <w:r>
        <w:rPr>
          <w:rFonts w:ascii="Arial" w:cs="Arial" w:eastAsia="Arial" w:hAnsi="Arial"/>
          <w:sz w:val="18"/>
          <w:szCs w:val="18"/>
          <w:color w:val="auto"/>
        </w:rPr>
        <w:t>, depending on the number of increased prescriptions, and varies per increased prescription. In addition, during the term of the Janssen agreement, the Company is restricted from promoting any other biologic or Janus kinase inhibitor, or JAK inhibitor, used for treatment of indications covered by the agreement without first obtaining Janssen's written consent.</w:t>
      </w:r>
    </w:p>
    <w:p>
      <w:pPr>
        <w:spacing w:after="0" w:line="16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September 2019, the Company exercised its option to extend the term of the Janssen Agreement to December 31, 2021. Janssen may terminate the Janssen Agreement at any time for any reason upon 30 days' notice to the Company, and the Company may terminate the Janssen Agreement for any reason at the end of any calendar quarter upon 30 days' notice to Janssen. Either party may terminate the Janssen Agreement in the event of the other party's default of any of its material obligations under the agreement if such default remains uncured for a specified period of time following receipt of written notice of such default.</w:t>
      </w:r>
    </w:p>
    <w:p>
      <w:pPr>
        <w:spacing w:after="0" w:line="151" w:lineRule="exact"/>
        <w:rPr>
          <w:sz w:val="20"/>
          <w:szCs w:val="20"/>
          <w:color w:val="auto"/>
        </w:rPr>
      </w:pPr>
    </w:p>
    <w:p>
      <w:pPr>
        <w:ind w:right="420"/>
        <w:spacing w:after="0" w:line="231"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series of single performance obligations since Janssen simultaneously receives and consumes benefits provided by the Company's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ind w:right="40"/>
        <w:spacing w:after="0" w:line="237" w:lineRule="auto"/>
        <w:rPr>
          <w:sz w:val="20"/>
          <w:szCs w:val="20"/>
          <w:color w:val="auto"/>
        </w:rPr>
      </w:pPr>
      <w:r>
        <w:rPr>
          <w:rFonts w:ascii="Arial" w:cs="Arial" w:eastAsia="Arial" w:hAnsi="Arial"/>
          <w:sz w:val="18"/>
          <w:szCs w:val="18"/>
          <w:color w:val="auto"/>
        </w:rPr>
        <w:t>sales and co-promotional services. The method for measuring progress towards satisfying the performance obligations is based on prescribed units in excess of the contractual baseline at the contractual rate earned per unit since the agreement is cancelable. The Company recognized no co-promotional revenue and approximately $0.1 million during the three months ended March 31, 2020 and 2019,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$0.4 million and $0.3 million for the three months ended March 31, 2020 and 2019, respectively, and are included in selling, general and administrative expenses in the accompanying condensed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$0.4 million for the three months ended March 31, 2020 and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is determined using the Black-Scholes-Merton (BSM) option pricing model, which requires management to make certain assumptions regarding a number of complex and subjective variables. Equity award forfeitures are recorded as they occur.</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Upon the effective date of the IPO, the Company began using the closing price of its common stock as the fair value of its common stock on the corresponding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70" w:right="459" w:bottom="1440" w:gutter="0" w:footer="0" w:header="0"/>
        </w:sectPr>
      </w:pPr>
    </w:p>
    <w:bookmarkStart w:id="11" w:name="page12"/>
    <w:bookmarkEnd w:id="11"/>
    <w:p>
      <w:pPr>
        <w:ind w:right="360"/>
        <w:spacing w:after="0" w:line="254" w:lineRule="auto"/>
        <w:rPr>
          <w:sz w:val="20"/>
          <w:szCs w:val="20"/>
          <w:color w:val="auto"/>
        </w:rPr>
      </w:pPr>
      <w:r>
        <w:rPr>
          <w:rFonts w:ascii="Arial" w:cs="Arial" w:eastAsia="Arial" w:hAnsi="Arial"/>
          <w:sz w:val="18"/>
          <w:szCs w:val="18"/>
          <w:color w:val="auto"/>
        </w:rPr>
        <w:t>redeemable convertible preferred stock, warrants for the purchase of redeemable convertible preferred and common stock and options outstanding under the Company's stock option plans. For the three months ended March 31, 2020 and 2019, there is no difference in the number of shares used to calculate basic and diluted shares outstanding as the inclusion of the potentially dilutive securities would be antidilutive.</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40" w:type="dxa"/>
            <w:vAlign w:val="bottom"/>
          </w:tcPr>
          <w:p>
            <w:pPr>
              <w:spacing w:after="0"/>
              <w:rPr>
                <w:sz w:val="17"/>
                <w:szCs w:val="17"/>
                <w:color w:val="auto"/>
              </w:rPr>
            </w:pPr>
          </w:p>
        </w:tc>
        <w:tc>
          <w:tcPr>
            <w:tcW w:w="34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8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5,734,680</w:t>
            </w: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Warrants to purchase redeemable convertible preferred stock</w:t>
            </w:r>
          </w:p>
        </w:tc>
        <w:tc>
          <w:tcPr>
            <w:tcW w:w="1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224,493</w:t>
            </w:r>
          </w:p>
        </w:tc>
      </w:tr>
      <w:tr>
        <w:trPr>
          <w:trHeight w:val="22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436,581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934,789</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options</w:t>
            </w: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1,630,014</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662,365</w:t>
            </w:r>
          </w:p>
        </w:tc>
      </w:tr>
      <w:tr>
        <w:trPr>
          <w:trHeight w:val="23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2,066,595</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7,556,327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47"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9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February 2016, the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The new topic supersedes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7"/>
          <w:szCs w:val="17"/>
          <w:i w:val="1"/>
          <w:iCs w:val="1"/>
          <w:color w:val="auto"/>
        </w:rPr>
        <w:t>Codification Improvements to Topic 842</w:t>
      </w:r>
      <w:r>
        <w:rPr>
          <w:rFonts w:ascii="Arial" w:cs="Arial" w:eastAsia="Arial" w:hAnsi="Arial"/>
          <w:sz w:val="17"/>
          <w:szCs w:val="17"/>
          <w:color w:val="auto"/>
        </w:rPr>
        <w:t>, which provides narrow amendments to clarify how to apply certain aspects of the new lease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 and ASU 2018-11, </w:t>
      </w:r>
      <w:r>
        <w:rPr>
          <w:rFonts w:ascii="Arial" w:cs="Arial" w:eastAsia="Arial" w:hAnsi="Arial"/>
          <w:sz w:val="17"/>
          <w:szCs w:val="17"/>
          <w:i w:val="1"/>
          <w:iCs w:val="1"/>
          <w:color w:val="auto"/>
        </w:rPr>
        <w:t>Leases: Targeted Improvements</w:t>
      </w:r>
      <w:r>
        <w:rPr>
          <w:rFonts w:ascii="Arial" w:cs="Arial" w:eastAsia="Arial" w:hAnsi="Arial"/>
          <w:sz w:val="17"/>
          <w:szCs w:val="17"/>
          <w:color w:val="auto"/>
        </w:rPr>
        <w:t>, which was issued to provide relief to companies from restating comparative periods. Pursuant to this ASU, in the period of adoption the Company will not restate comparative periods presented in its condensed financial statements. The effective date of this guidance for public companies is for reporting periods beginning after December 15, 2018. As an emerging growth company as defined in the JOBS Act, the Company has elected to delay adoption of this ASU until January 1, 2021.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condensed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adds and modifies certain disclosure requirements for fair value measurements.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ind w:right="140"/>
        <w:spacing w:after="0" w:line="253" w:lineRule="auto"/>
        <w:rPr>
          <w:sz w:val="20"/>
          <w:szCs w:val="20"/>
          <w:color w:val="auto"/>
        </w:rPr>
      </w:pPr>
      <w:r>
        <w:rPr>
          <w:rFonts w:ascii="Arial" w:cs="Arial" w:eastAsia="Arial" w:hAnsi="Arial"/>
          <w:sz w:val="18"/>
          <w:szCs w:val="18"/>
          <w:color w:val="auto"/>
        </w:rPr>
        <w:t>unrealized gains and losses included in other comprehensive income. The narrative description of measurement uncertainty should be applied prospectively for only the most recent interim or annual period presented in the initial fiscal year of adoption. All other amendments should be applied retrospectively to all period presented upon their effective date. This update is effective for annual periods beginning after December 15, 2019, and interim periods within those periods, and early adoption is permitted. The Company adopted this guidance on January 1, 2020, and the adoption did not have a material impact on its condensed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2020</w:t>
            </w:r>
          </w:p>
        </w:tc>
        <w:tc>
          <w:tcPr>
            <w:tcW w:w="20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2019</w:t>
            </w:r>
          </w:p>
        </w:tc>
      </w:tr>
      <w:tr>
        <w:trPr>
          <w:trHeight w:val="24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Diagnostic testing supplies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1,299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1,427</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Prepaid product royalties</w:t>
            </w:r>
          </w:p>
        </w:tc>
        <w:tc>
          <w:tcPr>
            <w:tcW w:w="260" w:type="dxa"/>
            <w:vAlign w:val="bottom"/>
          </w:tcPr>
          <w:p>
            <w:pPr>
              <w:spacing w:after="0"/>
              <w:rPr>
                <w:sz w:val="20"/>
                <w:szCs w:val="20"/>
                <w:color w:val="auto"/>
              </w:rPr>
            </w:pPr>
          </w:p>
        </w:tc>
        <w:tc>
          <w:tcPr>
            <w:tcW w:w="1500" w:type="dxa"/>
            <w:vAlign w:val="bottom"/>
          </w:tcPr>
          <w:p>
            <w:pPr>
              <w:jc w:val="right"/>
              <w:ind w:right="62"/>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82"/>
              <w:spacing w:after="0"/>
              <w:rPr>
                <w:sz w:val="20"/>
                <w:szCs w:val="20"/>
                <w:color w:val="auto"/>
              </w:rPr>
            </w:pPr>
            <w:r>
              <w:rPr>
                <w:rFonts w:ascii="Arial" w:cs="Arial" w:eastAsia="Arial" w:hAnsi="Arial"/>
                <w:sz w:val="16"/>
                <w:szCs w:val="16"/>
                <w:color w:val="auto"/>
              </w:rPr>
              <w:t>123</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maintenance and insurance contracts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1,768</w:t>
            </w:r>
          </w:p>
        </w:tc>
      </w:tr>
      <w:tr>
        <w:trPr>
          <w:trHeight w:val="23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prepaid assets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133</w:t>
            </w:r>
          </w:p>
        </w:tc>
      </w:tr>
      <w:tr>
        <w:trPr>
          <w:trHeight w:val="26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3,084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3,451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2020</w:t>
            </w:r>
          </w:p>
        </w:tc>
        <w:tc>
          <w:tcPr>
            <w:tcW w:w="200" w:type="dxa"/>
            <w:vAlign w:val="bottom"/>
          </w:tcPr>
          <w:p>
            <w:pPr>
              <w:spacing w:after="0"/>
              <w:rPr>
                <w:sz w:val="15"/>
                <w:szCs w:val="15"/>
                <w:color w:val="auto"/>
              </w:rPr>
            </w:pPr>
          </w:p>
        </w:tc>
        <w:tc>
          <w:tcPr>
            <w:tcW w:w="1560" w:type="dxa"/>
            <w:vAlign w:val="bottom"/>
          </w:tcPr>
          <w:p>
            <w:pPr>
              <w:jc w:val="right"/>
              <w:ind w:right="249"/>
              <w:spacing w:after="0"/>
              <w:rPr>
                <w:sz w:val="20"/>
                <w:szCs w:val="20"/>
                <w:color w:val="auto"/>
              </w:rPr>
            </w:pPr>
            <w:r>
              <w:rPr>
                <w:rFonts w:ascii="Arial" w:cs="Arial" w:eastAsia="Arial" w:hAnsi="Arial"/>
                <w:sz w:val="13"/>
                <w:szCs w:val="13"/>
                <w:b w:val="1"/>
                <w:bCs w:val="1"/>
                <w:color w:val="auto"/>
              </w:rPr>
              <w:t>December 31, 2019</w:t>
            </w:r>
          </w:p>
        </w:tc>
      </w:tr>
      <w:tr>
        <w:trPr>
          <w:trHeight w:val="21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w:t>
            </w:r>
          </w:p>
        </w:tc>
      </w:tr>
      <w:tr>
        <w:trPr>
          <w:trHeight w:val="210"/>
        </w:trPr>
        <w:tc>
          <w:tcPr>
            <w:tcW w:w="762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60" w:type="dxa"/>
            <w:vAlign w:val="bottom"/>
          </w:tcPr>
          <w:p>
            <w:pPr>
              <w:spacing w:after="0"/>
              <w:rPr>
                <w:sz w:val="18"/>
                <w:szCs w:val="18"/>
                <w:color w:val="auto"/>
              </w:rPr>
            </w:pPr>
          </w:p>
        </w:tc>
        <w:tc>
          <w:tcPr>
            <w:tcW w:w="1500" w:type="dxa"/>
            <w:vAlign w:val="bottom"/>
          </w:tcPr>
          <w:p>
            <w:pPr>
              <w:jc w:val="right"/>
              <w:ind w:right="89"/>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69"/>
              <w:spacing w:after="0"/>
              <w:rPr>
                <w:sz w:val="20"/>
                <w:szCs w:val="20"/>
                <w:color w:val="auto"/>
              </w:rPr>
            </w:pPr>
            <w:r>
              <w:rPr>
                <w:rFonts w:ascii="Arial" w:cs="Arial" w:eastAsia="Arial" w:hAnsi="Arial"/>
                <w:sz w:val="14"/>
                <w:szCs w:val="14"/>
                <w:color w:val="auto"/>
              </w:rPr>
              <w:t>2,228</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851</w:t>
            </w:r>
          </w:p>
        </w:tc>
      </w:tr>
      <w:tr>
        <w:trPr>
          <w:trHeight w:val="210"/>
        </w:trPr>
        <w:tc>
          <w:tcPr>
            <w:tcW w:w="76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8"/>
                <w:szCs w:val="18"/>
                <w:color w:val="auto"/>
              </w:rPr>
            </w:pPr>
          </w:p>
        </w:tc>
        <w:tc>
          <w:tcPr>
            <w:tcW w:w="1500" w:type="dxa"/>
            <w:vAlign w:val="bottom"/>
          </w:tcPr>
          <w:p>
            <w:pPr>
              <w:jc w:val="right"/>
              <w:ind w:right="89"/>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69"/>
              <w:spacing w:after="0"/>
              <w:rPr>
                <w:sz w:val="20"/>
                <w:szCs w:val="20"/>
                <w:color w:val="auto"/>
              </w:rPr>
            </w:pPr>
            <w:r>
              <w:rPr>
                <w:rFonts w:ascii="Arial" w:cs="Arial" w:eastAsia="Arial" w:hAnsi="Arial"/>
                <w:sz w:val="14"/>
                <w:szCs w:val="14"/>
                <w:color w:val="auto"/>
              </w:rPr>
              <w:t>424</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247</w:t>
            </w: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60" w:type="dxa"/>
            <w:vAlign w:val="bottom"/>
          </w:tcPr>
          <w:p>
            <w:pPr>
              <w:spacing w:after="0"/>
              <w:rPr>
                <w:sz w:val="17"/>
                <w:szCs w:val="17"/>
                <w:color w:val="auto"/>
              </w:rPr>
            </w:pPr>
          </w:p>
        </w:tc>
        <w:tc>
          <w:tcPr>
            <w:tcW w:w="1500" w:type="dxa"/>
            <w:vAlign w:val="bottom"/>
          </w:tcPr>
          <w:p>
            <w:pPr>
              <w:jc w:val="right"/>
              <w:ind w:right="89"/>
              <w:spacing w:after="0"/>
              <w:rPr>
                <w:sz w:val="20"/>
                <w:szCs w:val="20"/>
                <w:color w:val="auto"/>
              </w:rPr>
            </w:pPr>
            <w:r>
              <w:rPr>
                <w:rFonts w:ascii="Arial" w:cs="Arial" w:eastAsia="Arial" w:hAnsi="Arial"/>
                <w:sz w:val="14"/>
                <w:szCs w:val="14"/>
                <w:color w:val="auto"/>
              </w:rPr>
              <w:t>3,897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69"/>
              <w:spacing w:after="0"/>
              <w:rPr>
                <w:sz w:val="20"/>
                <w:szCs w:val="20"/>
                <w:color w:val="auto"/>
              </w:rPr>
            </w:pPr>
            <w:r>
              <w:rPr>
                <w:rFonts w:ascii="Arial" w:cs="Arial" w:eastAsia="Arial" w:hAnsi="Arial"/>
                <w:sz w:val="14"/>
                <w:szCs w:val="14"/>
                <w:color w:val="auto"/>
              </w:rPr>
              <w:t>3,775</w:t>
            </w:r>
          </w:p>
        </w:tc>
      </w:tr>
      <w:tr>
        <w:trPr>
          <w:trHeight w:val="222"/>
        </w:trPr>
        <w:tc>
          <w:tcPr>
            <w:tcW w:w="7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(2,395)</w:t>
            </w: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1,380</w:t>
            </w:r>
          </w:p>
        </w:tc>
      </w:tr>
      <w:tr>
        <w:trPr>
          <w:trHeight w:val="27"/>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Depreciation and amortization expense for the three months ended March 31, 2020 and 2019 was approximately $0.1 million and $0.2 million, respectively. At March 31, 2020 and December 31, 2019, the gross book value of assets under capital lease was $1.1 million and $0.8 million, respectively, and is classified in "Laboratory equipment" in the table above.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2020</w:t>
            </w:r>
          </w:p>
        </w:tc>
        <w:tc>
          <w:tcPr>
            <w:tcW w:w="20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3"/>
                <w:szCs w:val="13"/>
                <w:b w:val="1"/>
                <w:bCs w:val="1"/>
                <w:color w:val="auto"/>
              </w:rPr>
              <w:t>December 31, 2019</w:t>
            </w:r>
          </w:p>
        </w:tc>
      </w:tr>
      <w:tr>
        <w:trPr>
          <w:trHeight w:val="24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2,733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2,362</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60" w:type="dxa"/>
            <w:vAlign w:val="bottom"/>
          </w:tcPr>
          <w:p>
            <w:pPr>
              <w:spacing w:after="0"/>
              <w:rPr>
                <w:sz w:val="20"/>
                <w:szCs w:val="20"/>
                <w:color w:val="auto"/>
              </w:rPr>
            </w:pP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145</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purchases of goods and services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319</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Accrued royalties</w:t>
            </w:r>
          </w:p>
        </w:tc>
        <w:tc>
          <w:tcPr>
            <w:tcW w:w="260" w:type="dxa"/>
            <w:vAlign w:val="bottom"/>
          </w:tcPr>
          <w:p>
            <w:pPr>
              <w:spacing w:after="0"/>
              <w:rPr>
                <w:sz w:val="20"/>
                <w:szCs w:val="20"/>
                <w:color w:val="auto"/>
              </w:rPr>
            </w:pP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727</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clinical study activity</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40</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Capital lease obligations, current portion</w:t>
            </w:r>
          </w:p>
        </w:tc>
        <w:tc>
          <w:tcPr>
            <w:tcW w:w="260" w:type="dxa"/>
            <w:vAlign w:val="bottom"/>
          </w:tcPr>
          <w:p>
            <w:pPr>
              <w:spacing w:after="0"/>
              <w:rPr>
                <w:sz w:val="20"/>
                <w:szCs w:val="20"/>
                <w:color w:val="auto"/>
              </w:rPr>
            </w:pP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238</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588</w:t>
            </w: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4,763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4,419</w:t>
            </w:r>
          </w:p>
        </w:tc>
      </w:tr>
      <w:tr>
        <w:trPr>
          <w:trHeight w:val="27"/>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At March 31, 2020, no additional amounts remain available to borrow under the 2017 Term Loan.</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2019, the Company executed the First Amendment to the Loan and Security Agreement (Loan Amendment). The interest rate on all borrowings under the Loan Amendment is 8.5%, of which 2.0% is paid in-kind in the form of additional term loans (PIK Loans) until December of 2022, after which interest accrues at an annual rate of 8.5%. The Company has estimated the effective interest rate of this loan to be approximately 10%. Accrued interest is due and payable monthly, unless the Company elects to pay paid-in-kind interest. The outstanding principal and accrued interest on the Loan Amendment will be repaid in twenty-four equal monthly installments commencing in December 2022. Upon repayment of the final installment under the Loan Amendment, the Company is required to pay an additional fee of $1.0 million. This obligation is being accreted into interest expense over the term of Loan Amendment using the effective interest method. For the three months ended March 31, 2020 and 2019, the Company issued PIK Loans totaling $0.1 million and $0.2 million, respectively.</w:t>
      </w:r>
    </w:p>
    <w:p>
      <w:pPr>
        <w:spacing w:after="0" w:line="20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If the Loan Amendment is prepaid before November 19, 2020, the Loan Amendment requires a prepayment premium of 3% of the aggregate outstanding principal. The prepayment premium decreases by 1% during each subsequent twelve-month period after November 19, 2020.</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Loan Amendment is collateralized by a first priority security interest on substantially all of the Company's assets, including intellectual property. The affirmative covenants of the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and commencing with the quarter ending December 31, 2019. The Company believes it is reasonably possible that it may fail to meet this affirmative covenant in the second or third quarter of 2020 as a result of the COVID-19 pandemic and its adverse impact on testing volumes. The consequences of failing to achieve the performance covenant will be waived if, within sixty days of failing to achieve the performance covenant, the Company issues additional equity securities or subordinated debt with net proceeds sufficient to fund any cash flow deficiency generated from operations, as defined. In addition, the Loan Amendment requires that the Company maintain certain levels of minimum liquidity. The Company is required to maintain an unrestricted cash balance of $2.0 million.</w:t>
      </w:r>
    </w:p>
    <w:p>
      <w:pPr>
        <w:spacing w:after="0" w:line="20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4" w:name="page15"/>
    <w:bookmarkEnd w:id="14"/>
    <w:p>
      <w:pPr>
        <w:ind w:right="40"/>
        <w:spacing w:after="0" w:line="252" w:lineRule="auto"/>
        <w:rPr>
          <w:sz w:val="20"/>
          <w:szCs w:val="20"/>
          <w:color w:val="auto"/>
        </w:rPr>
      </w:pPr>
      <w:r>
        <w:rPr>
          <w:rFonts w:ascii="Arial" w:cs="Arial" w:eastAsia="Arial" w:hAnsi="Arial"/>
          <w:sz w:val="18"/>
          <w:szCs w:val="18"/>
          <w:color w:val="auto"/>
        </w:rPr>
        <w:t>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the Company was in compliance with all covenants of the Loan Amendment.</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an event of default in any of the Loan Amendment covenants, the repayment of the Loan Amendment may be accelerated and the applicable interest rate will be increased by 4.0% until the default is cured. Although repayment of the Loan Amendment can be accelerated under certain circumstances, the Company believes acceleration of this loan is not probable as of the date of these condensed financial statements. Accordingly, the Company has reflected the amounts of the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4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March 31, 2020, future minimum aggregate payments, including interest, for outstanding borrowings under the Loan Amendment are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March 31, 2020</w:t>
            </w:r>
          </w:p>
        </w:tc>
      </w:tr>
      <w:tr>
        <w:trPr>
          <w:trHeight w:val="216"/>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 (remaining)</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1,299</w:t>
            </w:r>
          </w:p>
        </w:tc>
      </w:tr>
      <w:tr>
        <w:trPr>
          <w:trHeight w:val="210"/>
        </w:trPr>
        <w:tc>
          <w:tcPr>
            <w:tcW w:w="9460" w:type="dxa"/>
            <w:vAlign w:val="bottom"/>
          </w:tcPr>
          <w:p>
            <w:pPr>
              <w:ind w:left="20"/>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8"/>
                <w:szCs w:val="18"/>
                <w:color w:val="auto"/>
              </w:rPr>
            </w:pPr>
          </w:p>
        </w:tc>
        <w:tc>
          <w:tcPr>
            <w:tcW w:w="1520" w:type="dxa"/>
            <w:vAlign w:val="bottom"/>
          </w:tcPr>
          <w:p>
            <w:pPr>
              <w:jc w:val="right"/>
              <w:ind w:right="69"/>
              <w:spacing w:after="0"/>
              <w:rPr>
                <w:sz w:val="20"/>
                <w:szCs w:val="20"/>
                <w:color w:val="auto"/>
              </w:rPr>
            </w:pPr>
            <w:r>
              <w:rPr>
                <w:rFonts w:ascii="Arial" w:cs="Arial" w:eastAsia="Arial" w:hAnsi="Arial"/>
                <w:sz w:val="14"/>
                <w:szCs w:val="14"/>
                <w:color w:val="auto"/>
              </w:rPr>
              <w:t>1,755</w:t>
            </w:r>
          </w:p>
        </w:tc>
      </w:tr>
      <w:tr>
        <w:trPr>
          <w:trHeight w:val="222"/>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2,996</w:t>
            </w:r>
          </w:p>
        </w:tc>
      </w:tr>
      <w:tr>
        <w:trPr>
          <w:trHeight w:val="210"/>
        </w:trPr>
        <w:tc>
          <w:tcPr>
            <w:tcW w:w="9460" w:type="dxa"/>
            <w:vAlign w:val="bottom"/>
          </w:tcPr>
          <w:p>
            <w:pPr>
              <w:ind w:left="20"/>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8"/>
                <w:szCs w:val="18"/>
                <w:color w:val="auto"/>
              </w:rPr>
            </w:pPr>
          </w:p>
        </w:tc>
        <w:tc>
          <w:tcPr>
            <w:tcW w:w="1520" w:type="dxa"/>
            <w:vAlign w:val="bottom"/>
          </w:tcPr>
          <w:p>
            <w:pPr>
              <w:jc w:val="right"/>
              <w:ind w:right="69"/>
              <w:spacing w:after="0"/>
              <w:rPr>
                <w:sz w:val="20"/>
                <w:szCs w:val="20"/>
                <w:color w:val="auto"/>
              </w:rPr>
            </w:pPr>
            <w:r>
              <w:rPr>
                <w:rFonts w:ascii="Arial" w:cs="Arial" w:eastAsia="Arial" w:hAnsi="Arial"/>
                <w:sz w:val="14"/>
                <w:szCs w:val="14"/>
                <w:color w:val="auto"/>
              </w:rPr>
              <w:t>15,619</w:t>
            </w:r>
          </w:p>
        </w:tc>
      </w:tr>
      <w:tr>
        <w:trPr>
          <w:trHeight w:val="222"/>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14,280</w:t>
            </w:r>
          </w:p>
        </w:tc>
      </w:tr>
      <w:tr>
        <w:trPr>
          <w:trHeight w:val="204"/>
        </w:trPr>
        <w:tc>
          <w:tcPr>
            <w:tcW w:w="9460" w:type="dxa"/>
            <w:vAlign w:val="bottom"/>
          </w:tcPr>
          <w:p>
            <w:pPr>
              <w:ind w:left="34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7"/>
                <w:szCs w:val="17"/>
                <w:color w:val="auto"/>
              </w:rPr>
            </w:pPr>
          </w:p>
        </w:tc>
        <w:tc>
          <w:tcPr>
            <w:tcW w:w="1520" w:type="dxa"/>
            <w:vAlign w:val="bottom"/>
          </w:tcPr>
          <w:p>
            <w:pPr>
              <w:jc w:val="right"/>
              <w:ind w:right="69"/>
              <w:spacing w:after="0"/>
              <w:rPr>
                <w:sz w:val="20"/>
                <w:szCs w:val="20"/>
                <w:color w:val="auto"/>
              </w:rPr>
            </w:pPr>
            <w:r>
              <w:rPr>
                <w:rFonts w:ascii="Arial" w:cs="Arial" w:eastAsia="Arial" w:hAnsi="Arial"/>
                <w:sz w:val="14"/>
                <w:szCs w:val="14"/>
                <w:color w:val="auto"/>
              </w:rPr>
              <w:t>35,949</w:t>
            </w:r>
          </w:p>
        </w:tc>
      </w:tr>
      <w:tr>
        <w:trPr>
          <w:trHeight w:val="222"/>
        </w:trPr>
        <w:tc>
          <w:tcPr>
            <w:tcW w:w="9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0"/>
        </w:trPr>
        <w:tc>
          <w:tcPr>
            <w:tcW w:w="9460" w:type="dxa"/>
            <w:vAlign w:val="bottom"/>
          </w:tcPr>
          <w:p>
            <w:pPr>
              <w:ind w:left="660"/>
              <w:spacing w:after="0"/>
              <w:rPr>
                <w:sz w:val="20"/>
                <w:szCs w:val="20"/>
                <w:color w:val="auto"/>
              </w:rPr>
            </w:pPr>
            <w:r>
              <w:rPr>
                <w:rFonts w:ascii="Arial" w:cs="Arial" w:eastAsia="Arial" w:hAnsi="Arial"/>
                <w:sz w:val="14"/>
                <w:szCs w:val="14"/>
                <w:color w:val="auto"/>
              </w:rPr>
              <w:t>Unamortized debt discount and issuance costs</w:t>
            </w:r>
          </w:p>
        </w:tc>
        <w:tc>
          <w:tcPr>
            <w:tcW w:w="260" w:type="dxa"/>
            <w:vAlign w:val="bottom"/>
          </w:tcPr>
          <w:p>
            <w:pPr>
              <w:spacing w:after="0"/>
              <w:rPr>
                <w:sz w:val="18"/>
                <w:szCs w:val="18"/>
                <w:color w:val="auto"/>
              </w:rPr>
            </w:pPr>
          </w:p>
        </w:tc>
        <w:tc>
          <w:tcPr>
            <w:tcW w:w="1520" w:type="dxa"/>
            <w:vAlign w:val="bottom"/>
          </w:tcPr>
          <w:p>
            <w:pPr>
              <w:jc w:val="right"/>
              <w:ind w:right="29"/>
              <w:spacing w:after="0"/>
              <w:rPr>
                <w:sz w:val="20"/>
                <w:szCs w:val="20"/>
                <w:color w:val="auto"/>
              </w:rPr>
            </w:pPr>
            <w:r>
              <w:rPr>
                <w:rFonts w:ascii="Arial" w:cs="Arial" w:eastAsia="Arial" w:hAnsi="Arial"/>
                <w:sz w:val="14"/>
                <w:szCs w:val="14"/>
                <w:color w:val="auto"/>
              </w:rPr>
              <w:t>(367)</w:t>
            </w:r>
          </w:p>
        </w:tc>
      </w:tr>
      <w:tr>
        <w:trPr>
          <w:trHeight w:val="222"/>
        </w:trPr>
        <w:tc>
          <w:tcPr>
            <w:tcW w:w="9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(9,532)</w:t>
            </w:r>
          </w:p>
        </w:tc>
      </w:tr>
      <w:tr>
        <w:trPr>
          <w:trHeight w:val="204"/>
        </w:trPr>
        <w:tc>
          <w:tcPr>
            <w:tcW w:w="9460" w:type="dxa"/>
            <w:vAlign w:val="bottom"/>
          </w:tcPr>
          <w:p>
            <w:pPr>
              <w:ind w:left="340"/>
              <w:spacing w:after="0"/>
              <w:rPr>
                <w:sz w:val="20"/>
                <w:szCs w:val="20"/>
                <w:color w:val="auto"/>
              </w:rPr>
            </w:pPr>
            <w:r>
              <w:rPr>
                <w:rFonts w:ascii="Arial" w:cs="Arial" w:eastAsia="Arial" w:hAnsi="Arial"/>
                <w:sz w:val="14"/>
                <w:szCs w:val="14"/>
                <w:color w:val="auto"/>
              </w:rPr>
              <w:t>Total borrowings, net of discounts and debt issuance costs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26,050</w:t>
            </w:r>
          </w:p>
        </w:tc>
      </w:tr>
      <w:tr>
        <w:trPr>
          <w:trHeight w:val="26"/>
        </w:trPr>
        <w:tc>
          <w:tcPr>
            <w:tcW w:w="9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March 31, 2020, the Company leases an office and laboratory space in Vista, California, under leases that expire in January 2026, with an option to extend a portion of the lease for an additional 5-year period. In addition, the Company also leases an additional office space in Vista, California, under a lease that expires in January 2026 with an option to extend the lease for an additional 5-year period. The Company's lease payments under each of these leases are subject to escalation clauses.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rent expense was $0.1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4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All milestone payments other than one have been paid as of December 31, 2017. The remaining milestone obligation is for an additional $2.0 million payment due to Prometheus Laboratories, Inc. (Prometheus) for which the fair value was determined to be zero at March 31, 2020 and December 31, 2019.</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 w:name="page16"/>
    <w:bookmarkEnd w:id="15"/>
    <w:p>
      <w:pPr>
        <w:ind w:right="160"/>
        <w:spacing w:after="0" w:line="256" w:lineRule="auto"/>
        <w:rPr>
          <w:sz w:val="20"/>
          <w:szCs w:val="20"/>
          <w:color w:val="auto"/>
        </w:rPr>
      </w:pPr>
      <w:r>
        <w:rPr>
          <w:rFonts w:ascii="Arial" w:cs="Arial" w:eastAsia="Arial" w:hAnsi="Arial"/>
          <w:sz w:val="18"/>
          <w:szCs w:val="18"/>
          <w:color w:val="auto"/>
        </w:rPr>
        <w:t>In addition, the Company has ongoing royalty payment obligations on net sales of products which incorporate certain acquired technologies ranging from 2.5% to 7.5%. Future royalties payable under these arrangements are limited to the lesser of an aggregate of $4.2 million (including an upfront payment of $100,000) or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3.0% to 20.0%. Royalties are accrued when earned and recorded in costs of revenue in the accompanying condensed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4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In 2019, the Company entered into an amended supply agreement with one supplier for reagents which includes a minimum annual purchase commitment of $4.2 million for each of the three years covered by the original agreement, which terminates in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payers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is not a party to any litigation and does not have contingent reserves established for any litigation liabilities. From time to time, the Company may be subject to various legal proceedings that arise in the ordinary course of business activities.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98" w:lineRule="exact"/>
        <w:rPr>
          <w:sz w:val="20"/>
          <w:szCs w:val="20"/>
          <w:color w:val="auto"/>
        </w:rPr>
      </w:pPr>
    </w:p>
    <w:p>
      <w:pPr>
        <w:jc w:val="center"/>
        <w:ind w:left="6200"/>
        <w:spacing w:after="0"/>
        <w:rPr>
          <w:sz w:val="20"/>
          <w:szCs w:val="20"/>
          <w:color w:val="auto"/>
        </w:rPr>
      </w:pPr>
      <w:r>
        <w:rPr>
          <w:rFonts w:ascii="Arial" w:cs="Arial" w:eastAsia="Arial" w:hAnsi="Arial"/>
          <w:sz w:val="13"/>
          <w:szCs w:val="13"/>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89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47" w:lineRule="exact"/>
        <w:rPr>
          <w:sz w:val="20"/>
          <w:szCs w:val="20"/>
          <w:color w:val="auto"/>
        </w:rPr>
      </w:pPr>
    </w:p>
    <w:p>
      <w:pPr>
        <w:ind w:left="6660"/>
        <w:spacing w:after="0"/>
        <w:tabs>
          <w:tab w:leader="none" w:pos="7860" w:val="left"/>
          <w:tab w:leader="none" w:pos="9140" w:val="left"/>
          <w:tab w:leader="none" w:pos="10420" w:val="left"/>
        </w:tabs>
        <w:rPr>
          <w:sz w:val="20"/>
          <w:szCs w:val="20"/>
          <w:color w:val="auto"/>
        </w:rPr>
      </w:pPr>
      <w:r>
        <w:rPr>
          <w:rFonts w:ascii="Arial" w:cs="Arial" w:eastAsia="Arial" w:hAnsi="Arial"/>
          <w:sz w:val="13"/>
          <w:szCs w:val="13"/>
          <w:b w:val="1"/>
          <w:bCs w:val="1"/>
          <w:color w:val="auto"/>
        </w:rPr>
        <w:t>Total</w:t>
      </w:r>
      <w:r>
        <w:rPr>
          <w:sz w:val="20"/>
          <w:szCs w:val="20"/>
          <w:color w:val="auto"/>
        </w:rPr>
        <w:tab/>
      </w: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7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5760" w:type="dxa"/>
            <w:vAlign w:val="bottom"/>
          </w:tcPr>
          <w:p>
            <w:pPr>
              <w:spacing w:after="0"/>
              <w:rPr>
                <w:sz w:val="20"/>
                <w:szCs w:val="20"/>
                <w:color w:val="auto"/>
              </w:rPr>
            </w:pPr>
            <w:r>
              <w:rPr>
                <w:rFonts w:ascii="Arial" w:cs="Arial" w:eastAsia="Arial" w:hAnsi="Arial"/>
                <w:sz w:val="14"/>
                <w:szCs w:val="14"/>
                <w:color w:val="auto"/>
              </w:rPr>
              <w:t>Money market funds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3"/>
              <w:spacing w:after="0"/>
              <w:rPr>
                <w:sz w:val="20"/>
                <w:szCs w:val="20"/>
                <w:color w:val="auto"/>
              </w:rPr>
            </w:pPr>
            <w:r>
              <w:rPr>
                <w:rFonts w:ascii="Arial" w:cs="Arial" w:eastAsia="Arial" w:hAnsi="Arial"/>
                <w:sz w:val="14"/>
                <w:szCs w:val="14"/>
                <w:color w:val="auto"/>
              </w:rPr>
              <w:t>67,431</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4"/>
              <w:spacing w:after="0"/>
              <w:rPr>
                <w:sz w:val="20"/>
                <w:szCs w:val="20"/>
                <w:color w:val="auto"/>
              </w:rPr>
            </w:pPr>
            <w:r>
              <w:rPr>
                <w:rFonts w:ascii="Arial" w:cs="Arial" w:eastAsia="Arial" w:hAnsi="Arial"/>
                <w:sz w:val="14"/>
                <w:szCs w:val="14"/>
                <w:color w:val="auto"/>
              </w:rPr>
              <w:t>67,431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ind w:left="6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ind w:left="640"/>
              <w:spacing w:after="0"/>
              <w:rPr>
                <w:sz w:val="20"/>
                <w:szCs w:val="20"/>
                <w:color w:val="auto"/>
              </w:rPr>
            </w:pPr>
            <w:r>
              <w:rPr>
                <w:rFonts w:ascii="Arial" w:cs="Arial" w:eastAsia="Arial" w:hAnsi="Arial"/>
                <w:sz w:val="14"/>
                <w:szCs w:val="14"/>
                <w:color w:val="auto"/>
              </w:rPr>
              <w:t>—</w:t>
            </w:r>
          </w:p>
        </w:tc>
      </w:tr>
      <w:tr>
        <w:trPr>
          <w:trHeight w:val="613"/>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53"/>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6"/>
                <w:szCs w:val="16"/>
                <w:color w:val="auto"/>
              </w:rPr>
            </w:pPr>
          </w:p>
        </w:tc>
        <w:tc>
          <w:tcPr>
            <w:tcW w:w="960" w:type="dxa"/>
            <w:vAlign w:val="bottom"/>
          </w:tcPr>
          <w:p>
            <w:pPr>
              <w:jc w:val="right"/>
              <w:ind w:right="354"/>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Arial" w:cs="Arial" w:eastAsia="Arial" w:hAnsi="Arial"/>
                <w:sz w:val="13"/>
                <w:szCs w:val="13"/>
                <w:b w:val="1"/>
                <w:bCs w:val="1"/>
                <w:color w:val="auto"/>
              </w:rPr>
              <w:t>Level 2</w:t>
            </w:r>
          </w:p>
        </w:tc>
        <w:tc>
          <w:tcPr>
            <w:tcW w:w="36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Arial" w:cs="Arial" w:eastAsia="Arial" w:hAnsi="Arial"/>
                <w:sz w:val="13"/>
                <w:szCs w:val="13"/>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73" w:lineRule="exact"/>
        <w:rPr>
          <w:sz w:val="20"/>
          <w:szCs w:val="20"/>
          <w:color w:val="auto"/>
        </w:rPr>
      </w:pPr>
    </w:p>
    <w:p>
      <w:pPr>
        <w:ind w:left="340"/>
        <w:spacing w:after="0"/>
        <w:tabs>
          <w:tab w:leader="none" w:pos="6100" w:val="left"/>
          <w:tab w:leader="none" w:pos="6700" w:val="left"/>
          <w:tab w:leader="none" w:pos="7420" w:val="left"/>
          <w:tab w:leader="none" w:pos="8020" w:val="left"/>
          <w:tab w:leader="none" w:pos="8720" w:val="left"/>
          <w:tab w:leader="none" w:pos="9620" w:val="left"/>
          <w:tab w:leader="none" w:pos="10040" w:val="left"/>
          <w:tab w:leader="none" w:pos="10920" w:val="left"/>
        </w:tabs>
        <w:rPr>
          <w:sz w:val="20"/>
          <w:szCs w:val="20"/>
          <w:color w:val="auto"/>
        </w:rPr>
      </w:pPr>
      <w:r>
        <w:rPr>
          <w:rFonts w:ascii="Arial" w:cs="Arial" w:eastAsia="Arial" w:hAnsi="Arial"/>
          <w:sz w:val="14"/>
          <w:szCs w:val="14"/>
          <w:color w:val="auto"/>
        </w:rPr>
        <w:t>Money market funds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70,760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70,760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Redeemable Convertible Preferred Stock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Series G Financing</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January 2019, the Company entered into an agreement with new and certain existing preferred stockholders to issue shares of Series G redeemable convertible preferred stock in multiple separate closings at a per share price of $0.078 in each closing. In conjunction with the issuance of the Series H redeemable convertible preferred stock, each share of issued and outstanding Series G redeemable convertible preferred stock was converted into shares of Series H redeemable convertible preferred stock.</w:t>
      </w:r>
    </w:p>
    <w:p>
      <w:pPr>
        <w:spacing w:after="0" w:line="20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Upon completion of the Company's IPO in September 2019,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 As a result, no shares of redeemable convertible preferred stock remain outstanding at March 31, 2020.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March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Expiration date</w:t>
            </w:r>
          </w:p>
        </w:tc>
      </w:tr>
      <w:tr>
        <w:trPr>
          <w:trHeight w:val="215"/>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259,975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tcPr>
          <w:p>
            <w:pPr>
              <w:jc w:val="right"/>
              <w:spacing w:after="0"/>
              <w:rPr>
                <w:sz w:val="20"/>
                <w:szCs w:val="20"/>
                <w:color w:val="auto"/>
              </w:rPr>
            </w:pPr>
            <w:r>
              <w:rPr>
                <w:rFonts w:ascii="Arial" w:cs="Arial" w:eastAsia="Arial" w:hAnsi="Arial"/>
                <w:sz w:val="14"/>
                <w:szCs w:val="14"/>
                <w:color w:val="auto"/>
              </w:rPr>
              <w:t>71,753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22"/>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Common stock warrants (1)</w:t>
            </w:r>
          </w:p>
        </w:tc>
        <w:tc>
          <w:tcPr>
            <w:tcW w:w="560" w:type="dxa"/>
            <w:vAlign w:val="bottom"/>
          </w:tcPr>
          <w:p>
            <w:pPr>
              <w:jc w:val="right"/>
              <w:spacing w:after="0"/>
              <w:rPr>
                <w:sz w:val="20"/>
                <w:szCs w:val="20"/>
                <w:color w:val="auto"/>
              </w:rPr>
            </w:pPr>
            <w:r>
              <w:rPr>
                <w:rFonts w:ascii="Arial" w:cs="Arial" w:eastAsia="Arial" w:hAnsi="Arial"/>
                <w:sz w:val="14"/>
                <w:szCs w:val="14"/>
                <w:color w:val="auto"/>
              </w:rPr>
              <w:t>83,778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4"/>
                <w:szCs w:val="14"/>
                <w:color w:val="auto"/>
              </w:rPr>
              <w:t>September 8,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8, 2024</w:t>
            </w: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 (1)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203"/>
        </w:trPr>
        <w:tc>
          <w:tcPr>
            <w:tcW w:w="33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436,581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(1) Prior to the conversion upon IPO, the remaining warrants were for the purchase of Series F redeemable convertible preferred stock.</w:t>
      </w:r>
    </w:p>
    <w:p>
      <w:pPr>
        <w:spacing w:after="0" w:line="21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During the first quarter of 2020, warrants to purchase common stock for 24,692 shares of the Company's common stock were exercised via cashless exercise resulting in the issuance of 22,366 shares of 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4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Incentive Award Plan (the 2019 Plan). Under the 2019 Plan, the Company may grant stock options, stock appreciation rights, restricted stock, restricted stock units and other awards to individuals who are then employees, officers, non-employee directors or consultants of the Company or its subsidiaries. A total of (i) 2,011,832 shares of common stock plus (ii) shares subject to awards granted under the 2013 Plan on or before the effective date of the 2019 Plan became available for issuance under the 2019 Plan and will initially be reserved for issuance under the 2019 Plan. The</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as determined by the Board of Directors. As of March 31, 2020, 1,488,919 shares remained available for future awards.</w:t>
      </w:r>
    </w:p>
    <w:p>
      <w:pPr>
        <w:spacing w:after="0" w:line="204"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auto"/>
        </w:rPr>
        <w:t>The options generally expire ten years after the date of grant and are exercisable to the extent vested. Vesting is established by the Board of Directors and is generally four years from the date of grant.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Weighted-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Weighted-</w:t>
            </w: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1"/>
                <w:szCs w:val="11"/>
                <w:color w:val="auto"/>
              </w:rPr>
            </w:pPr>
          </w:p>
        </w:tc>
        <w:tc>
          <w:tcPr>
            <w:tcW w:w="1060" w:type="dxa"/>
            <w:vAlign w:val="bottom"/>
          </w:tcPr>
          <w:p>
            <w:pPr>
              <w:jc w:val="center"/>
              <w:ind w:right="132"/>
              <w:spacing w:after="0" w:line="135"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jc w:val="right"/>
              <w:ind w:right="330"/>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Average</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1060" w:type="dxa"/>
            <w:vAlign w:val="bottom"/>
          </w:tcPr>
          <w:p>
            <w:pPr>
              <w:jc w:val="center"/>
              <w:ind w:right="132"/>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7"/>
        </w:trPr>
        <w:tc>
          <w:tcPr>
            <w:tcW w:w="54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Term (Years)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2019</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1,375,542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23,654</w:t>
            </w:r>
          </w:p>
        </w:tc>
        <w:tc>
          <w:tcPr>
            <w:tcW w:w="0" w:type="dxa"/>
            <w:vAlign w:val="bottom"/>
          </w:tcPr>
          <w:p>
            <w:pPr>
              <w:spacing w:after="0"/>
              <w:rPr>
                <w:sz w:val="1"/>
                <w:szCs w:val="1"/>
                <w:color w:val="auto"/>
              </w:rPr>
            </w:pPr>
          </w:p>
        </w:tc>
      </w:tr>
      <w:tr>
        <w:trPr>
          <w:trHeight w:val="210"/>
        </w:trPr>
        <w:tc>
          <w:tcPr>
            <w:tcW w:w="5420" w:type="dxa"/>
            <w:vAlign w:val="bottom"/>
          </w:tcPr>
          <w:p>
            <w:pPr>
              <w:ind w:left="34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514,131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19.51</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(43,700)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340"/>
              <w:spacing w:after="0"/>
              <w:rPr>
                <w:sz w:val="20"/>
                <w:szCs w:val="20"/>
                <w:color w:val="auto"/>
              </w:rPr>
            </w:pPr>
            <w:r>
              <w:rPr>
                <w:rFonts w:ascii="Arial" w:cs="Arial" w:eastAsia="Arial" w:hAnsi="Arial"/>
                <w:sz w:val="14"/>
                <w:szCs w:val="14"/>
                <w:color w:val="auto"/>
              </w:rPr>
              <w:t>Forfeited</w:t>
            </w:r>
          </w:p>
        </w:tc>
        <w:tc>
          <w:tcPr>
            <w:tcW w:w="1440" w:type="dxa"/>
            <w:vAlign w:val="bottom"/>
          </w:tcPr>
          <w:p>
            <w:pPr>
              <w:jc w:val="right"/>
              <w:ind w:right="30"/>
              <w:spacing w:after="0"/>
              <w:rPr>
                <w:sz w:val="20"/>
                <w:szCs w:val="20"/>
                <w:color w:val="auto"/>
              </w:rPr>
            </w:pPr>
            <w:r>
              <w:rPr>
                <w:rFonts w:ascii="Arial" w:cs="Arial" w:eastAsia="Arial" w:hAnsi="Arial"/>
                <w:sz w:val="14"/>
                <w:szCs w:val="14"/>
                <w:color w:val="auto"/>
              </w:rPr>
              <w:t>(215,542)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Expired</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19.04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4"/>
                <w:szCs w:val="14"/>
                <w:color w:val="auto"/>
              </w:rPr>
              <w:t>Outstanding, March 31, 2020</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1,630,014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11.88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9,324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March 31, 2020</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1,630,014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11.88</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9,324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March 31, 2020</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199,168</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2,740</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0" w:type="dxa"/>
            <w:vAlign w:val="bottom"/>
          </w:tcPr>
          <w:p>
            <w:pPr>
              <w:spacing w:after="0"/>
              <w:rPr>
                <w:sz w:val="15"/>
                <w:szCs w:val="15"/>
                <w:color w:val="auto"/>
              </w:rPr>
            </w:pPr>
          </w:p>
        </w:tc>
        <w:tc>
          <w:tcPr>
            <w:tcW w:w="28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Three Months Ended March 31,</w:t>
            </w:r>
          </w:p>
        </w:tc>
      </w:tr>
      <w:tr>
        <w:trPr>
          <w:trHeight w:val="196"/>
        </w:trPr>
        <w:tc>
          <w:tcPr>
            <w:tcW w:w="84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59%</w:t>
            </w:r>
          </w:p>
        </w:tc>
      </w:tr>
      <w:tr>
        <w:trPr>
          <w:trHeight w:val="216"/>
        </w:trPr>
        <w:tc>
          <w:tcPr>
            <w:tcW w:w="84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60" w:type="dxa"/>
            <w:vAlign w:val="bottom"/>
          </w:tcPr>
          <w:p>
            <w:pPr>
              <w:jc w:val="center"/>
              <w:spacing w:after="0"/>
              <w:rPr>
                <w:sz w:val="20"/>
                <w:szCs w:val="20"/>
                <w:color w:val="auto"/>
              </w:rPr>
            </w:pPr>
            <w:r>
              <w:rPr>
                <w:rFonts w:ascii="Arial" w:cs="Arial" w:eastAsia="Arial" w:hAnsi="Arial"/>
                <w:sz w:val="14"/>
                <w:szCs w:val="14"/>
                <w:color w:val="auto"/>
              </w:rPr>
              <w:t>0.6%-1.7%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2.6%</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r>
      <w:tr>
        <w:trPr>
          <w:trHeight w:val="218"/>
        </w:trPr>
        <w:tc>
          <w:tcPr>
            <w:tcW w:w="84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60" w:type="dxa"/>
            <w:vAlign w:val="bottom"/>
          </w:tcPr>
          <w:p>
            <w:pPr>
              <w:jc w:val="center"/>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6.08</w:t>
            </w:r>
          </w:p>
        </w:tc>
      </w:tr>
    </w:tbl>
    <w:p>
      <w:pPr>
        <w:spacing w:after="0" w:line="362" w:lineRule="exact"/>
        <w:rPr>
          <w:sz w:val="20"/>
          <w:szCs w:val="20"/>
          <w:color w:val="auto"/>
        </w:rPr>
      </w:pPr>
    </w:p>
    <w:p>
      <w:pPr>
        <w:jc w:val="both"/>
        <w:ind w:right="52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in the condensed statement of operations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6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7"/>
                <w:szCs w:val="17"/>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80" w:type="dxa"/>
            <w:vAlign w:val="bottom"/>
            <w:shd w:val="clear" w:color="auto" w:fill="CCEEFF"/>
          </w:tcPr>
          <w:p>
            <w:pPr>
              <w:jc w:val="right"/>
              <w:ind w:right="91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210"/>
        </w:trPr>
        <w:tc>
          <w:tcPr>
            <w:tcW w:w="79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8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3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r>
      <w:tr>
        <w:trPr>
          <w:trHeight w:val="27"/>
        </w:trPr>
        <w:tc>
          <w:tcPr>
            <w:tcW w:w="7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As of March 31, 2020, total unrecognized compensation cost was $8.7 million, which is expected to be recognized over a remaining weighted-average vesting period of 3.3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Parties</w:t>
      </w:r>
    </w:p>
    <w:p>
      <w:pPr>
        <w:spacing w:after="0" w:line="24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closings of the Series G financing described in Note 7 were issued to existing holders of the Company's redeemable convertible preferred stock, including certain members of our Board of Directors.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COVID-19</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the Company's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As a result of these limitations and reordering of priorities across the U.S. healthcare system, which have resulted in a reduction in patient flow, the Company's test volumes began to decrease in the second half of March 2020. From March 15 through March 31</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8" w:name="page19"/>
    <w:bookmarkEnd w:id="18"/>
    <w:p>
      <w:pPr>
        <w:spacing w:after="0" w:line="244" w:lineRule="auto"/>
        <w:rPr>
          <w:sz w:val="20"/>
          <w:szCs w:val="20"/>
          <w:color w:val="auto"/>
        </w:rPr>
      </w:pPr>
      <w:r>
        <w:rPr>
          <w:rFonts w:ascii="Arial" w:cs="Arial" w:eastAsia="Arial" w:hAnsi="Arial"/>
          <w:sz w:val="18"/>
          <w:szCs w:val="18"/>
          <w:color w:val="auto"/>
        </w:rPr>
        <w:t>and during April as compared to the same period a year ago, the Company has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12% and 56%, respectively. The Company expects its test volumes to continue to be adversely affected by COVID-19 and cannot predict when volumes will return to normal levels. In addition, the Company believes there are several other important factors that have impacted, and that it expects will impact its operating performance and results of operations, including shutdowns of its facilities and operations as well as those of its suppliers and courier services, disruptions to the supply chain of material needed for its tests, its sales and commercialization activities and its ability to receive specimens and perform or deliver the results from its tests, delays in reimbursement and coverage decisions from Medicare and third-party payors and in interactions with regulatory authorities, as well its inability to achieve volume-based pricing discounts with its key suppliers and absorb fixed laboratory expenses. In addition, the Company has experienced delays in patient enrollment for ongoing and planned clinical trials involving its tests. The Company may also experience a decrease or potential halt in shipments of its testing products as the Company's suppliers may be required to focus their resources to manufacture testing kits in response to the COVID-19 pandemic, which could in turn result in decreased gross margins.</w:t>
      </w:r>
    </w:p>
    <w:p>
      <w:pPr>
        <w:spacing w:after="0" w:line="21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While it is too early to predict the full impact COVID-19 will have on the Company's business, the Company expects it to have a material impact on its financial results for at least the next quarter and potentially beyond, depending upon the timing of any lifting of COVID-19 limitations on the U.S. healthcare system and general economic recovery. In response to the COVID-19 pandemic, the Company has equipped most of its employees with the ability to work remotely with the exception of its clinical laboratory employees, and implemented measures to protect the health of its employees and to support the functionality of its clinical laboratory. In March 2020, as a result of the COVID-19 pandemic, the Company terminated temporary employees and six full-time employees, which included three employees at the vice president level. The termination of full-time employees resulted in the recognition of a restructuring charge for termination benefits of $0.3 million which has been paid as of May 2020. Additionally, as a result of the workforce reduction, the Company recognized a reversal of stock-based compensation expense of $0.1 million in March 2020. The restructuring charges were included in selling, general and administrative expenses in the condensed statements of operations. In addition, the Company has increased the use of virtual sales tools, halted employee travel, implemented work schedule reductions, instituted a temporary hiring freeze and scaled marketing spend.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23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The CARES Act did not have a material impact on the Company's effective tax rate or income tax provision for the three months ended March 31, 2020. Under the Tax Cuts and Jobs Act (TCJA), NOLs generated post TCJA were allowed to be carried forward indefinitely but were only allowed to offset 80% of taxable income. As a result of the CARES Act and the change to permit NOLs generated in taxable years 2018, 2019 and 2020 to offset 100% of taxable income, the Company has released valuation allowance against its deferred tax assets in the amount of $0.1 million. The release of valuation allowance results in a discrete tax benefit of $0.1 million in the first quarter of 2020.</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April 10, 2020, the Company received $0.7 million of funding under the CARES Act Provider Relief Fund, subject to the Company's agreement to comply with the Department of Health &amp; Human Services' standard terms and conditions. These funds are not loans and will not be required to be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4" w:right="3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2019 included in our Annual Report on Form 10-K for the year ended December 31, 2019, filed on March 25,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our ability to implement an integrated testing and therapeutics strategy, the expected benefits from our partnerships or promotion arrangements with third-parties,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1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83% and 85% of our revenue for the three months ended March 31, 2020 and 2019,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 In order to advance our integrated testing and therapeutics strategy, in December 2018 we entered into the co-promotion agreement, or the Janssen Agreement, with Janssen Biotech, Inc., or Janssen,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for the treatment of adult patients with moderate to severe RA and for other indicated rheumatic diseases. We began direct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January 2019 and in support of these promotion efforts we expanded our salesforce from 41 representatives as of March 31, 2019 to 62 representatives as of March 31, 2020, prior to our business starting to be affected by the COVID-19 pandemic.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no revenue and approximately $0.1 million in revenue for the three months ended March 31, 2020 and 2019, respectively, with our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0" w:name="page21"/>
    <w:bookmarkEnd w:id="20"/>
    <w:p>
      <w:pPr>
        <w:ind w:right="640"/>
        <w:spacing w:after="0" w:line="261" w:lineRule="auto"/>
        <w:rPr>
          <w:sz w:val="20"/>
          <w:szCs w:val="20"/>
          <w:color w:val="auto"/>
        </w:rPr>
      </w:pPr>
      <w:r>
        <w:rPr>
          <w:rFonts w:ascii="Arial" w:cs="Arial" w:eastAsia="Arial" w:hAnsi="Arial"/>
          <w:sz w:val="18"/>
          <w:szCs w:val="18"/>
          <w:color w:val="auto"/>
        </w:rPr>
        <w:t>quarterly tiered promotion fee based on the incremental increase in total prescribed units above a predetermined average baseline of approximately 29,000 prescribed units per quarter.</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also have additional agreements with other leading pharmaceutical companies, including GlaxoSmithKline plc., or GSK, and Horizon Therapeutics Public Limited Company, or Horizon Therapeutics, that leverage our testing products and the information generated from such tests. We plan to pursue additional strategic partnerships with a focus on the commercialization of therapeutics that are synergistic with our testing products.</w:t>
      </w:r>
    </w:p>
    <w:p>
      <w:pPr>
        <w:spacing w:after="0" w:line="204"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8,000 square foot clinical laboratory, which is certified under the Clinical Laboratory Improvement Amendments of 1988, or CLIA, by the Centers for Medicare and Medicaid Services, or CMS, and accredited by the College of American Pathologists, or CAP, and located in Vista, California. Our laboratory is certified for performance of high-complexity testing by CMS in accordance with CLIA. We are approved to offer our products in all 50 states.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2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autoimmune diseases. Although our revenue has increased sequentially year over year, we have never been profitable and,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we had an accumulated deficit of $170.2 million. We incurred net losses of $5.6 million and $2.7 million for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2020 and 2019, respectively. We expect to continue to incur operating losses in the near term as our 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increase to support the growth of our business, as well as additional costs associated with being a public company. We have funded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primarily through equity and debt financings and revenue from sales of our products. Through the date of our initial public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IPO, in September 2019, our operations were financed primarily from sales of our common and redeemable convertible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borrowings under various debt financings. In September 2019, we completed our IPO of 4,140,000 shares of our common stock at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of $14.00 per share, including the exercise in full by the underwriters of their option to purchase 540,000 additional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Including the option exercise, the aggregate net proceeds to us from the offering was approximately $50.4 million,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underwriting discounts, commissions and other offering expenses, for aggregate expenses of approximately $7.5 million. As of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we had $68.6 million of cash and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4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As a result of these limitations and reordering of priorities across the U.S. healthcare system, which have resulted in a reduction in patient flow, our test volumes began to decrease in the second half of March 2020. From March 15 through March 31 and during April as compared to the same period a year ago, we have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12% and 56%, respectively. We expect our test volumes to continue to be adversely affected by COVID-19 and we cannot predict when volumes will return to normal levels. 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ind w:right="60"/>
        <w:spacing w:after="0" w:line="252" w:lineRule="auto"/>
        <w:rPr>
          <w:sz w:val="20"/>
          <w:szCs w:val="20"/>
          <w:color w:val="auto"/>
        </w:rPr>
      </w:pPr>
      <w:r>
        <w:rPr>
          <w:rFonts w:ascii="Arial" w:cs="Arial" w:eastAsia="Arial" w:hAnsi="Arial"/>
          <w:sz w:val="18"/>
          <w:szCs w:val="18"/>
          <w:color w:val="auto"/>
        </w:rPr>
        <w:t>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our inability to achieve volume-based pricing discounts with our key suppliers and absorb fixed laboratory expenses. In addition, we have experienced delays in patient enrollment for ongoing and planned clinical trials involving our tests. We may also experience a decrease or potential halt in shipments of our testing products as our suppliers may be required to focus their resources to manufacture testing kits in response to the COVID-19 pandemic, which could in turn result in decreased gross margins.</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While it is too early to predict the full impact COVID-19 will have on our business, we expect it to have a material impact on our financial results for at least the next quarter and potentially beyond, depending upon the timing of any lifting of COVID-19 limitations on the U.S. healthcare system and general economic recovery. In response to the COVID-19 pandemic, we have equipped most of our employees with the ability to work remotely with the exception of our clinical laboratory employees, and implemented measures to protect the health of our employees and to support the functionality of our clinical laboratory. In March 2020, as a result of the COVID-19 pandemic, we terminated our temporary employees and six full-time employees, which included three employees at the vice president level. In addition, we have increased the use of virtual sales tools, halted employee travel, implemented work schedule reductions, instituted a temporary hiring freeze and scaled marketing spend. The full extent to which the COVID-19 pandemic will directly or indirectly continue to impact our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84" w:lineRule="exact"/>
        <w:rPr>
          <w:sz w:val="20"/>
          <w:szCs w:val="20"/>
          <w:color w:val="auto"/>
        </w:rPr>
      </w:pPr>
    </w:p>
    <w:p>
      <w:pPr>
        <w:ind w:left="660" w:hanging="328"/>
        <w:spacing w:after="0" w:line="231"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its launch in 2012, we have grown the number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at a compound annual growth rate of 81%, with limited incremental investment in our commercial infrastructure. Over 105,000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in 2019, representing 26% growth over 2018, and the number of ordering healthcare providers reached 1,707 in the fourth quarter of 2019, representing 34% growth over the same quarter in 2018. Through the first quarter of 2020, 27,126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13% growth over the same period in 2019, and the number of ordering healthcare providers in the first quarter of 2020 reached 1,692, representing approximately 28% growth over the same period in 2019. For the first quarter of 2020, we reached 582 adopting healthcare providers (defined as those who had prescribed at least 11 diagnostic tests in the corresponding period) compared to 533 in the same period in 2019. A high percentage of adopting healthcare providers continue to order tests in subsequent quarters, including a retention rate of approximately 99% among adopting healthcare providers in the first quarter of 2020. More than 414,000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have been delivered since launch. Revenue growth for our testing products will depend on our ability to continue to expand our base of ordering healthcare providers and increase our penetration with existing healthcare providers.</w:t>
      </w:r>
    </w:p>
    <w:p>
      <w:pPr>
        <w:spacing w:after="0" w:line="1" w:lineRule="exact"/>
        <w:rPr>
          <w:rFonts w:ascii="Arial" w:cs="Arial" w:eastAsia="Arial" w:hAnsi="Arial"/>
          <w:sz w:val="18"/>
          <w:szCs w:val="18"/>
          <w:color w:val="auto"/>
        </w:rPr>
      </w:pPr>
    </w:p>
    <w:p>
      <w:pPr>
        <w:ind w:left="660" w:right="80" w:hanging="328"/>
        <w:spacing w:after="0" w:line="251"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payers, including both commercial 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2" w:name="page23"/>
    <w:bookmarkEnd w:id="22"/>
    <w:p>
      <w:pPr>
        <w:ind w:left="660" w:right="180"/>
        <w:spacing w:after="0" w:line="250" w:lineRule="auto"/>
        <w:rPr>
          <w:sz w:val="20"/>
          <w:szCs w:val="20"/>
          <w:color w:val="auto"/>
        </w:rPr>
      </w:pPr>
      <w:r>
        <w:rPr>
          <w:rFonts w:ascii="Arial" w:cs="Arial" w:eastAsia="Arial" w:hAnsi="Arial"/>
          <w:sz w:val="18"/>
          <w:szCs w:val="18"/>
          <w:color w:val="auto"/>
        </w:rPr>
        <w:t>expected. Additionally, retrospective reimbursement adjustments can negatively impact our revenue and cause our financial results to fluctuate.</w:t>
      </w:r>
    </w:p>
    <w:p>
      <w:pPr>
        <w:spacing w:after="0" w:line="1" w:lineRule="exact"/>
        <w:rPr>
          <w:sz w:val="20"/>
          <w:szCs w:val="20"/>
          <w:color w:val="auto"/>
        </w:rPr>
      </w:pPr>
    </w:p>
    <w:p>
      <w:pPr>
        <w:ind w:left="660" w:hanging="328"/>
        <w:spacing w:after="0" w:line="217"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We began promoting SIMPONI</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 in January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no revenue and approximately $0.1 million in revenue for the three months ended March 31, 2020 and 2019, respectively. First quarter 2020 revenue was negatively affected by the disruption of our salesforce expansion and related realignment, competitiveness of new JAK inhibitors and reduced patient flow in part from COVID-19 impacts. We may continue to encounter difficulties in successfully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generating significant revenue under the Janssen Agreement. Our ability to effectively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will require us to be successful in a range of activities, including training and deploying additional sales representatives and creating demand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through our own sales activities as well as those of Janssen. Based on our estimate of the total U.S. addressable market for SIMPONI</w:t>
      </w:r>
      <w:r>
        <w:rPr>
          <w:rFonts w:ascii="Arial" w:cs="Arial" w:eastAsia="Arial" w:hAnsi="Arial"/>
          <w:sz w:val="23"/>
          <w:szCs w:val="23"/>
          <w:color w:val="auto"/>
          <w:vertAlign w:val="superscript"/>
        </w:rPr>
        <w:t>®'</w:t>
      </w:r>
      <w:r>
        <w:rPr>
          <w:rFonts w:ascii="Arial" w:cs="Arial" w:eastAsia="Arial" w:hAnsi="Arial"/>
          <w:sz w:val="18"/>
          <w:szCs w:val="18"/>
          <w:color w:val="auto"/>
        </w:rPr>
        <w:t>s approved indications of $28 billion, each incremental 1% market share we are able to capture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above the predetermined baseline under the Janssen Agreement could result in incremental revenue to us of up to $84 million. In interest of supporting these efforts we plan to continue to evaluate the reach and frequency of our salesforce. However, it may take longer to generate meaningful revenue than we currently expect and we may not be successful in materially increasing market share, which would cause us to continue to rely on our existing testing products to drive revenue growth.</w:t>
      </w:r>
    </w:p>
    <w:p>
      <w:pPr>
        <w:spacing w:after="0" w:line="11" w:lineRule="exact"/>
        <w:rPr>
          <w:rFonts w:ascii="Arial" w:cs="Arial" w:eastAsia="Arial" w:hAnsi="Arial"/>
          <w:sz w:val="18"/>
          <w:szCs w:val="18"/>
          <w:color w:val="auto"/>
        </w:rPr>
      </w:pPr>
    </w:p>
    <w:p>
      <w:pPr>
        <w:ind w:left="660" w:right="40" w:hanging="328"/>
        <w:spacing w:after="0" w:line="234"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ind w:left="660" w:right="120" w:hanging="328"/>
        <w:spacing w:after="0" w:line="250"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Margin Expansion</w:t>
      </w:r>
      <w:r>
        <w:rPr>
          <w:rFonts w:ascii="Arial" w:cs="Arial" w:eastAsia="Arial" w:hAnsi="Arial"/>
          <w:sz w:val="18"/>
          <w:szCs w:val="18"/>
          <w:color w:val="auto"/>
        </w:rPr>
        <w:t>. We believe growth in our promotion of therapeutics will meaningfully improve our margin profile and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our goal of achieving profitability. We realized an increase to our gross margins beginning in the first quarter of 2020 following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the Protecting Access to Medicare Act of 2014, or PAMA.</w:t>
      </w:r>
    </w:p>
    <w:p>
      <w:pPr>
        <w:spacing w:after="0" w:line="3" w:lineRule="exact"/>
        <w:rPr>
          <w:rFonts w:ascii="Arial" w:cs="Arial" w:eastAsia="Arial" w:hAnsi="Arial"/>
          <w:sz w:val="18"/>
          <w:szCs w:val="18"/>
          <w:color w:val="auto"/>
        </w:rPr>
      </w:pPr>
    </w:p>
    <w:p>
      <w:pPr>
        <w:ind w:left="660" w:right="20" w:hanging="328"/>
        <w:spacing w:after="0" w:line="242"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ind w:left="660" w:right="80" w:hanging="328"/>
        <w:spacing w:after="0" w:line="256"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payer. Changes to such estimates may increase or decrease revenue recognized in future periods.</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4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December 2018, we entered into the Janssen Agreement, under which we are responsible for the costs associated with our salesforce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right="160"/>
        <w:spacing w:after="0" w:line="252" w:lineRule="auto"/>
        <w:rPr>
          <w:sz w:val="20"/>
          <w:szCs w:val="20"/>
          <w:color w:val="auto"/>
        </w:rPr>
      </w:pPr>
      <w:r>
        <w:rPr>
          <w:rFonts w:ascii="Arial" w:cs="Arial" w:eastAsia="Arial" w:hAnsi="Arial"/>
          <w:sz w:val="18"/>
          <w:szCs w:val="18"/>
          <w:color w:val="auto"/>
        </w:rPr>
        <w:t>predetermined baseline. The predetermined average baseline for the initial term of 18 months is approximately 29,000 prescribed units per quarter, subject to adjustment under certain circumstances. In September 2019, we exercised our option to extend the term of the Janssen agreement to December 31, 2021. Janssen may terminate the Janssen Agreement at any time for any reason upon 30 days' notice to us, and we may terminate the Janssen Agreement for any reason at the end of any calendar quarter upon 30 days' notice to Janssen. Either party may terminate the Janssen Agreement in the event of the other party's default of any of its material obligations under the agreement if such default remains uncured for a specified period of time following receipt of written notice of such default.</w:t>
      </w:r>
    </w:p>
    <w:p>
      <w:pPr>
        <w:spacing w:after="0" w:line="20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recognized no co-promotional revenue and approximately $0.1 million during the three months ended March 31, 2020 and 2019, respectively. However, we expect to continue to recognize revenue as we perform co-promotional services based on the number of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over the predetermined baseline.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healthcare insurers, government payers (primarily Medicare and Medicaid), client payers (i.e. hospitals, other laboratories, etc.), and patient self-pay. Our service is completed upon the delivery of test results to the prescribing rheumatologists which triggers billing for the service.</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These assessments require significant judgment by management.</w:t>
      </w:r>
    </w:p>
    <w:p>
      <w:pPr>
        <w:spacing w:after="0" w:line="194"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 as well as our ability to successfully promote SIMPONI</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96"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As discussed above, we expect our test volumes to continue to be adversely affected by COVID-19 and we cannot predict when volumes will return to normal levels.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Due to the COVID-19 pandemic, we expect that our costs of revenue will decrease in absolute dollars in 2020 as compared to 2019, related to the decrease in test volumes described above. We expect the decrease in test volumes may result in an increase in cost per test due to our inability to realize volume discounts on materials and absorb fixed laboratory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4" w:name="page25"/>
    <w:bookmarkEnd w:id="24"/>
    <w:p>
      <w:pPr>
        <w:ind w:right="8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2020 as compared to 2019, as we continue to evaluate the reach and frequency of our sales and sales support functions, including expansion activities related to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and incur expenses from operating as a public company for the entire year, including expenses related to compliance with the rules and regulations of the Securities and Exchange Commission, or SEC, and the Nasdaq Global Market, additional insurance, investor relations activities and other administrative and professional services such as accounting, legal, regulatory and tax.</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expect that our research and development expenses will increase in absolute dollars in 2020 as compared to 2019, as we continue to invest in research and development activities related to our existing testing products and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loan agreement with Innovatus Life Sciences Lending Fund I, LP, or Innovatus.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decrease in the near term due to the lower interest rates and lower outstanding principal balances.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6"/>
        </w:trPr>
        <w:tc>
          <w:tcPr>
            <w:tcW w:w="6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8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Change</w:t>
            </w:r>
          </w:p>
        </w:tc>
      </w:tr>
      <w:tr>
        <w:trPr>
          <w:trHeight w:val="210"/>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ind w:left="102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9,584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324</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103</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9,626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3,447</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r>
      <w:tr>
        <w:trPr>
          <w:trHeight w:val="244"/>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14,805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11,134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3,671</w:t>
            </w:r>
          </w:p>
        </w:tc>
      </w:tr>
      <w:tr>
        <w:trPr>
          <w:trHeight w:val="25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(3,347)</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270</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(2,977)</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118</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(2,859)</w:t>
            </w:r>
          </w:p>
        </w:tc>
      </w:tr>
      <w:tr>
        <w:trPr>
          <w:trHeight w:val="27"/>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Revenue increased $0.3 million, or 3.5%, for the three months ended March 31, 2020 compared to the three months ended March 31, 2019, primarily due to an increase in the number of diagnostic tests delivered.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which accounted for 83% and 85% of revenue in the three months ended March 31, 2020 and 2019, respectively, increased to 27,126 tests delivered in the three months ended March 31, 2020 compared to 24,085 tests delivered in the same 2019 period. The increase is primarily due to the increased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rheumatologists as the number of ordering healthcare providers increased to 1,692 for the first quarter of 2020 as compared to 1,327 healthcare providers in the same 2019 period. The increase in revenue was partially offset by a decrease in average reimbursement per AVISE CTD test in the three months ended March 31, 2020 as compared to the prior year period, as well as a decrease in volume experienced during the second half of March due to COVID-19 impacts as compared to the prior year period. In addition, we did not recognize revenue from co-promoting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during the three months ended March 31, 2020 compared to $0.1 million during the three months ended March 31, 2019, due to prescription volume below the pre-defined baseline.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Costs of revenue remained relatively consistent for the three months ended March 31, 2020 compared to the three months ended March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Selling, general and administrative expenses increased $3.4 million, or 55.8%, for the three months ended March 31, 2020 compared to the three months ended March 31, 2019. This increase was primarily due to increased employee related expenses, including stock-based compensation, of $1.9 million as a result of increasing the size of our sales force from 41 as of March 31, 2019 to 62 as of March 31, 2020. The remaining increase relates primarily to increased audit and professional services of $0.7 million and insurance expenses of $0.4 million. The first quarter of 2020 included one-time restructuring charges of approximately $0.2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Research and development expenses remained relatively consistent for the three months ended March 31, 2020 compared to the three months ended March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$0.3 million, or 30.0%, for the three months ended March 31, 2020 compared to the three months ended</w:t>
      </w:r>
    </w:p>
    <w:p>
      <w:pPr>
        <w:spacing w:after="0" w:line="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March 31, 2019. This decrease was primarily due to the lower interest rate under our long-term borrowing arrangements for the three months ended March 31, 2020 compared to the prior year period.</w:t>
      </w:r>
    </w:p>
    <w:p>
      <w:pPr>
        <w:sectPr>
          <w:pgSz w:w="11900" w:h="16838" w:orient="portrait"/>
          <w:cols w:equalWidth="0" w:num="1">
            <w:col w:w="11240"/>
          </w:cols>
          <w:pgMar w:left="320" w:top="95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Other income, net, remained relatively consistent for the three months ended March 31, 2020 compared to the three months ended March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Income tax benefit increased $0.1 million for the three months ended March 31, 2020 compared to the three months ended March 31, 2019 due to a change in tax law under the Coronavirus Aid, Relief, and Economic Security Act, or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have incurred net losses since our inception. For the three months ended March 31, 2020 and 2019, we incurred a net loss of $5.6 million and $2.7 million, respectively, and we expect to incur additional losses and increased operating expenses in future periods. As of March 31, 2020, we had an accumulated deficit of $170.2 million. To date, we have generated only limited revenue, and we may never achieve revenue sufficient to offset our expenses.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and redeemable convertible preferred stock and borrowings under various debt financings. In September 2019, we completed our IPO of 4,140,000 shares of its common stock at a price to the public of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$ 7.5 million. As of March 31, 2020, we had $ 68.6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November 2019, we amended the loan agreement, which we collectively refer to as the Amended Loan Agreement. Pursuant to the Amended Loan Agreement, the loan term is for five years with a final maturity date of November 2024. The Amended Loan Agreement accrues interest at an annual rate of 8.5%, of which 2.0%, during the first 36 months, will be treated as paid in-kind interest. Paid in-kind interest is added to the principal balance each period. After the initial 36 months of the loan, the entire 8.5% will be paid in cash at the end of each period. On or after the first anniversary of the Loan Amendment, but before the second anniversary of the Loan Amendment, we may, at our option, prepay the term loan borrowings by paying the lender a prepayment premium. Prepayment before the second anniversary of the Loan Amendment may only occur for specified reasons in the Amended Loan Agreement. The prepayment premium decreases by 1% during each subsequent twelve-month period after the first anniversary of the Loan Amendment.</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and achieve certain minimum amounts of revenue,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We believe it is reasonably possible that we may fail to meet our financial performance affirmative covenant under the Amended Loan Agreement in the second or third quarter of 2020 as a result of the COVID-19 pandemic and its adverse impact on testing volumes. The consequences of failing to achieve the performance covenant will be waived if, within sixty days of failing to achieve the performance covenant, we issue additional equity securities or subordinated debt with net proceeds sufficient to fund any cash flow deficiency generated from operations.</w:t>
      </w:r>
    </w:p>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the execution of the 2017 Term Loan Agreement, we issued the lender a seven-year warrant to purchase 15,384,615 shares of our Series F redeemable convertible preferred stock at an exercise price of $0.078 per share, and in December 2018, in connection with the additional $5.0 million borrowed under the 2017 Term Loan Agreement, we issued to the lender a seven-year warrant to purchase 3,846,154 shares of our Series 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7" w:name="page28"/>
    <w:bookmarkEnd w:id="27"/>
    <w:p>
      <w:pPr>
        <w:ind w:right="140"/>
        <w:spacing w:after="0" w:line="256" w:lineRule="auto"/>
        <w:rPr>
          <w:sz w:val="20"/>
          <w:szCs w:val="20"/>
          <w:color w:val="auto"/>
        </w:rPr>
      </w:pPr>
      <w:r>
        <w:rPr>
          <w:rFonts w:ascii="Arial" w:cs="Arial" w:eastAsia="Arial" w:hAnsi="Arial"/>
          <w:sz w:val="18"/>
          <w:szCs w:val="18"/>
          <w:color w:val="auto"/>
        </w:rPr>
        <w:t>redeemable convertible preferred stock at an exercise price of $0.078 per share. In connection with the completion of our IPO in September 2019, the warrants were automatically converted into warrants exercisable for an aggregate of 104,722 shares of common stock at an exercise price of $14.32.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4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salesforce to drive increased adoption of and reimbursement for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products, promote SIMPONI</w:t>
      </w:r>
      <w:r>
        <w:rPr>
          <w:rFonts w:ascii="Arial" w:cs="Arial" w:eastAsia="Arial" w:hAnsi="Arial"/>
          <w:sz w:val="23"/>
          <w:szCs w:val="23"/>
          <w:color w:val="auto"/>
          <w:vertAlign w:val="superscript"/>
        </w:rPr>
        <w:t>®</w:t>
      </w:r>
      <w:r>
        <w:rPr>
          <w:rFonts w:ascii="Arial" w:cs="Arial" w:eastAsia="Arial" w:hAnsi="Arial"/>
          <w:sz w:val="18"/>
          <w:szCs w:val="18"/>
          <w:color w:val="auto"/>
        </w:rPr>
        <w:t>, prepare to commercialize new testing products, continue our research and development efforts and further develop our product pipeline.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Based on our current business plan, we believe that our existing cash and cash equivalents and our anticipated future revenue, will be sufficient to meet our anticipated cash requirements for at least the next 12 months.</w:t>
      </w:r>
    </w:p>
    <w:p>
      <w:pPr>
        <w:spacing w:after="0" w:line="20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9" w:lineRule="exact"/>
        <w:rPr>
          <w:sz w:val="20"/>
          <w:szCs w:val="20"/>
          <w:color w:val="auto"/>
        </w:rPr>
      </w:pPr>
    </w:p>
    <w:p>
      <w:pPr>
        <w:ind w:left="660" w:right="80" w:hanging="328"/>
        <w:spacing w:after="0" w:line="239"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3"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recent COVID-19 pandemic on our business, including challenges resulting from social distancing and stay-at home orders through a reduction in testing volumes;</w:t>
      </w:r>
    </w:p>
    <w:p>
      <w:pPr>
        <w:spacing w:after="0" w:line="3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b w:val="1"/>
          <w:bCs w:val="1"/>
          <w:color w:val="auto"/>
        </w:rPr>
      </w:pPr>
    </w:p>
    <w:p>
      <w:pPr>
        <w:ind w:left="660" w:right="120" w:hanging="328"/>
        <w:spacing w:after="0" w:line="220" w:lineRule="auto"/>
        <w:tabs>
          <w:tab w:leader="none" w:pos="656"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including the expansion of our sales capabilities, and the extent and timing of generating revenue from such promotion;</w:t>
      </w:r>
    </w:p>
    <w:p>
      <w:pPr>
        <w:spacing w:after="0" w:line="53" w:lineRule="exact"/>
        <w:rPr>
          <w:rFonts w:ascii="Arial" w:cs="Arial" w:eastAsia="Arial" w:hAnsi="Arial"/>
          <w:sz w:val="18"/>
          <w:szCs w:val="18"/>
          <w:b w:val="1"/>
          <w:bCs w:val="1"/>
          <w:color w:val="auto"/>
        </w:rPr>
      </w:pPr>
    </w:p>
    <w:p>
      <w:pPr>
        <w:ind w:left="660" w:right="660" w:hanging="328"/>
        <w:spacing w:after="0" w:line="261" w:lineRule="auto"/>
        <w:tabs>
          <w:tab w:leader="none" w:pos="656"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35" w:lineRule="exact"/>
        <w:rPr>
          <w:rFonts w:ascii="Arial" w:cs="Arial" w:eastAsia="Arial" w:hAnsi="Arial"/>
          <w:sz w:val="18"/>
          <w:szCs w:val="18"/>
          <w:b w:val="1"/>
          <w:bCs w:val="1"/>
          <w:color w:val="auto"/>
        </w:rPr>
      </w:pPr>
    </w:p>
    <w:p>
      <w:pPr>
        <w:ind w:left="660" w:right="360" w:hanging="328"/>
        <w:spacing w:after="0" w:line="261" w:lineRule="auto"/>
        <w:tabs>
          <w:tab w:leader="none" w:pos="656"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achieve sufficient market acceptance, coverage and adequate reimbursement from third-party payers and adequate market share and revenue for our testing products;</w:t>
      </w:r>
    </w:p>
    <w:p>
      <w:pPr>
        <w:spacing w:after="0" w:line="35"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additional costs we may incur as a result of operating as a public company; and</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ind w:right="460"/>
        <w:spacing w:after="0" w:line="256" w:lineRule="auto"/>
        <w:rPr>
          <w:sz w:val="20"/>
          <w:szCs w:val="20"/>
          <w:color w:val="auto"/>
        </w:rPr>
      </w:pPr>
      <w:r>
        <w:rPr>
          <w:rFonts w:ascii="Arial" w:cs="Arial" w:eastAsia="Arial" w:hAnsi="Arial"/>
          <w:sz w:val="18"/>
          <w:szCs w:val="18"/>
          <w:color w:val="auto"/>
        </w:rPr>
        <w:t>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3"/>
                <w:szCs w:val="13"/>
                <w:b w:val="1"/>
                <w:bCs w:val="1"/>
                <w:color w:val="auto"/>
              </w:rPr>
              <w:t>Three Months Ended March 31,</w:t>
            </w:r>
          </w:p>
        </w:tc>
      </w:tr>
      <w:tr>
        <w:trPr>
          <w:trHeight w:val="196"/>
        </w:trPr>
        <w:tc>
          <w:tcPr>
            <w:tcW w:w="82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2019</w:t>
            </w:r>
          </w:p>
        </w:tc>
      </w:tr>
      <w:tr>
        <w:trPr>
          <w:trHeight w:val="197"/>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(unaudited)</w:t>
            </w:r>
          </w:p>
        </w:tc>
        <w:tc>
          <w:tcPr>
            <w:tcW w:w="100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w w:val="99"/>
              </w:rPr>
              <w:t>(3,301)</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(1,950)</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(363)</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3,476</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9"/>
              </w:rPr>
              <w:t>(3,436)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1,163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Net cash used in operating activities for the three months ended March 31, 2020 was $3.3 million and primarily resulted from our net loss of $5.6 million adjusted for non-cash charges of $0.6 million related to depreciation, amortization, stock-based compensation and non-cash interest. The net cash used in operating activities was partially offset by changes in our net operating assets of $1.6 million primarily related to net increases in accounts payable and accrued liabilities.</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operating activities for the three months ended March 31, 2019 was $2.0 million and primarily resulted from our net loss of $2.7 million adjusted for non-cash charges of $0.6 million for depreciation, amortization, stock-based compensation and non-cash interest. The net cash used in operating activities was partially offset by changes in our net operating assets of $0.2 million related to net increases in accounts payable and accrued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4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Net cash used in investing activities for the three months ended March 31, 2020 and March 31, 2019 was $0.1 million and $0.4 million, respectively, and was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4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Net cash used in financing activities for the three months ended March 31, 2020 was $0.1 million and primarily resulted from principal payments on capital lease obligations.</w:t>
      </w:r>
    </w:p>
    <w:p>
      <w:pPr>
        <w:spacing w:after="0" w:line="19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Net cash provided by financing activities for the three months ended March 31, 2019 was $3.5 million and primarily resulted from net proceeds received from the issuance of our redeemable convertible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or U.S. GAAP. The year-end condensed balance sheet data was derived from audited financial statements, but does not include all disclosures required by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spacing w:after="0" w:line="252"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Management Estimates" contained in the Annual Report on Form 10-K for the year ended December 31, 2019, filed on March 25, 2020. There have been no significant changes in our critical accounting policies and estimates during the three months ended March 31, 2020 as compared to the critical accounting policies and estimates disclosed in Management’s Discussion and Analysis of Financial Condition and Operations included in the Annual Report on Form 10-K for the year ended December 31, 2019, filed on March 25,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2 of Part I, Item 1 of this Quarterly Report on Form 10-Q for a summary of changes in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0" w:name="page31"/>
    <w:bookmarkEnd w:id="30"/>
    <w:p>
      <w:pPr>
        <w:ind w:right="160"/>
        <w:spacing w:after="0" w:line="261" w:lineRule="auto"/>
        <w:rPr>
          <w:sz w:val="20"/>
          <w:szCs w:val="20"/>
          <w:color w:val="auto"/>
        </w:rPr>
      </w:pPr>
      <w:r>
        <w:rPr>
          <w:rFonts w:ascii="Arial" w:cs="Arial" w:eastAsia="Arial" w:hAnsi="Arial"/>
          <w:sz w:val="18"/>
          <w:szCs w:val="18"/>
          <w:color w:val="auto"/>
        </w:rPr>
        <w:t>procedures may deteriorate. Because of the inherent limitations in a cost-effective control system, misstatements due to error or fraud may occur and not be detected.</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March 31, 2020,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2020 that have materially affected, or are reasonably likely to materially affect, our internal control over financial reporting.</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I. Legal Proceedings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2019, other than as set forth below:</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recent global pandemic of the COVID-19 coronavirus.</w:t>
      </w:r>
    </w:p>
    <w:p>
      <w:pPr>
        <w:spacing w:after="0" w:line="180"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 pandemic, including COVID-19 or other public health epidemic, poses the risk that we or our employees, contractors, suppliers, third-party shipping carries, government and third-party payors and other partners may be prevented from conducting business activities for an indefinite period of time, including due to spread of the disease within these groups or due to shutdowns that may be requested or mandated by governmental authorities. As a result of current COVID-19 related limitations and reordering of priorities across the U.S. healthcare system, which have resulted in a reduction in patient flow, our test volumes began to decrease in the second half of March 2020. From March 15 through March 31 and during April as compared to the same period a year ago, we have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12% and 56%, respectively. We expect our test volumes to continue to be adversely affected by COVID-19 and cannot predict when volumes will return to normal levels. 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4" w:right="399" w:bottom="1440" w:gutter="0" w:footer="0" w:header="0"/>
        </w:sectPr>
      </w:pPr>
    </w:p>
    <w:bookmarkStart w:id="31" w:name="page32"/>
    <w:bookmarkEnd w:id="31"/>
    <w:p>
      <w:pPr>
        <w:spacing w:after="0" w:line="238" w:lineRule="auto"/>
        <w:rPr>
          <w:sz w:val="20"/>
          <w:szCs w:val="20"/>
          <w:color w:val="auto"/>
        </w:rPr>
      </w:pPr>
      <w:r>
        <w:rPr>
          <w:rFonts w:ascii="Arial" w:cs="Arial" w:eastAsia="Arial" w:hAnsi="Arial"/>
          <w:sz w:val="18"/>
          <w:szCs w:val="18"/>
          <w:color w:val="auto"/>
        </w:rPr>
        <w:t>Medicare and third-party payors and in interactions with regulatory authorities, as well as our inability to achieve volume-based discounts with our key suppliers and to absorb fixed laboratory expenses. In addition, we have experienced delays in patient enrollment for ongoing and planned clinical trials involving our tests. We may also experience a decrease or potential halt in shipments of our testing products as our suppliers may be required to focus their resources to manufacture testing kits in response to the COVID-19 pandemic, which could in turn result in decreased gross margins.</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laboratory operations, including laboratory employees and medical directors, may be subject to closure or shut down, either due to the spread of the disease within these individuals, or as part of a larger scale government recommendation or mandate. Any disruption in our laboratory operations would have a material adverse effect on our business and would impede our ability to process tests in a timely manner, or at all. Additionally, as discussed above the demand for our testing products, and the demand for therapeutics, have significantly declined and may cease as COVID-19 continues to spread, including as a result of prioritization of hospital or clinical resources toward the pandemic or government imposed quarantines that impede patient flow or interrupt healthcare services or patients otherwise delaying or declining to seek treatment. The economic downturn may also result in closures of the practices of our primary customers. As it relates to our promotion efforts of SIMPONI, we may experience decreased demand for or discontinued treatment with SIMPONI from patients who are infected by COVID-19 or who may be at higher risk of infection if it is determined that such patients should minimize exposure to immunosuppressant therapies. Additionally, if we are unable to renegotiate contract terms with our suppliers, we will not be able to utilize the volume-based price discounts due to the decrease in demand for our testing products.</w:t>
      </w:r>
    </w:p>
    <w:p>
      <w:pPr>
        <w:spacing w:after="0" w:line="15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occurrence of any of the foregoing events could have a material adverse effect on our business, financial condition and results of operations. The COVID-19 pandemic and mitigation measures have had and may continue to have an adverse impact on global economic conditions which could have an adverse effect on our business and financial condition, including impairing our ability to raise capital on a timely basis or at all. The extent to which the COVID-19 pandemic impacts our results will depend on future developments that are highly uncertain and cannot be predicted, including new information that may emerge concerning the severity of the virus and the actions to contain its impact. COVID-19 may also have the effect of heightening many of the other risks described in this section and in the "Risk Factors" section of our Annual Report on Form 10-K for the year ended December 31, 2019.</w:t>
      </w:r>
    </w:p>
    <w:p>
      <w:pPr>
        <w:spacing w:after="0" w:line="181"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September 2017, we entered into the 2017 Term Loan Agreement, and in November 2019, we entered into the Amended Loan Amendment.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The Loan Amendment (i) decreased the interest rate on all borrowings to 8.5%, of which 2.0% is paid in-kind and capitalized to the principal amount of the outstanding term loan on a monthly basis under December 2022; after which interest accrues at an annual rate of 8.5%; (ii) extended the interest only period to December 2022 and the maturity date to November 19, 2024; (iii) revised the prepayment terms to (x) restrict prepayments for the initial year following the date of the Loan Amendment and (y) set the prepayment premium at 3% of the principal amount of any term loans prepaid prior to November 19, 2020, with such prepayment premium decreasing by 1% during each subsequent twelve-month period after November 2020; and (iv) replaced the interest-only milestones with a financial covenant requiring that we achieve a specified level of revenue, as measured on a rolling twelve-month basis, and commencing with the quarter ending December 31, 2019, subject to exceptions based on achievement of performance milestones and the ability to cure any default thereof with the issuance of equity securities or subordinated indebtedness. As of March 31, 2020, there was $25.0 million in principal outstanding under the term loan and an additional $1.4 million outstanding representing interest at 2.0% per annum payable in-kind by adding the amount to the outstanding principal balance of the term loans. Under the Amended Loan Agreement, we are required to repay any outstanding principal and capitalized interest in monthly installments over a two-year period commencing on December 1, 2022. We cannot be certain that we will be able to generate sufficient cash flow or revenue to meet the financial covenants or pay the principal and accrued interest on our debt, and, based on our current forecasts, we believe it is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2" w:name="page33"/>
    <w:bookmarkEnd w:id="32"/>
    <w:p>
      <w:pPr>
        <w:ind w:right="60"/>
        <w:spacing w:after="0" w:line="246" w:lineRule="auto"/>
        <w:rPr>
          <w:sz w:val="20"/>
          <w:szCs w:val="20"/>
          <w:color w:val="auto"/>
        </w:rPr>
      </w:pPr>
      <w:r>
        <w:rPr>
          <w:rFonts w:ascii="Arial" w:cs="Arial" w:eastAsia="Arial" w:hAnsi="Arial"/>
          <w:sz w:val="18"/>
          <w:szCs w:val="18"/>
          <w:color w:val="auto"/>
        </w:rPr>
        <w:t>reasonably possible that we may fail to meet the financial performance affirmative covenant in the second or third quarter of 2020 as a result of the COVID-19 pandemic and its adverse impact on testing volumes.</w:t>
      </w:r>
    </w:p>
    <w:p>
      <w:pPr>
        <w:spacing w:after="0" w:line="1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third-party in an amount exceeding $500,000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700" w:firstLine="2711"/>
        <w:spacing w:after="0" w:line="474"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have used approximately $5.6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3" w:name="page34"/>
    <w:bookmarkEnd w:id="33"/>
    <w:p>
      <w:pPr>
        <w:jc w:val="center"/>
        <w:ind w:right="237"/>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59" w:lineRule="exact"/>
        <w:rPr>
          <w:sz w:val="20"/>
          <w:szCs w:val="20"/>
          <w:color w:val="auto"/>
        </w:rPr>
      </w:pPr>
    </w:p>
    <w:tbl>
      <w:tblPr>
        <w:tblLayout w:type="fixed"/>
        <w:tblInd w:w="123"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r>
      <w:tr>
        <w:trPr>
          <w:trHeight w:val="175"/>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Exhibit Filing</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w w:val="99"/>
              </w:rPr>
              <w:t>Filed/Furnished</w:t>
            </w:r>
          </w:p>
        </w:tc>
      </w:tr>
      <w:tr>
        <w:trPr>
          <w:trHeight w:val="190"/>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20" w:type="dxa"/>
            <w:vAlign w:val="bottom"/>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7620</wp:posOffset>
            </wp:positionV>
            <wp:extent cx="6069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0003"/>
          </w:cols>
          <w:pgMar w:left="1057" w:top="1129" w:right="839" w:bottom="1440" w:gutter="0" w:footer="0" w:header="0"/>
        </w:sectPr>
      </w:pPr>
    </w:p>
    <w:p>
      <w:pPr>
        <w:spacing w:after="0" w:line="27" w:lineRule="exact"/>
        <w:rPr>
          <w:sz w:val="20"/>
          <w:szCs w:val="20"/>
          <w:color w:val="auto"/>
        </w:rPr>
      </w:pPr>
    </w:p>
    <w:tbl>
      <w:tblPr>
        <w:tblLayout w:type="fixed"/>
        <w:tblInd w:w="123"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3.1</w:t>
            </w:r>
          </w:p>
        </w:tc>
        <w:tc>
          <w:tcPr>
            <w:tcW w:w="3180" w:type="dxa"/>
            <w:vAlign w:val="bottom"/>
            <w:gridSpan w:val="19"/>
          </w:tcPr>
          <w:p>
            <w:pPr>
              <w:spacing w:after="0"/>
              <w:rPr>
                <w:rFonts w:ascii="Arial" w:cs="Arial" w:eastAsia="Arial" w:hAnsi="Arial"/>
                <w:sz w:val="14"/>
                <w:szCs w:val="14"/>
                <w:color w:val="0000FF"/>
              </w:rPr>
            </w:pPr>
            <w:hyperlink r:id="rId55">
              <w:r>
                <w:rPr>
                  <w:rFonts w:ascii="Arial" w:cs="Arial" w:eastAsia="Arial" w:hAnsi="Arial"/>
                  <w:sz w:val="14"/>
                  <w:szCs w:val="14"/>
                  <w:color w:val="0000FF"/>
                </w:rPr>
                <w:t>Form of Amended and Restated Certificate of</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Incorporation.</w:t>
              </w:r>
            </w:hyperlink>
          </w:p>
        </w:tc>
        <w:tc>
          <w:tcPr>
            <w:tcW w:w="2000" w:type="dxa"/>
            <w:vAlign w:val="bottom"/>
            <w:tcBorders>
              <w:top w:val="single" w:sz="8" w:color="0000FF"/>
            </w:tcBorders>
            <w:gridSpan w:val="9"/>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4"/>
                <w:szCs w:val="14"/>
                <w:color w:val="auto"/>
              </w:rPr>
              <w:t>3.2</w:t>
            </w:r>
          </w:p>
        </w:tc>
        <w:tc>
          <w:tcPr>
            <w:tcW w:w="3180" w:type="dxa"/>
            <w:vAlign w:val="bottom"/>
            <w:gridSpan w:val="19"/>
          </w:tcPr>
          <w:p>
            <w:pPr>
              <w:spacing w:after="0"/>
              <w:rPr>
                <w:rFonts w:ascii="Arial" w:cs="Arial" w:eastAsia="Arial" w:hAnsi="Arial"/>
                <w:sz w:val="14"/>
                <w:szCs w:val="14"/>
                <w:u w:val="single" w:color="auto"/>
                <w:color w:val="0000FF"/>
              </w:rPr>
            </w:pPr>
            <w:hyperlink r:id="rId56">
              <w:r>
                <w:rPr>
                  <w:rFonts w:ascii="Arial" w:cs="Arial" w:eastAsia="Arial" w:hAnsi="Arial"/>
                  <w:sz w:val="14"/>
                  <w:szCs w:val="14"/>
                  <w:u w:val="single" w:color="auto"/>
                  <w:color w:val="0000FF"/>
                </w:rPr>
                <w:t>Form of Amended Restated Bylaws.</w:t>
              </w:r>
            </w:hyperlink>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4.1</w:t>
            </w:r>
          </w:p>
        </w:tc>
        <w:tc>
          <w:tcPr>
            <w:tcW w:w="3180" w:type="dxa"/>
            <w:vAlign w:val="bottom"/>
            <w:gridSpan w:val="19"/>
          </w:tcPr>
          <w:p>
            <w:pPr>
              <w:spacing w:after="0"/>
              <w:rPr>
                <w:rFonts w:ascii="Arial" w:cs="Arial" w:eastAsia="Arial" w:hAnsi="Arial"/>
                <w:sz w:val="14"/>
                <w:szCs w:val="14"/>
                <w:color w:val="0000FF"/>
              </w:rPr>
            </w:pPr>
            <w:hyperlink r:id="rId57">
              <w:r>
                <w:rPr>
                  <w:rFonts w:ascii="Arial" w:cs="Arial" w:eastAsia="Arial" w:hAnsi="Arial"/>
                  <w:sz w:val="14"/>
                  <w:szCs w:val="14"/>
                  <w:color w:val="0000FF"/>
                </w:rPr>
                <w:t>Specimen stock certificate evidencing the shares</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2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of common stock.</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 w:type="dxa"/>
            <w:vAlign w:val="bottom"/>
          </w:tcPr>
          <w:p>
            <w:pPr>
              <w:spacing w:after="0"/>
              <w:rPr>
                <w:sz w:val="14"/>
                <w:szCs w:val="14"/>
                <w:color w:val="auto"/>
              </w:rPr>
            </w:pPr>
          </w:p>
        </w:tc>
        <w:tc>
          <w:tcPr>
            <w:tcW w:w="3180" w:type="dxa"/>
            <w:vAlign w:val="bottom"/>
            <w:gridSpan w:val="19"/>
          </w:tcPr>
          <w:p>
            <w:pPr>
              <w:spacing w:after="0"/>
              <w:rPr>
                <w:rFonts w:ascii="Arial" w:cs="Arial" w:eastAsia="Arial" w:hAnsi="Arial"/>
                <w:sz w:val="14"/>
                <w:szCs w:val="14"/>
                <w:color w:val="0000FF"/>
              </w:rPr>
            </w:pPr>
            <w:hyperlink r:id="rId58">
              <w:r>
                <w:rPr>
                  <w:rFonts w:ascii="Arial" w:cs="Arial" w:eastAsia="Arial" w:hAnsi="Arial"/>
                  <w:sz w:val="14"/>
                  <w:szCs w:val="14"/>
                  <w:color w:val="0000FF"/>
                </w:rPr>
                <w:t>Amended and Restated Investors’ Rights</w:t>
              </w:r>
            </w:hyperlink>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8"/>
          </w:tcPr>
          <w:p>
            <w:pPr>
              <w:spacing w:after="0" w:line="122" w:lineRule="exact"/>
              <w:rPr>
                <w:rFonts w:ascii="Arial" w:cs="Arial" w:eastAsia="Arial" w:hAnsi="Arial"/>
                <w:sz w:val="14"/>
                <w:szCs w:val="14"/>
                <w:color w:val="0000FF"/>
              </w:rPr>
            </w:pPr>
            <w:hyperlink r:id="rId58">
              <w:r>
                <w:rPr>
                  <w:rFonts w:ascii="Arial" w:cs="Arial" w:eastAsia="Arial" w:hAnsi="Arial"/>
                  <w:sz w:val="14"/>
                  <w:szCs w:val="14"/>
                  <w:color w:val="0000FF"/>
                </w:rPr>
                <w:t>Agreement, dated July 12, 2019, by and</w:t>
              </w:r>
            </w:hyperlink>
          </w:p>
        </w:tc>
        <w:tc>
          <w:tcPr>
            <w:tcW w:w="580" w:type="dxa"/>
            <w:vAlign w:val="bottom"/>
            <w:gridSpan w:val="11"/>
          </w:tcPr>
          <w:p>
            <w:pPr>
              <w:spacing w:after="0" w:line="122" w:lineRule="exact"/>
              <w:rPr>
                <w:rFonts w:ascii="Arial" w:cs="Arial" w:eastAsia="Arial" w:hAnsi="Arial"/>
                <w:sz w:val="14"/>
                <w:szCs w:val="14"/>
                <w:color w:val="0000FF"/>
              </w:rPr>
            </w:pPr>
            <w:hyperlink r:id="rId58">
              <w:r>
                <w:rPr>
                  <w:rFonts w:ascii="Arial" w:cs="Arial" w:eastAsia="Arial" w:hAnsi="Arial"/>
                  <w:sz w:val="14"/>
                  <w:szCs w:val="14"/>
                  <w:color w:val="0000FF"/>
                </w:rPr>
                <w:t>among</w:t>
              </w:r>
            </w:hyperlink>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3020" w:type="dxa"/>
            <w:vAlign w:val="bottom"/>
            <w:tcBorders>
              <w:top w:val="single" w:sz="8" w:color="0000FF"/>
            </w:tcBorders>
            <w:gridSpan w:val="14"/>
          </w:tcPr>
          <w:p>
            <w:pPr>
              <w:spacing w:after="0"/>
              <w:rPr>
                <w:rFonts w:ascii="Arial" w:cs="Arial" w:eastAsia="Arial" w:hAnsi="Arial"/>
                <w:sz w:val="14"/>
                <w:szCs w:val="14"/>
                <w:u w:val="single" w:color="auto"/>
                <w:color w:val="0000FF"/>
              </w:rPr>
            </w:pPr>
            <w:hyperlink r:id="rId58">
              <w:r>
                <w:rPr>
                  <w:rFonts w:ascii="Arial" w:cs="Arial" w:eastAsia="Arial" w:hAnsi="Arial"/>
                  <w:sz w:val="14"/>
                  <w:szCs w:val="14"/>
                  <w:u w:val="single" w:color="auto"/>
                  <w:color w:val="0000FF"/>
                </w:rPr>
                <w:t>the Registrant and certain of its stockholders.</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180" w:type="dxa"/>
            <w:vAlign w:val="bottom"/>
            <w:gridSpan w:val="19"/>
          </w:tcPr>
          <w:p>
            <w:pPr>
              <w:spacing w:after="0" w:line="144" w:lineRule="exact"/>
              <w:rPr>
                <w:rFonts w:ascii="Arial" w:cs="Arial" w:eastAsia="Arial" w:hAnsi="Arial"/>
                <w:sz w:val="14"/>
                <w:szCs w:val="14"/>
                <w:color w:val="0000FF"/>
              </w:rPr>
            </w:pPr>
            <w:hyperlink r:id="rId59">
              <w:r>
                <w:rPr>
                  <w:rFonts w:ascii="Arial" w:cs="Arial" w:eastAsia="Arial" w:hAnsi="Arial"/>
                  <w:sz w:val="14"/>
                  <w:szCs w:val="14"/>
                  <w:color w:val="0000FF"/>
                </w:rPr>
                <w:t>Amended and Restated Stockholders’</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4.3</w:t>
            </w:r>
          </w:p>
        </w:tc>
        <w:tc>
          <w:tcPr>
            <w:tcW w:w="3180" w:type="dxa"/>
            <w:vAlign w:val="bottom"/>
            <w:gridSpan w:val="19"/>
          </w:tcPr>
          <w:p>
            <w:pPr>
              <w:spacing w:after="0" w:line="115" w:lineRule="exact"/>
              <w:rPr>
                <w:rFonts w:ascii="Arial" w:cs="Arial" w:eastAsia="Arial" w:hAnsi="Arial"/>
                <w:sz w:val="13"/>
                <w:szCs w:val="13"/>
                <w:color w:val="0000FF"/>
              </w:rPr>
            </w:pPr>
            <w:hyperlink r:id="rId59">
              <w:r>
                <w:rPr>
                  <w:rFonts w:ascii="Arial" w:cs="Arial" w:eastAsia="Arial" w:hAnsi="Arial"/>
                  <w:sz w:val="13"/>
                  <w:szCs w:val="13"/>
                  <w:color w:val="0000FF"/>
                </w:rPr>
                <w:t>Agreement, dated July 12, 2019, by and among</w:t>
              </w:r>
            </w:hyperlink>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3020" w:type="dxa"/>
            <w:vAlign w:val="bottom"/>
            <w:tcBorders>
              <w:top w:val="single" w:sz="8" w:color="0000FF"/>
            </w:tcBorders>
            <w:gridSpan w:val="14"/>
          </w:tcPr>
          <w:p>
            <w:pPr>
              <w:spacing w:after="0"/>
              <w:rPr>
                <w:rFonts w:ascii="Arial" w:cs="Arial" w:eastAsia="Arial" w:hAnsi="Arial"/>
                <w:sz w:val="14"/>
                <w:szCs w:val="14"/>
                <w:u w:val="single" w:color="auto"/>
                <w:color w:val="0000FF"/>
              </w:rPr>
            </w:pPr>
            <w:hyperlink r:id="rId59">
              <w:r>
                <w:rPr>
                  <w:rFonts w:ascii="Arial" w:cs="Arial" w:eastAsia="Arial" w:hAnsi="Arial"/>
                  <w:sz w:val="14"/>
                  <w:szCs w:val="14"/>
                  <w:u w:val="single" w:color="auto"/>
                  <w:color w:val="0000FF"/>
                </w:rPr>
                <w:t>the Registrant and certain of its stockholders.</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180" w:type="dxa"/>
            <w:vAlign w:val="bottom"/>
            <w:gridSpan w:val="19"/>
          </w:tcPr>
          <w:p>
            <w:pPr>
              <w:spacing w:after="0" w:line="144" w:lineRule="exact"/>
              <w:rPr>
                <w:rFonts w:ascii="Arial" w:cs="Arial" w:eastAsia="Arial" w:hAnsi="Arial"/>
                <w:sz w:val="14"/>
                <w:szCs w:val="14"/>
                <w:color w:val="0000FF"/>
              </w:rPr>
            </w:pPr>
            <w:hyperlink r:id="rId60">
              <w:r>
                <w:rPr>
                  <w:rFonts w:ascii="Arial" w:cs="Arial" w:eastAsia="Arial" w:hAnsi="Arial"/>
                  <w:sz w:val="14"/>
                  <w:szCs w:val="14"/>
                  <w:color w:val="0000FF"/>
                </w:rPr>
                <w:t>Form of Common Stock Purchase Warrant</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4.4</w:t>
            </w:r>
          </w:p>
        </w:tc>
        <w:tc>
          <w:tcPr>
            <w:tcW w:w="2720" w:type="dxa"/>
            <w:vAlign w:val="bottom"/>
            <w:tcBorders>
              <w:top w:val="single" w:sz="8" w:color="0000FF"/>
            </w:tcBorders>
            <w:gridSpan w:val="10"/>
          </w:tcPr>
          <w:p>
            <w:pPr>
              <w:spacing w:after="0" w:line="115" w:lineRule="exact"/>
              <w:rPr>
                <w:rFonts w:ascii="Arial" w:cs="Arial" w:eastAsia="Arial" w:hAnsi="Arial"/>
                <w:sz w:val="13"/>
                <w:szCs w:val="13"/>
                <w:color w:val="0000FF"/>
              </w:rPr>
            </w:pPr>
            <w:hyperlink r:id="rId60">
              <w:r>
                <w:rPr>
                  <w:rFonts w:ascii="Arial" w:cs="Arial" w:eastAsia="Arial" w:hAnsi="Arial"/>
                  <w:sz w:val="13"/>
                  <w:szCs w:val="13"/>
                  <w:color w:val="0000FF"/>
                </w:rPr>
                <w:t>issued to investors by the Registrant in</w:t>
              </w:r>
            </w:hyperlink>
          </w:p>
        </w:tc>
        <w:tc>
          <w:tcPr>
            <w:tcW w:w="2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vMerge w:val="continue"/>
          </w:tcPr>
          <w:p>
            <w:pPr>
              <w:spacing w:after="0"/>
              <w:rPr>
                <w:sz w:val="13"/>
                <w:szCs w:val="13"/>
                <w:color w:val="auto"/>
              </w:rPr>
            </w:pPr>
          </w:p>
        </w:tc>
        <w:tc>
          <w:tcPr>
            <w:tcW w:w="3180" w:type="dxa"/>
            <w:vAlign w:val="bottom"/>
            <w:gridSpan w:val="19"/>
          </w:tcPr>
          <w:p>
            <w:pPr>
              <w:spacing w:after="0"/>
              <w:rPr>
                <w:rFonts w:ascii="Arial" w:cs="Arial" w:eastAsia="Arial" w:hAnsi="Arial"/>
                <w:sz w:val="14"/>
                <w:szCs w:val="14"/>
                <w:u w:val="single" w:color="auto"/>
                <w:color w:val="0000FF"/>
              </w:rPr>
            </w:pPr>
            <w:hyperlink r:id="rId60">
              <w:r>
                <w:rPr>
                  <w:rFonts w:ascii="Arial" w:cs="Arial" w:eastAsia="Arial" w:hAnsi="Arial"/>
                  <w:sz w:val="14"/>
                  <w:szCs w:val="14"/>
                  <w:u w:val="single" w:color="auto"/>
                  <w:color w:val="0000FF"/>
                </w:rPr>
                <w:t>connection with private placement financings.</w:t>
              </w:r>
            </w:hyperlink>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180" w:type="dxa"/>
            <w:vAlign w:val="bottom"/>
            <w:gridSpan w:val="19"/>
          </w:tcPr>
          <w:p>
            <w:pPr>
              <w:spacing w:after="0" w:line="144" w:lineRule="exact"/>
              <w:rPr>
                <w:rFonts w:ascii="Arial" w:cs="Arial" w:eastAsia="Arial" w:hAnsi="Arial"/>
                <w:sz w:val="14"/>
                <w:szCs w:val="14"/>
                <w:color w:val="0000FF"/>
              </w:rPr>
            </w:pPr>
            <w:hyperlink w:anchor="page36">
              <w:r>
                <w:rPr>
                  <w:rFonts w:ascii="Arial" w:cs="Arial" w:eastAsia="Arial" w:hAnsi="Arial"/>
                  <w:sz w:val="14"/>
                  <w:szCs w:val="14"/>
                  <w:color w:val="0000FF"/>
                </w:rPr>
                <w:t>Certificate of Principal Executive Officer, pursuant</w:t>
              </w:r>
            </w:hyperlink>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3160" w:type="dxa"/>
            <w:vAlign w:val="bottom"/>
            <w:tcBorders>
              <w:top w:val="single" w:sz="8" w:color="0000FF"/>
            </w:tcBorders>
            <w:gridSpan w:val="18"/>
          </w:tcPr>
          <w:p>
            <w:pPr>
              <w:spacing w:after="0" w:line="106" w:lineRule="exact"/>
              <w:rPr>
                <w:rFonts w:ascii="Arial" w:cs="Arial" w:eastAsia="Arial" w:hAnsi="Arial"/>
                <w:sz w:val="12"/>
                <w:szCs w:val="12"/>
                <w:color w:val="0000FF"/>
              </w:rPr>
            </w:pPr>
            <w:hyperlink w:anchor="page36">
              <w:r>
                <w:rPr>
                  <w:rFonts w:ascii="Arial" w:cs="Arial" w:eastAsia="Arial" w:hAnsi="Arial"/>
                  <w:sz w:val="12"/>
                  <w:szCs w:val="12"/>
                  <w:color w:val="0000FF"/>
                </w:rPr>
                <w:t>to Rule 13a-14(a)/15d-14(a), as adopted</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560" w:type="dxa"/>
            <w:vAlign w:val="bottom"/>
            <w:tcBorders>
              <w:top w:val="single" w:sz="8" w:color="0000FF"/>
            </w:tcBorders>
            <w:gridSpan w:val="7"/>
          </w:tcPr>
          <w:p>
            <w:pPr>
              <w:spacing w:after="0" w:line="122" w:lineRule="exact"/>
              <w:rPr>
                <w:rFonts w:ascii="Arial" w:cs="Arial" w:eastAsia="Arial" w:hAnsi="Arial"/>
                <w:sz w:val="14"/>
                <w:szCs w:val="14"/>
                <w:color w:val="0000FF"/>
              </w:rPr>
            </w:pPr>
            <w:hyperlink w:anchor="page36">
              <w:r>
                <w:rPr>
                  <w:rFonts w:ascii="Arial" w:cs="Arial" w:eastAsia="Arial" w:hAnsi="Arial"/>
                  <w:sz w:val="14"/>
                  <w:szCs w:val="14"/>
                  <w:color w:val="0000FF"/>
                </w:rPr>
                <w:t>pursuant to Section 302 of the Sarbanes</w:t>
              </w:r>
            </w:hyperlink>
          </w:p>
        </w:tc>
        <w:tc>
          <w:tcPr>
            <w:tcW w:w="620" w:type="dxa"/>
            <w:vAlign w:val="bottom"/>
            <w:gridSpan w:val="12"/>
          </w:tcPr>
          <w:p>
            <w:pPr>
              <w:spacing w:after="0" w:line="122" w:lineRule="exact"/>
              <w:rPr>
                <w:rFonts w:ascii="Arial" w:cs="Arial" w:eastAsia="Arial" w:hAnsi="Arial"/>
                <w:sz w:val="14"/>
                <w:szCs w:val="14"/>
                <w:color w:val="0000FF"/>
              </w:rPr>
            </w:pPr>
            <w:hyperlink w:anchor="page36">
              <w:r>
                <w:rPr>
                  <w:rFonts w:ascii="Arial" w:cs="Arial" w:eastAsia="Arial" w:hAnsi="Arial"/>
                  <w:sz w:val="14"/>
                  <w:szCs w:val="14"/>
                  <w:color w:val="0000FF"/>
                </w:rPr>
                <w:t>-Oxley</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w:anchor="page36">
              <w:r>
                <w:rPr>
                  <w:rFonts w:ascii="Arial" w:cs="Arial" w:eastAsia="Arial" w:hAnsi="Arial"/>
                  <w:sz w:val="13"/>
                  <w:szCs w:val="13"/>
                  <w:color w:val="0000FF"/>
                </w:rPr>
                <w:t>Act of 2002.</w:t>
              </w:r>
            </w:hyperlink>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180" w:type="dxa"/>
            <w:vAlign w:val="bottom"/>
            <w:gridSpan w:val="19"/>
          </w:tcPr>
          <w:p>
            <w:pPr>
              <w:spacing w:after="0"/>
              <w:rPr>
                <w:rFonts w:ascii="Arial" w:cs="Arial" w:eastAsia="Arial" w:hAnsi="Arial"/>
                <w:sz w:val="14"/>
                <w:szCs w:val="14"/>
                <w:color w:val="0000FF"/>
              </w:rPr>
            </w:pPr>
            <w:hyperlink w:anchor="page38">
              <w:r>
                <w:rPr>
                  <w:rFonts w:ascii="Arial" w:cs="Arial" w:eastAsia="Arial" w:hAnsi="Arial"/>
                  <w:sz w:val="14"/>
                  <w:szCs w:val="14"/>
                  <w:color w:val="0000FF"/>
                </w:rPr>
                <w:t>Certificate of Principal Financial Officer, pursuant</w:t>
              </w:r>
            </w:hyperlink>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100" w:type="dxa"/>
            <w:vAlign w:val="bottom"/>
            <w:tcBorders>
              <w:top w:val="single" w:sz="8" w:color="0000FF"/>
            </w:tcBorders>
            <w:gridSpan w:val="15"/>
          </w:tcPr>
          <w:p>
            <w:pPr>
              <w:spacing w:after="0" w:line="106" w:lineRule="exact"/>
              <w:rPr>
                <w:rFonts w:ascii="Arial" w:cs="Arial" w:eastAsia="Arial" w:hAnsi="Arial"/>
                <w:sz w:val="12"/>
                <w:szCs w:val="12"/>
                <w:color w:val="0000FF"/>
              </w:rPr>
            </w:pPr>
            <w:hyperlink w:anchor="page38">
              <w:r>
                <w:rPr>
                  <w:rFonts w:ascii="Arial" w:cs="Arial" w:eastAsia="Arial" w:hAnsi="Arial"/>
                  <w:sz w:val="12"/>
                  <w:szCs w:val="12"/>
                  <w:color w:val="0000FF"/>
                </w:rPr>
                <w:t>to Rule 13a-14(a)/15d-14(a), as adopted</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7"/>
          </w:tcPr>
          <w:p>
            <w:pPr>
              <w:spacing w:after="0" w:line="122" w:lineRule="exact"/>
              <w:rPr>
                <w:rFonts w:ascii="Arial" w:cs="Arial" w:eastAsia="Arial" w:hAnsi="Arial"/>
                <w:sz w:val="14"/>
                <w:szCs w:val="14"/>
                <w:color w:val="0000FF"/>
              </w:rPr>
            </w:pPr>
            <w:hyperlink w:anchor="page38">
              <w:r>
                <w:rPr>
                  <w:rFonts w:ascii="Arial" w:cs="Arial" w:eastAsia="Arial" w:hAnsi="Arial"/>
                  <w:sz w:val="14"/>
                  <w:szCs w:val="14"/>
                  <w:color w:val="0000FF"/>
                </w:rPr>
                <w:t>pursuant to Section 302 of the Sarbanes</w:t>
              </w:r>
            </w:hyperlink>
          </w:p>
        </w:tc>
        <w:tc>
          <w:tcPr>
            <w:tcW w:w="620" w:type="dxa"/>
            <w:vAlign w:val="bottom"/>
            <w:gridSpan w:val="12"/>
          </w:tcPr>
          <w:p>
            <w:pPr>
              <w:spacing w:after="0" w:line="122" w:lineRule="exact"/>
              <w:rPr>
                <w:rFonts w:ascii="Arial" w:cs="Arial" w:eastAsia="Arial" w:hAnsi="Arial"/>
                <w:sz w:val="14"/>
                <w:szCs w:val="14"/>
                <w:color w:val="0000FF"/>
              </w:rPr>
            </w:pPr>
            <w:hyperlink w:anchor="page38">
              <w:r>
                <w:rPr>
                  <w:rFonts w:ascii="Arial" w:cs="Arial" w:eastAsia="Arial" w:hAnsi="Arial"/>
                  <w:sz w:val="14"/>
                  <w:szCs w:val="14"/>
                  <w:color w:val="0000FF"/>
                </w:rPr>
                <w:t>-Oxley</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w:anchor="page38">
              <w:r>
                <w:rPr>
                  <w:rFonts w:ascii="Arial" w:cs="Arial" w:eastAsia="Arial" w:hAnsi="Arial"/>
                  <w:sz w:val="13"/>
                  <w:szCs w:val="13"/>
                  <w:color w:val="0000FF"/>
                </w:rPr>
                <w:t>Act of 2002.</w:t>
              </w:r>
            </w:hyperlink>
          </w:p>
        </w:tc>
        <w:tc>
          <w:tcPr>
            <w:tcW w:w="14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180" w:type="dxa"/>
            <w:vAlign w:val="bottom"/>
            <w:gridSpan w:val="19"/>
          </w:tcPr>
          <w:p>
            <w:pPr>
              <w:spacing w:after="0"/>
              <w:rPr>
                <w:rFonts w:ascii="Arial" w:cs="Arial" w:eastAsia="Arial" w:hAnsi="Arial"/>
                <w:sz w:val="14"/>
                <w:szCs w:val="14"/>
                <w:color w:val="0000FF"/>
              </w:rPr>
            </w:pPr>
            <w:hyperlink w:anchor="page40">
              <w:r>
                <w:rPr>
                  <w:rFonts w:ascii="Arial" w:cs="Arial" w:eastAsia="Arial" w:hAnsi="Arial"/>
                  <w:sz w:val="14"/>
                  <w:szCs w:val="14"/>
                  <w:color w:val="0000FF"/>
                </w:rPr>
                <w:t>Certifications Pursuant to U.S.C. Section 1350,</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3180" w:type="dxa"/>
            <w:vAlign w:val="bottom"/>
            <w:gridSpan w:val="19"/>
          </w:tcPr>
          <w:p>
            <w:pPr>
              <w:spacing w:after="0" w:line="115" w:lineRule="exact"/>
              <w:rPr>
                <w:rFonts w:ascii="Arial" w:cs="Arial" w:eastAsia="Arial" w:hAnsi="Arial"/>
                <w:sz w:val="13"/>
                <w:szCs w:val="13"/>
                <w:color w:val="0000FF"/>
              </w:rPr>
            </w:pPr>
            <w:hyperlink w:anchor="page40">
              <w:r>
                <w:rPr>
                  <w:rFonts w:ascii="Arial" w:cs="Arial" w:eastAsia="Arial" w:hAnsi="Arial"/>
                  <w:sz w:val="13"/>
                  <w:szCs w:val="13"/>
                  <w:color w:val="0000FF"/>
                </w:rPr>
                <w:t>As Adopted Pursuant to Section 906 of the Public</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314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w:anchor="page40">
              <w:r>
                <w:rPr>
                  <w:rFonts w:ascii="Arial" w:cs="Arial" w:eastAsia="Arial" w:hAnsi="Arial"/>
                  <w:sz w:val="13"/>
                  <w:szCs w:val="13"/>
                  <w:color w:val="0000FF"/>
                </w:rPr>
                <w:t>Company Accounting Reform and Investor</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700" w:type="dxa"/>
            <w:vAlign w:val="bottom"/>
            <w:tcBorders>
              <w:top w:val="single" w:sz="8" w:color="0000FF"/>
            </w:tcBorders>
            <w:gridSpan w:val="9"/>
          </w:tcPr>
          <w:p>
            <w:pPr>
              <w:spacing w:after="0" w:line="115" w:lineRule="exact"/>
              <w:rPr>
                <w:rFonts w:ascii="Arial" w:cs="Arial" w:eastAsia="Arial" w:hAnsi="Arial"/>
                <w:sz w:val="13"/>
                <w:szCs w:val="13"/>
                <w:color w:val="0000FF"/>
              </w:rPr>
            </w:pPr>
            <w:hyperlink w:anchor="page40">
              <w:r>
                <w:rPr>
                  <w:rFonts w:ascii="Arial" w:cs="Arial" w:eastAsia="Arial" w:hAnsi="Arial"/>
                  <w:sz w:val="13"/>
                  <w:szCs w:val="13"/>
                  <w:color w:val="0000FF"/>
                </w:rPr>
                <w:t>Protection Act of 2002.</w:t>
              </w:r>
            </w:hyperlink>
          </w:p>
        </w:tc>
        <w:tc>
          <w:tcPr>
            <w:tcW w:w="48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7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180" w:type="dxa"/>
            <w:vAlign w:val="bottom"/>
            <w:gridSpan w:val="19"/>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180" w:type="dxa"/>
            <w:vAlign w:val="bottom"/>
            <w:gridSpan w:val="19"/>
          </w:tcPr>
          <w:p>
            <w:pPr>
              <w:spacing w:after="0"/>
              <w:rPr>
                <w:sz w:val="20"/>
                <w:szCs w:val="20"/>
                <w:color w:val="auto"/>
              </w:rPr>
            </w:pPr>
            <w:r>
              <w:rPr>
                <w:rFonts w:ascii="Arial" w:cs="Arial" w:eastAsia="Arial" w:hAnsi="Arial"/>
                <w:sz w:val="14"/>
                <w:szCs w:val="14"/>
                <w:color w:val="auto"/>
              </w:rPr>
              <w:t>XBRL Taxonomy Extension Calculation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101.CAL</w:t>
            </w:r>
          </w:p>
        </w:tc>
        <w:tc>
          <w:tcPr>
            <w:tcW w:w="3180" w:type="dxa"/>
            <w:vAlign w:val="bottom"/>
            <w:gridSpan w:val="19"/>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180" w:type="dxa"/>
            <w:vAlign w:val="bottom"/>
            <w:gridSpan w:val="19"/>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101.DEF</w:t>
            </w:r>
          </w:p>
        </w:tc>
        <w:tc>
          <w:tcPr>
            <w:tcW w:w="3180" w:type="dxa"/>
            <w:vAlign w:val="bottom"/>
            <w:gridSpan w:val="19"/>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180" w:type="dxa"/>
            <w:vAlign w:val="bottom"/>
            <w:gridSpan w:val="19"/>
          </w:tcPr>
          <w:p>
            <w:pPr>
              <w:spacing w:after="0"/>
              <w:rPr>
                <w:sz w:val="20"/>
                <w:szCs w:val="20"/>
                <w:color w:val="auto"/>
              </w:rPr>
            </w:pPr>
            <w:r>
              <w:rPr>
                <w:rFonts w:ascii="Arial" w:cs="Arial" w:eastAsia="Arial" w:hAnsi="Arial"/>
                <w:sz w:val="14"/>
                <w:szCs w:val="14"/>
                <w:color w:val="auto"/>
              </w:rPr>
              <w:t>XBRL Taxonomy Extension Labels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101.LAB</w:t>
            </w:r>
          </w:p>
        </w:tc>
        <w:tc>
          <w:tcPr>
            <w:tcW w:w="3180" w:type="dxa"/>
            <w:vAlign w:val="bottom"/>
            <w:gridSpan w:val="19"/>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180" w:type="dxa"/>
            <w:vAlign w:val="bottom"/>
            <w:gridSpan w:val="19"/>
          </w:tcPr>
          <w:p>
            <w:pPr>
              <w:spacing w:after="0"/>
              <w:rPr>
                <w:sz w:val="20"/>
                <w:szCs w:val="20"/>
                <w:color w:val="auto"/>
              </w:rPr>
            </w:pPr>
            <w:r>
              <w:rPr>
                <w:rFonts w:ascii="Arial" w:cs="Arial" w:eastAsia="Arial" w:hAnsi="Arial"/>
                <w:sz w:val="14"/>
                <w:szCs w:val="14"/>
                <w:color w:val="auto"/>
              </w:rPr>
              <w:t>XBRL Taxonomy Extension Presentation</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101.PRE</w:t>
            </w:r>
          </w:p>
        </w:tc>
        <w:tc>
          <w:tcPr>
            <w:tcW w:w="3180" w:type="dxa"/>
            <w:vAlign w:val="bottom"/>
            <w:gridSpan w:val="19"/>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34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3.1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9/23/2019</w:t>
            </w:r>
          </w:p>
        </w:tc>
      </w:tr>
      <w:tr>
        <w:trPr>
          <w:trHeight w:val="216"/>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34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3.2</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9/23/2019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4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4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4.2</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4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4.3</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4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4.4</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9/9/2019</w:t>
            </w:r>
          </w:p>
        </w:tc>
      </w:tr>
    </w:tbl>
    <w:p>
      <w:pPr>
        <w:spacing w:after="0" w:line="200" w:lineRule="exact"/>
        <w:rPr>
          <w:sz w:val="20"/>
          <w:szCs w:val="20"/>
          <w:color w:val="auto"/>
        </w:rPr>
      </w:pPr>
    </w:p>
    <w:p>
      <w:pPr>
        <w:spacing w:after="0" w:line="222" w:lineRule="exact"/>
        <w:rPr>
          <w:sz w:val="20"/>
          <w:szCs w:val="20"/>
          <w:color w:val="auto"/>
        </w:rPr>
      </w:pPr>
    </w:p>
    <w:p>
      <w:pPr>
        <w:jc w:val="right"/>
        <w:ind w:right="9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jc w:val="right"/>
        <w:ind w:right="9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jc w:val="right"/>
        <w:ind w:right="98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jc w:val="right"/>
        <w:ind w:right="98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98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98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98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980"/>
        <w:spacing w:after="0"/>
        <w:rPr>
          <w:sz w:val="20"/>
          <w:szCs w:val="20"/>
          <w:color w:val="auto"/>
        </w:rPr>
      </w:pPr>
      <w:r>
        <w:rPr>
          <w:rFonts w:ascii="Arial" w:cs="Arial" w:eastAsia="Arial" w:hAnsi="Arial"/>
          <w:sz w:val="14"/>
          <w:szCs w:val="14"/>
          <w:color w:val="auto"/>
        </w:rPr>
        <w:t>X</w:t>
      </w:r>
    </w:p>
    <w:p>
      <w:pPr>
        <w:spacing w:after="0" w:line="211" w:lineRule="exact"/>
        <w:rPr>
          <w:sz w:val="20"/>
          <w:szCs w:val="20"/>
          <w:color w:val="auto"/>
        </w:rPr>
      </w:pPr>
    </w:p>
    <w:p>
      <w:pPr>
        <w:sectPr>
          <w:pgSz w:w="11900" w:h="16838" w:orient="portrait"/>
          <w:cols w:equalWidth="0" w:num="2">
            <w:col w:w="4083" w:space="320"/>
            <w:col w:w="5600"/>
          </w:cols>
          <w:pgMar w:left="1057" w:top="1129" w:right="839" w:bottom="1440" w:gutter="0" w:footer="0" w:header="0"/>
          <w:type w:val="continuous"/>
        </w:sectPr>
      </w:pPr>
    </w:p>
    <w:p>
      <w:pPr>
        <w:spacing w:after="0" w:line="162" w:lineRule="exact"/>
        <w:rPr>
          <w:sz w:val="20"/>
          <w:szCs w:val="20"/>
          <w:color w:val="auto"/>
        </w:rPr>
      </w:pPr>
    </w:p>
    <w:p>
      <w:pPr>
        <w:ind w:left="163" w:hanging="163"/>
        <w:spacing w:after="0"/>
        <w:tabs>
          <w:tab w:leader="none" w:pos="163"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This certification is deemed not filed for purpose of section 18 of the Exchange Act or otherwise subject to the liability of that</w:t>
      </w:r>
    </w:p>
    <w:p>
      <w:pPr>
        <w:spacing w:after="0" w:line="21" w:lineRule="exact"/>
        <w:rPr>
          <w:sz w:val="20"/>
          <w:szCs w:val="20"/>
          <w:color w:val="auto"/>
        </w:rPr>
      </w:pPr>
    </w:p>
    <w:p>
      <w:pPr>
        <w:ind w:left="643"/>
        <w:spacing w:after="0"/>
        <w:rPr>
          <w:sz w:val="20"/>
          <w:szCs w:val="20"/>
          <w:color w:val="auto"/>
        </w:rPr>
      </w:pPr>
      <w:r>
        <w:rPr>
          <w:rFonts w:ascii="Arial" w:cs="Arial" w:eastAsia="Arial" w:hAnsi="Arial"/>
          <w:sz w:val="18"/>
          <w:szCs w:val="18"/>
          <w:color w:val="auto"/>
        </w:rPr>
        <w:t>section, nor shall it be deemed incorporated by reference into any filing under the Securities Act or the Exchange Act.</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sz w:val="20"/>
          <w:szCs w:val="20"/>
          <w:color w:val="auto"/>
        </w:rPr>
      </w:pPr>
    </w:p>
    <w:p>
      <w:pPr>
        <w:spacing w:after="0" w:line="349" w:lineRule="exact"/>
        <w:rPr>
          <w:sz w:val="20"/>
          <w:szCs w:val="20"/>
          <w:color w:val="auto"/>
        </w:rPr>
      </w:pPr>
    </w:p>
    <w:p>
      <w:pPr>
        <w:jc w:val="center"/>
        <w:ind w:right="21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3"/>
          </w:cols>
          <w:pgMar w:left="1057" w:top="1129" w:right="839" w:bottom="1440" w:gutter="0" w:footer="0" w:header="0"/>
          <w:type w:val="continuous"/>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000" w:val="left"/>
          <w:tab w:leader="none" w:pos="66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828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Fortunato Ron Rocca</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p>
    <w:p>
      <w:pPr>
        <w:spacing w:after="0" w:line="320" w:lineRule="exact"/>
        <w:rPr>
          <w:sz w:val="20"/>
          <w:szCs w:val="20"/>
          <w:color w:val="auto"/>
        </w:rPr>
      </w:pPr>
    </w:p>
    <w:p>
      <w:pPr>
        <w:ind w:left="20"/>
        <w:spacing w:after="0"/>
        <w:tabs>
          <w:tab w:leader="none" w:pos="6000" w:val="left"/>
          <w:tab w:leader="none" w:pos="66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828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Kamal Adawi</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1129"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120" w:firstLine="332"/>
        <w:spacing w:after="0" w:line="355" w:lineRule="auto"/>
        <w:tabs>
          <w:tab w:leader="none" w:pos="7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36" w:name="page37"/>
    <w:bookmarkEnd w:id="36"/>
    <w:p>
      <w:pPr>
        <w:ind w:left="-20" w:firstLine="332"/>
        <w:spacing w:after="0" w:line="355" w:lineRule="auto"/>
        <w:tabs>
          <w:tab w:leader="none" w:pos="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Date: May 11, 2020</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43"/>
        </w:trPr>
        <w:tc>
          <w:tcPr>
            <w:tcW w:w="50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324"/>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338"/>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60"/>
          </w:cols>
          <w:pgMar w:left="340" w:top="1111" w:right="6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120" w:firstLine="332"/>
        <w:spacing w:after="0" w:line="355" w:lineRule="auto"/>
        <w:tabs>
          <w:tab w:leader="none" w:pos="7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38" w:name="page39"/>
    <w:bookmarkEnd w:id="38"/>
    <w:p>
      <w:pPr>
        <w:ind w:left="-20" w:firstLine="332"/>
        <w:spacing w:after="0" w:line="355" w:lineRule="auto"/>
        <w:tabs>
          <w:tab w:leader="none" w:pos="7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Date: May 11, 2020</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43"/>
        </w:trPr>
        <w:tc>
          <w:tcPr>
            <w:tcW w:w="50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324"/>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338"/>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0860"/>
          </w:cols>
          <w:pgMar w:left="340" w:top="1111" w:right="6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2020 (the</w:t>
      </w:r>
    </w:p>
    <w:p>
      <w:pPr>
        <w:spacing w:after="0" w:line="90" w:lineRule="exact"/>
        <w:rPr>
          <w:rFonts w:ascii="Arial" w:cs="Arial" w:eastAsia="Arial" w:hAnsi="Arial"/>
          <w:sz w:val="18"/>
          <w:szCs w:val="18"/>
          <w:color w:val="auto"/>
        </w:rPr>
      </w:pPr>
    </w:p>
    <w:p>
      <w:pPr>
        <w:ind w:left="660" w:right="320"/>
        <w:spacing w:after="0" w:line="355"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143"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right="20"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2020 (the</w:t>
      </w:r>
    </w:p>
    <w:p>
      <w:pPr>
        <w:spacing w:after="0" w:line="90" w:lineRule="exact"/>
        <w:rPr>
          <w:rFonts w:ascii="Arial" w:cs="Arial" w:eastAsia="Arial" w:hAnsi="Arial"/>
          <w:sz w:val="18"/>
          <w:szCs w:val="18"/>
          <w:color w:val="auto"/>
        </w:rPr>
      </w:pPr>
    </w:p>
    <w:p>
      <w:pPr>
        <w:ind w:left="660" w:right="320"/>
        <w:spacing w:after="0" w:line="355"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143"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ectPr>
          <w:pgSz w:w="11900" w:h="16838" w:orient="portrait"/>
          <w:cols w:equalWidth="0" w:num="1">
            <w:col w:w="11240"/>
          </w:cols>
          <w:pgMar w:left="320" w:top="954" w:right="339" w:bottom="1440" w:gutter="0" w:footer="0" w:header="0"/>
        </w:sectPr>
      </w:pPr>
    </w:p>
    <w:bookmarkStart w:id="40" w:name="page41"/>
    <w:bookmarkEnd w:id="40"/>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41"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emdash "/>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lvl w:ilvl="1">
      <w:lvlJc w:val="left"/>
      <w:lvlText w:val="(%2)"/>
      <w:numFmt w:val="lowerLetter"/>
      <w:start w:val="1"/>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5"/>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5" Type="http://schemas.openxmlformats.org/officeDocument/2006/relationships/hyperlink" Target="http://www.sec.gov/Archives/edgar/data/1274737/000119312519252366/d769261dex31.htm" TargetMode="External"/><Relationship Id="rId56" Type="http://schemas.openxmlformats.org/officeDocument/2006/relationships/hyperlink" Target="http://www.sec.gov/Archives/edgar/data/1274737/000119312519252366/d769261dex32.htm" TargetMode="External"/><Relationship Id="rId57" Type="http://schemas.openxmlformats.org/officeDocument/2006/relationships/hyperlink" Target="http://www.sec.gov/Archives/edgar/data/1274737/000119312519240403/d692844dex41.htm" TargetMode="External"/><Relationship Id="rId58" Type="http://schemas.openxmlformats.org/officeDocument/2006/relationships/hyperlink" Target="http://www.sec.gov/Archives/edgar/data/1274737/000119312519228011/d692844dex42.htm" TargetMode="External"/><Relationship Id="rId59" Type="http://schemas.openxmlformats.org/officeDocument/2006/relationships/hyperlink" Target="http://www.sec.gov/Archives/edgar/data/1274737/000119312519228011/d692844dex43.htm" TargetMode="External"/><Relationship Id="rId60" Type="http://schemas.openxmlformats.org/officeDocument/2006/relationships/hyperlink" Target="http://www.sec.gov/Archives/edgar/data/1274737/000119312519228011/d6928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2020-05-11T16:19:30Z</dcterms:created>
  <dcterms:modified xsi:type="dcterms:W3CDTF">2020-05-11T16:19:30Z</dcterms:modified>
</cp:coreProperties>
</file>