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12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Pursuant to Section 13 or 15(d)</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Date of Report (Date of earliest event reported): January 10, 2022</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EXAGEN INC.</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300"/>
          </w:cols>
          <w:pgMar w:left="300" w:top="886" w:right="299" w:bottom="1440" w:gutter="0" w:footer="0" w:header="0"/>
        </w:sectPr>
      </w:pPr>
    </w:p>
    <w:p>
      <w:pPr>
        <w:spacing w:after="0" w:line="199"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2120"/>
        <w:spacing w:after="0"/>
        <w:rPr>
          <w:sz w:val="20"/>
          <w:szCs w:val="20"/>
          <w:color w:val="auto"/>
        </w:rPr>
      </w:pPr>
      <w:r>
        <w:rPr>
          <w:rFonts w:ascii="Arial" w:cs="Arial" w:eastAsia="Arial" w:hAnsi="Arial"/>
          <w:sz w:val="10"/>
          <w:szCs w:val="10"/>
          <w:b w:val="1"/>
          <w:bCs w:val="1"/>
          <w:color w:val="auto"/>
        </w:rPr>
        <w:t>001-39049</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20-0434866</w:t>
      </w:r>
    </w:p>
    <w:p>
      <w:pPr>
        <w:spacing w:after="0" w:line="54" w:lineRule="exact"/>
        <w:rPr>
          <w:sz w:val="24"/>
          <w:szCs w:val="24"/>
          <w:color w:val="auto"/>
        </w:rPr>
      </w:pPr>
    </w:p>
    <w:p>
      <w:pPr>
        <w:sectPr>
          <w:pgSz w:w="11900" w:h="16838" w:orient="portrait"/>
          <w:cols w:equalWidth="0" w:num="3">
            <w:col w:w="4780" w:space="720"/>
            <w:col w:w="2640" w:space="720"/>
            <w:col w:w="2440"/>
          </w:cols>
          <w:pgMar w:left="300" w:top="886" w:right="299" w:bottom="1440" w:gutter="0" w:footer="0" w:header="0"/>
          <w:type w:val="continuous"/>
        </w:sectPr>
      </w:pPr>
    </w:p>
    <w:p>
      <w:pPr>
        <w:jc w:val="center"/>
        <w:ind w:right="280"/>
        <w:spacing w:after="0"/>
        <w:rPr>
          <w:sz w:val="20"/>
          <w:szCs w:val="20"/>
          <w:color w:val="auto"/>
        </w:rPr>
      </w:pPr>
      <w:r>
        <w:rPr>
          <w:rFonts w:ascii="Arial" w:cs="Arial" w:eastAsia="Arial" w:hAnsi="Arial"/>
          <w:sz w:val="8"/>
          <w:szCs w:val="8"/>
          <w:b w:val="1"/>
          <w:bCs w:val="1"/>
          <w:color w:val="auto"/>
        </w:rPr>
        <w:t>(State or other jurisdiction</w:t>
      </w:r>
    </w:p>
    <w:p>
      <w:pPr>
        <w:spacing w:after="0" w:line="24" w:lineRule="exact"/>
        <w:rPr>
          <w:sz w:val="24"/>
          <w:szCs w:val="24"/>
          <w:color w:val="auto"/>
        </w:rPr>
      </w:pPr>
    </w:p>
    <w:p>
      <w:pPr>
        <w:jc w:val="center"/>
        <w:ind w:right="2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(Commission</w:t>
      </w:r>
    </w:p>
    <w:p>
      <w:pPr>
        <w:spacing w:after="0" w:line="26"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0"/>
          <w:szCs w:val="10"/>
          <w:b w:val="1"/>
          <w:bCs w:val="1"/>
          <w:color w:val="auto"/>
        </w:rPr>
        <w:t>(IRS Employer</w:t>
      </w:r>
    </w:p>
    <w:p>
      <w:pPr>
        <w:spacing w:after="0" w:line="3" w:lineRule="exact"/>
        <w:rPr>
          <w:sz w:val="24"/>
          <w:szCs w:val="24"/>
          <w:color w:val="auto"/>
        </w:rPr>
      </w:pPr>
    </w:p>
    <w:p>
      <w:pPr>
        <w:jc w:val="center"/>
        <w:ind w:right="1760"/>
        <w:spacing w:after="0"/>
        <w:rPr>
          <w:sz w:val="20"/>
          <w:szCs w:val="20"/>
          <w:color w:val="auto"/>
        </w:rPr>
      </w:pPr>
      <w:r>
        <w:rPr>
          <w:rFonts w:ascii="Arial" w:cs="Arial" w:eastAsia="Arial" w:hAnsi="Arial"/>
          <w:sz w:val="8"/>
          <w:szCs w:val="8"/>
          <w:b w:val="1"/>
          <w:bCs w:val="1"/>
          <w:color w:val="auto"/>
        </w:rPr>
        <w:t>Identification No.)</w:t>
      </w:r>
    </w:p>
    <w:p>
      <w:pPr>
        <w:spacing w:after="0" w:line="214" w:lineRule="exact"/>
        <w:rPr>
          <w:sz w:val="24"/>
          <w:szCs w:val="24"/>
          <w:color w:val="auto"/>
        </w:rPr>
      </w:pPr>
    </w:p>
    <w:p>
      <w:pPr>
        <w:sectPr>
          <w:pgSz w:w="11900" w:h="16838" w:orient="portrait"/>
          <w:cols w:equalWidth="0" w:num="3">
            <w:col w:w="4760" w:space="720"/>
            <w:col w:w="2580" w:space="720"/>
            <w:col w:w="2520"/>
          </w:cols>
          <w:pgMar w:left="300" w:top="886" w:right="299" w:bottom="1440" w:gutter="0" w:footer="0" w:header="0"/>
          <w:type w:val="continuous"/>
        </w:sectPr>
      </w:pPr>
    </w:p>
    <w:p>
      <w:pPr>
        <w:jc w:val="center"/>
        <w:ind w:right="20"/>
        <w:spacing w:after="0"/>
        <w:rPr>
          <w:sz w:val="20"/>
          <w:szCs w:val="20"/>
          <w:color w:val="auto"/>
        </w:rPr>
      </w:pPr>
      <w:r>
        <w:rPr>
          <w:rFonts w:ascii="Arial" w:cs="Arial" w:eastAsia="Arial" w:hAnsi="Arial"/>
          <w:sz w:val="12"/>
          <w:szCs w:val="12"/>
          <w:b w:val="1"/>
          <w:bCs w:val="1"/>
          <w:color w:val="auto"/>
        </w:rPr>
        <w:t>1261 Liberty Way</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Vista, CA 92081</w:t>
      </w:r>
    </w:p>
    <w:p>
      <w:pPr>
        <w:jc w:val="center"/>
        <w:ind w:right="20"/>
        <w:spacing w:after="0"/>
        <w:rPr>
          <w:sz w:val="20"/>
          <w:szCs w:val="20"/>
          <w:color w:val="auto"/>
        </w:rPr>
      </w:pPr>
      <w:r>
        <w:rPr>
          <w:rFonts w:ascii="Arial" w:cs="Arial" w:eastAsia="Arial" w:hAnsi="Arial"/>
          <w:sz w:val="10"/>
          <w:szCs w:val="10"/>
          <w:b w:val="1"/>
          <w:bCs w:val="1"/>
          <w:color w:val="auto"/>
        </w:rPr>
        <w:t>(Address of principal executive offices) (Zip Code)</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(760) 560-1501</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N/A</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(Former Name or Former Address, if Changed Since Last Report)</w:t>
      </w:r>
    </w:p>
    <w:p>
      <w:pPr>
        <w:sectPr>
          <w:pgSz w:w="11900" w:h="16838" w:orient="portrait"/>
          <w:cols w:equalWidth="0" w:num="1">
            <w:col w:w="11300"/>
          </w:cols>
          <w:pgMar w:left="300" w:top="886" w:right="299" w:bottom="1440" w:gutter="0" w:footer="0" w:header="0"/>
          <w:type w:val="continuous"/>
        </w:sectPr>
      </w:pPr>
    </w:p>
    <w:p>
      <w:pPr>
        <w:spacing w:after="0" w:line="141"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34"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26" w:lineRule="exact"/>
        <w:rPr>
          <w:rFonts w:ascii="MS PGothic" w:cs="MS PGothic" w:eastAsia="MS PGothic" w:hAnsi="MS PGothic"/>
          <w:sz w:val="12"/>
          <w:szCs w:val="12"/>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26" w:lineRule="exact"/>
        <w:rPr>
          <w:rFonts w:ascii="MS PGothic" w:cs="MS PGothic" w:eastAsia="MS PGothic" w:hAnsi="MS PGothic"/>
          <w:sz w:val="12"/>
          <w:szCs w:val="12"/>
          <w:color w:val="auto"/>
        </w:rPr>
      </w:pPr>
    </w:p>
    <w:p>
      <w:pPr>
        <w:ind w:left="340" w:hanging="336"/>
        <w:spacing w:after="0"/>
        <w:tabs>
          <w:tab w:leader="none" w:pos="34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7"/>
              </w:rPr>
              <w:t>Trading</w:t>
            </w:r>
          </w:p>
        </w:tc>
        <w:tc>
          <w:tcPr>
            <w:tcW w:w="382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45"/>
        </w:trPr>
        <w:tc>
          <w:tcPr>
            <w:tcW w:w="39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3"/>
              </w:rPr>
              <w:t>Title of each class</w:t>
            </w:r>
          </w:p>
        </w:tc>
        <w:tc>
          <w:tcPr>
            <w:tcW w:w="35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2"/>
              </w:rPr>
              <w:t>Symbol(s)</w:t>
            </w:r>
          </w:p>
        </w:tc>
        <w:tc>
          <w:tcPr>
            <w:tcW w:w="382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50"/>
        </w:trPr>
        <w:tc>
          <w:tcPr>
            <w:tcW w:w="38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Common Stock, par value $0.001 per share</w:t>
            </w:r>
          </w:p>
        </w:tc>
        <w:tc>
          <w:tcPr>
            <w:tcW w:w="140" w:type="dxa"/>
            <w:vAlign w:val="bottom"/>
          </w:tcPr>
          <w:p>
            <w:pPr>
              <w:spacing w:after="0"/>
              <w:rPr>
                <w:sz w:val="13"/>
                <w:szCs w:val="13"/>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XGN</w:t>
            </w:r>
          </w:p>
        </w:tc>
        <w:tc>
          <w:tcPr>
            <w:tcW w:w="140" w:type="dxa"/>
            <w:vAlign w:val="bottom"/>
          </w:tcPr>
          <w:p>
            <w:pPr>
              <w:spacing w:after="0"/>
              <w:rPr>
                <w:sz w:val="13"/>
                <w:szCs w:val="13"/>
                <w:color w:val="auto"/>
              </w:rPr>
            </w:pPr>
          </w:p>
        </w:tc>
        <w:tc>
          <w:tcPr>
            <w:tcW w:w="38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The Nasdaq Global Market</w:t>
            </w:r>
          </w:p>
        </w:tc>
      </w:tr>
    </w:tbl>
    <w:p>
      <w:pPr>
        <w:spacing w:after="0" w:line="171" w:lineRule="exact"/>
        <w:rPr>
          <w:sz w:val="24"/>
          <w:szCs w:val="24"/>
          <w:color w:val="auto"/>
        </w:rPr>
      </w:pPr>
    </w:p>
    <w:p>
      <w:pPr>
        <w:ind w:right="100"/>
        <w:spacing w:after="0" w:line="144"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74"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585470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6"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78" w:lineRule="exact"/>
        <w:rPr>
          <w:sz w:val="20"/>
          <w:szCs w:val="20"/>
          <w:color w:val="auto"/>
        </w:rPr>
      </w:pPr>
    </w:p>
    <w:p>
      <w:pPr>
        <w:jc w:val="both"/>
        <w:ind w:right="100"/>
        <w:spacing w:after="0" w:line="237" w:lineRule="auto"/>
        <w:rPr>
          <w:sz w:val="20"/>
          <w:szCs w:val="20"/>
          <w:color w:val="auto"/>
        </w:rPr>
      </w:pPr>
      <w:r>
        <w:rPr>
          <w:rFonts w:ascii="Arial" w:cs="Arial" w:eastAsia="Arial" w:hAnsi="Arial"/>
          <w:sz w:val="12"/>
          <w:szCs w:val="12"/>
          <w:color w:val="auto"/>
        </w:rPr>
        <w:t>Exagen Inc. is furnishing with this Current Report on Form 8-K a copy of its current presentation slides regarding its AVISE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RADR testing solution. The information in these slides shall not be deemed "filed" for purposes of Section 18 of the Securities Exchange Act of 1934, as amended, or the Exchange Act, or otherwise subject to the liabilities of that section, nor shall it be deemed incorporated by reference in any filing under the Exchange Act or the Securities Act of 1933, as amended, except as expressly set forth by specific reference in such filing.</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Exhibit No.</w:t>
            </w:r>
          </w:p>
        </w:tc>
        <w:tc>
          <w:tcPr>
            <w:tcW w:w="500" w:type="dxa"/>
            <w:vAlign w:val="bottom"/>
          </w:tcPr>
          <w:p>
            <w:pPr>
              <w:spacing w:after="0"/>
              <w:rPr>
                <w:sz w:val="11"/>
                <w:szCs w:val="11"/>
                <w:color w:val="auto"/>
              </w:rPr>
            </w:pPr>
          </w:p>
        </w:tc>
        <w:tc>
          <w:tcPr>
            <w:tcW w:w="98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90"/>
        </w:trPr>
        <w:tc>
          <w:tcPr>
            <w:tcW w:w="960" w:type="dxa"/>
            <w:vAlign w:val="bottom"/>
          </w:tcPr>
          <w:p>
            <w:pPr>
              <w:spacing w:after="0"/>
              <w:rPr>
                <w:sz w:val="20"/>
                <w:szCs w:val="20"/>
                <w:color w:val="auto"/>
              </w:rPr>
            </w:pPr>
            <w:r>
              <w:rPr>
                <w:rFonts w:ascii="Arial" w:cs="Arial" w:eastAsia="Arial" w:hAnsi="Arial"/>
                <w:sz w:val="12"/>
                <w:szCs w:val="12"/>
                <w:color w:val="auto"/>
              </w:rPr>
              <w:t>99.1</w:t>
            </w:r>
          </w:p>
        </w:tc>
        <w:tc>
          <w:tcPr>
            <w:tcW w:w="500" w:type="dxa"/>
            <w:vAlign w:val="bottom"/>
          </w:tcPr>
          <w:p>
            <w:pPr>
              <w:spacing w:after="0"/>
              <w:rPr>
                <w:sz w:val="24"/>
                <w:szCs w:val="24"/>
                <w:color w:val="auto"/>
              </w:rPr>
            </w:pPr>
          </w:p>
        </w:tc>
        <w:tc>
          <w:tcPr>
            <w:tcW w:w="2820" w:type="dxa"/>
            <w:vAlign w:val="bottom"/>
            <w:tcBorders>
              <w:bottom w:val="single" w:sz="8" w:color="0000FF"/>
            </w:tcBorders>
          </w:tcPr>
          <w:p>
            <w:pPr>
              <w:spacing w:after="0"/>
              <w:rPr>
                <w:rFonts w:ascii="Arial" w:cs="Arial" w:eastAsia="Arial" w:hAnsi="Arial"/>
                <w:sz w:val="12"/>
                <w:szCs w:val="12"/>
                <w:color w:val="0000FF"/>
                <w:w w:val="89"/>
              </w:rPr>
            </w:pPr>
            <w:hyperlink w:anchor="page4">
              <w:r>
                <w:rPr>
                  <w:rFonts w:ascii="Arial" w:cs="Arial" w:eastAsia="Arial" w:hAnsi="Arial"/>
                  <w:sz w:val="12"/>
                  <w:szCs w:val="12"/>
                  <w:color w:val="0000FF"/>
                  <w:w w:val="89"/>
                </w:rPr>
                <w:t>AVISE RADR Presentation Slides, dated January 10, 2022</w:t>
              </w:r>
            </w:hyperlink>
          </w:p>
        </w:tc>
        <w:tc>
          <w:tcPr>
            <w:tcW w:w="7020" w:type="dxa"/>
            <w:vAlign w:val="bottom"/>
          </w:tcPr>
          <w:p>
            <w:pPr>
              <w:spacing w:after="0"/>
              <w:rPr>
                <w:sz w:val="24"/>
                <w:szCs w:val="24"/>
                <w:color w:val="auto"/>
              </w:rPr>
            </w:pPr>
          </w:p>
        </w:tc>
      </w:tr>
      <w:tr>
        <w:trPr>
          <w:trHeight w:val="340"/>
        </w:trPr>
        <w:tc>
          <w:tcPr>
            <w:tcW w:w="960" w:type="dxa"/>
            <w:vAlign w:val="bottom"/>
          </w:tcPr>
          <w:p>
            <w:pPr>
              <w:spacing w:after="0"/>
              <w:rPr>
                <w:sz w:val="20"/>
                <w:szCs w:val="20"/>
                <w:color w:val="auto"/>
              </w:rPr>
            </w:pPr>
            <w:r>
              <w:rPr>
                <w:rFonts w:ascii="Arial" w:cs="Arial" w:eastAsia="Arial" w:hAnsi="Arial"/>
                <w:sz w:val="12"/>
                <w:szCs w:val="12"/>
                <w:color w:val="auto"/>
              </w:rPr>
              <w:t>104</w:t>
            </w:r>
          </w:p>
        </w:tc>
        <w:tc>
          <w:tcPr>
            <w:tcW w:w="50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1017"/>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37" w:right="299" w:bottom="1440" w:gutter="0" w:footer="0" w:header="0"/>
        </w:sectPr>
      </w:pPr>
    </w:p>
    <w:bookmarkStart w:id="2" w:name="page3"/>
    <w:bookmarkEnd w:id="2"/>
    <w:p>
      <w:pPr>
        <w:ind w:left="5280"/>
        <w:spacing w:after="0"/>
        <w:rPr>
          <w:sz w:val="20"/>
          <w:szCs w:val="20"/>
          <w:color w:val="auto"/>
        </w:rPr>
      </w:pPr>
      <w:r>
        <w:rPr>
          <w:rFonts w:ascii="Arial" w:cs="Arial" w:eastAsia="Arial" w:hAnsi="Arial"/>
          <w:sz w:val="12"/>
          <w:szCs w:val="12"/>
          <w:color w:val="auto"/>
        </w:rPr>
        <w:t>SIGNATURES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hereunto duly authorized.</w:t>
      </w:r>
    </w:p>
    <w:p>
      <w:pPr>
        <w:spacing w:after="0" w:line="236"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EXAGEN INC.</w:t>
      </w:r>
    </w:p>
    <w:p>
      <w:pPr>
        <w:spacing w:after="0" w:line="186" w:lineRule="exact"/>
        <w:rPr>
          <w:sz w:val="20"/>
          <w:szCs w:val="20"/>
          <w:color w:val="auto"/>
        </w:rPr>
      </w:pPr>
    </w:p>
    <w:p>
      <w:pPr>
        <w:spacing w:after="0"/>
        <w:tabs>
          <w:tab w:leader="none" w:pos="5200" w:val="left"/>
          <w:tab w:leader="none" w:pos="5760" w:val="left"/>
        </w:tabs>
        <w:rPr>
          <w:sz w:val="20"/>
          <w:szCs w:val="20"/>
          <w:color w:val="auto"/>
        </w:rPr>
      </w:pPr>
      <w:r>
        <w:rPr>
          <w:rFonts w:ascii="Arial" w:cs="Arial" w:eastAsia="Arial" w:hAnsi="Arial"/>
          <w:sz w:val="12"/>
          <w:szCs w:val="12"/>
          <w:color w:val="auto"/>
        </w:rPr>
        <w:t>Date: January 10,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3663950</wp:posOffset>
            </wp:positionH>
            <wp:positionV relativeFrom="paragraph">
              <wp:posOffset>15240</wp:posOffset>
            </wp:positionV>
            <wp:extent cx="2874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74645" cy="5715"/>
                    </a:xfrm>
                    <a:prstGeom prst="rect">
                      <a:avLst/>
                    </a:prstGeom>
                    <a:noFill/>
                  </pic:spPr>
                </pic:pic>
              </a:graphicData>
            </a:graphic>
          </wp:anchor>
        </w:drawing>
      </w:r>
    </w:p>
    <w:p>
      <w:pPr>
        <w:spacing w:after="0" w:line="13"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Kamal Adawi</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0159"/>
          </w:cols>
          <w:pgMar w:left="300" w:top="779"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2022-01-10T07:28:16Z</dcterms:created>
  <dcterms:modified xsi:type="dcterms:W3CDTF">2022-01-10T07:28:16Z</dcterms:modified>
</cp:coreProperties>
</file>