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Date of report (Date of earliest event reported): September 23,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224155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jc w:val="center"/>
        <w:ind w:right="740"/>
        <w:spacing w:after="0"/>
        <w:rPr>
          <w:sz w:val="20"/>
          <w:szCs w:val="20"/>
          <w:color w:val="auto"/>
        </w:rPr>
      </w:pPr>
      <w:r>
        <w:rPr>
          <w:rFonts w:ascii="Arial" w:cs="Arial" w:eastAsia="Arial" w:hAnsi="Arial"/>
          <w:sz w:val="14"/>
          <w:szCs w:val="14"/>
          <w:b w:val="1"/>
          <w:bCs w:val="1"/>
          <w:color w:val="auto"/>
        </w:rPr>
        <w:t>(State or other jurisdiction</w:t>
      </w:r>
    </w:p>
    <w:p>
      <w:pPr>
        <w:jc w:val="center"/>
        <w:ind w:right="74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77"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ind w:left="4500"/>
        <w:spacing w:after="0"/>
        <w:rPr>
          <w:sz w:val="20"/>
          <w:szCs w:val="20"/>
          <w:color w:val="auto"/>
        </w:rPr>
      </w:pPr>
      <w:r>
        <w:rPr>
          <w:rFonts w:ascii="Arial" w:cs="Arial" w:eastAsia="Arial" w:hAnsi="Arial"/>
          <w:sz w:val="18"/>
          <w:szCs w:val="18"/>
          <w:b w:val="1"/>
          <w:bCs w:val="1"/>
          <w:color w:val="auto"/>
        </w:rPr>
        <w:t>1261 Liberty Way, Suite C</w:t>
      </w:r>
    </w:p>
    <w:p>
      <w:pPr>
        <w:spacing w:after="0" w:line="2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include area code)</w:t>
      </w:r>
    </w:p>
    <w:p>
      <w:pPr>
        <w:spacing w:after="0" w:line="16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209550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305"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XGN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5.03. Amendments to Articles of Incorporation or Bylaws; Change in Fiscal Year.</w:t>
      </w:r>
    </w:p>
    <w:p>
      <w:pPr>
        <w:spacing w:after="0" w:line="12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On September 23, 2019, Exagen Inc. (the “Company”) filed an amended and restated certificate of incorporation (the “Restated Certificate”) with the Secretary of State of the State of Delaware in connection with the closing of the initial public offering (the “IPO”) of shares of its common stock. The Company’s board of directors and stockholders previously approved the Restated Certificate to be effective subject to and effective upon the closing of the IPO.</w:t>
      </w:r>
    </w:p>
    <w:p>
      <w:pPr>
        <w:spacing w:after="0" w:line="187"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The Restated Certificate amends and restates the Company’s certificate of incorporation in its entirety to, among other things: (i) increase the authorized number of shares of common stock to 200,000,000 shares; (ii) eliminate all references to the previously existing series of convertible preferred stock; (iii) authorize 10,000,000 shares of undesignated preferred stock that may be issued from time to time by the Company’s board of directors in one or more series; (iv) establish a classified board of directors, divided into three classes, each of whose members will serve for staggered three-year terms; (v) provide that directors may be removed from office only for cause by the affirmative vote of the holders of at least two-thirds of the Company’s outstanding capital stock then entitled to vote in an election of directors; (vi) eliminate the ability of the Company’s stockholders to take action by written consent in lieu of a meeting; and (vii) designate the Court of Chancery of the State of Delaware to be the sole and exclusive forum for certain actions, including, but not limited to, derivative actions or proceedings brought on behalf of the Company or actions asserting claims of breach of a fiduciary duty owed by, or other wrongdoing by, any of the Company’s directors, officers, employees or agents to the Company or the Company’s stockholders, or any action asserting a claim against the Company arising pursuant to any provision of the General Corporation Law of the State of Delaware or the Restated Certificate or Amended and Restated Bylaws, or any action asserting a claim governed by the internal affairs doctrine; provided that, such choice of forum provision will not apply to suits brought to enforce any liability or duty created by the Securities and Exchange Act of 1934, as amended,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w:t>
      </w:r>
    </w:p>
    <w:p>
      <w:pPr>
        <w:spacing w:after="0" w:line="183"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The foregoing description of the amendments made in the Restated Certificate is qualified by reference to the Restated Certificate, a copy of which is attached hereto as Exhibit 3.1 and is incorporated herein by reference.</w:t>
      </w:r>
    </w:p>
    <w:p>
      <w:pPr>
        <w:spacing w:after="0" w:line="170"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On September 23, 2019, in connection with the closing of the IPO, the amended and restated bylaws of the Company (the “Amended and Restated Bylaws”), previously approved by the Company’s board of directors to become effective upon the effectiveness of the Restated Certificate, became effective. The Amended and Restated Bylaws amend and restate the Company’s bylaws in their entirety to, among other things: (i) establish procedures relating to the presentation of stockholder proposals at stockholder meetings; (ii) establish procedures relating to the nomination of directors; and (iii) conform to the amended provisions of the Restated Certificate.</w:t>
      </w:r>
    </w:p>
    <w:p>
      <w:pPr>
        <w:spacing w:after="0" w:line="188"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The foregoing description of the amendments made in the Amended and Restated Bylaws is qualified by reference to the Amended and Restated Bylaws, a copy of which is attached hereto as Exhibit 3.2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On September 23, 2019, the Company closed its initial public offering of 4,140,000 shares of its common stock at a price to the public of $14.00 per share, including the exercise in full by the underwriters of their option to purchase 540,000 additional shares of the Company’s common stock. Including the option exercise, the aggregate gross proceeds to the Company from the offering were $58.0 million, before deducting the underwriting discounts and commissions and other estimated offering expenses.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0" w:type="dxa"/>
            <w:vAlign w:val="bottom"/>
            <w:gridSpan w:val="3"/>
          </w:tcPr>
          <w:p>
            <w:pPr>
              <w:ind w:left="20"/>
              <w:spacing w:after="0"/>
              <w:rPr>
                <w:sz w:val="20"/>
                <w:szCs w:val="20"/>
                <w:color w:val="auto"/>
              </w:rPr>
            </w:pPr>
            <w:r>
              <w:rPr>
                <w:rFonts w:ascii="Arial" w:cs="Arial" w:eastAsia="Arial" w:hAnsi="Arial"/>
                <w:sz w:val="18"/>
                <w:szCs w:val="18"/>
                <w:color w:val="auto"/>
              </w:rPr>
              <w:t>(d) Exhibits</w:t>
            </w:r>
          </w:p>
        </w:tc>
        <w:tc>
          <w:tcPr>
            <w:tcW w:w="0" w:type="dxa"/>
            <w:vAlign w:val="bottom"/>
          </w:tcPr>
          <w:p>
            <w:pPr>
              <w:spacing w:after="0"/>
              <w:rPr>
                <w:sz w:val="1"/>
                <w:szCs w:val="1"/>
                <w:color w:val="auto"/>
              </w:rPr>
            </w:pPr>
          </w:p>
        </w:tc>
      </w:tr>
      <w:tr>
        <w:trPr>
          <w:trHeight w:val="369"/>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0" w:type="dxa"/>
            <w:vAlign w:val="bottom"/>
            <w:tcBorders>
              <w:bottom w:val="single" w:sz="8" w:color="auto"/>
            </w:tcBorders>
          </w:tcPr>
          <w:p>
            <w:pPr>
              <w:ind w:left="100"/>
              <w:spacing w:after="0" w:line="158" w:lineRule="exact"/>
              <w:rPr>
                <w:sz w:val="20"/>
                <w:szCs w:val="20"/>
                <w:color w:val="auto"/>
              </w:rPr>
            </w:pPr>
            <w:r>
              <w:rPr>
                <w:rFonts w:ascii="Arial" w:cs="Arial" w:eastAsia="Arial" w:hAnsi="Arial"/>
                <w:sz w:val="14"/>
                <w:szCs w:val="14"/>
                <w:b w:val="1"/>
                <w:bCs w:val="1"/>
                <w:color w:val="auto"/>
              </w:rPr>
              <w:t>No.</w:t>
            </w:r>
          </w:p>
        </w:tc>
        <w:tc>
          <w:tcPr>
            <w:tcW w:w="520" w:type="dxa"/>
            <w:vAlign w:val="bottom"/>
          </w:tcPr>
          <w:p>
            <w:pPr>
              <w:spacing w:after="0"/>
              <w:rPr>
                <w:sz w:val="14"/>
                <w:szCs w:val="14"/>
                <w:color w:val="auto"/>
              </w:rPr>
            </w:pPr>
          </w:p>
        </w:tc>
        <w:tc>
          <w:tcPr>
            <w:tcW w:w="3360" w:type="dxa"/>
            <w:vAlign w:val="bottom"/>
            <w:tcBorders>
              <w:bottom w:val="single" w:sz="8" w:color="auto"/>
            </w:tcBorders>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60" w:type="dxa"/>
            <w:vAlign w:val="bottom"/>
            <w:gridSpan w:val="2"/>
          </w:tcPr>
          <w:p>
            <w:pPr>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3"/>
                <w:szCs w:val="23"/>
                <w:color w:val="auto"/>
              </w:rPr>
            </w:pPr>
          </w:p>
        </w:tc>
        <w:tc>
          <w:tcPr>
            <w:tcW w:w="48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Amended and Restated Certificate of Incorporation of Exagen Inc.</w:t>
              </w:r>
            </w:hyperlink>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4800" w:type="dxa"/>
            <w:vAlign w:val="bottom"/>
            <w:gridSpan w:val="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Amended and Restated Bylaws of Exagen Inc.</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EXAGEN INC.</w:t>
      </w:r>
    </w:p>
    <w:p>
      <w:pPr>
        <w:spacing w:after="0" w:line="225" w:lineRule="exact"/>
        <w:rPr>
          <w:sz w:val="20"/>
          <w:szCs w:val="20"/>
          <w:color w:val="auto"/>
        </w:rPr>
      </w:pPr>
    </w:p>
    <w:p>
      <w:pPr>
        <w:spacing w:after="0"/>
        <w:tabs>
          <w:tab w:leader="none" w:pos="5620" w:val="left"/>
          <w:tab w:leader="none" w:pos="6040" w:val="left"/>
        </w:tabs>
        <w:rPr>
          <w:sz w:val="20"/>
          <w:szCs w:val="20"/>
          <w:color w:val="auto"/>
        </w:rPr>
      </w:pPr>
      <w:r>
        <w:rPr>
          <w:rFonts w:ascii="Arial" w:cs="Arial" w:eastAsia="Arial" w:hAnsi="Arial"/>
          <w:sz w:val="18"/>
          <w:szCs w:val="18"/>
          <w:color w:val="auto"/>
        </w:rPr>
        <w:t>Date: September 23,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Fortunato Ron Rocca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720"/>
          </w:cols>
          <w:pgMar w:left="440" w:top="274"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EXAGEN INC.</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(originally incorporated on November 17, 2003 under the name Exagen Diagnostics,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The name of the Corporation is Exagen Inc.</w:t>
      </w:r>
    </w:p>
    <w:p>
      <w:pPr>
        <w:spacing w:after="0" w:line="225" w:lineRule="exact"/>
        <w:rPr>
          <w:sz w:val="20"/>
          <w:szCs w:val="20"/>
          <w:color w:val="auto"/>
        </w:rPr>
      </w:pPr>
    </w:p>
    <w:p>
      <w:pPr>
        <w:ind w:right="80" w:firstLine="441"/>
        <w:spacing w:after="0" w:line="308" w:lineRule="auto"/>
        <w:rPr>
          <w:sz w:val="20"/>
          <w:szCs w:val="20"/>
          <w:color w:val="auto"/>
        </w:rPr>
      </w:pPr>
      <w:r>
        <w:rPr>
          <w:rFonts w:ascii="Arial" w:cs="Arial" w:eastAsia="Arial" w:hAnsi="Arial"/>
          <w:sz w:val="17"/>
          <w:szCs w:val="17"/>
          <w:color w:val="auto"/>
        </w:rPr>
        <w:t>SECOND: The address of the Corporation’s registered office in the State of Delaware is 1209 Orange Street in the City of Wilmington, County of New Castle, State of Delaware 19801. The name of its registered agent at that address is The Corporation Trust Company.</w:t>
      </w:r>
    </w:p>
    <w:p>
      <w:pPr>
        <w:spacing w:after="0" w:line="147"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THIRD: The nature of the business or purposes to be conducted or promoted by the Corporation is to engage in any lawful act or activity for which corporations may be organized under the General Corporation Law of the State of Delaware.</w:t>
      </w:r>
    </w:p>
    <w:p>
      <w:pPr>
        <w:spacing w:after="0" w:line="170"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FOURTH: The total number of shares of all classes of stock which the Corporation shall have authority to issue is 210,000,000 shares, consisting of (a) 200,000,000 shares of Common Stock, $0.001 par value per share (“Common Stock”), and (b) 10,000,000 shares of Preferred Stock, $0.001 par value per share (“Preferred Stock”).</w:t>
      </w:r>
    </w:p>
    <w:p>
      <w:pPr>
        <w:spacing w:after="0" w:line="18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76" w:lineRule="exact"/>
        <w:rPr>
          <w:sz w:val="20"/>
          <w:szCs w:val="20"/>
          <w:color w:val="auto"/>
        </w:rPr>
      </w:pPr>
    </w:p>
    <w:p>
      <w:pPr>
        <w:ind w:left="980" w:hanging="54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17" w:lineRule="exact"/>
        <w:rPr>
          <w:sz w:val="20"/>
          <w:szCs w:val="20"/>
          <w:color w:val="auto"/>
        </w:rPr>
      </w:pPr>
    </w:p>
    <w:p>
      <w:pPr>
        <w:ind w:right="20" w:firstLine="444"/>
        <w:spacing w:after="0" w:line="342" w:lineRule="auto"/>
        <w:tabs>
          <w:tab w:leader="none" w:pos="621"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voting, dividend and liquidation rights of the holders of the Common Stock are subject to and qualified by the rights of the holders of the Preferred Stock of any series as may be designated by the Board of Directors upon any issuance of the Preferred Stock of any series.</w:t>
      </w:r>
    </w:p>
    <w:p>
      <w:pPr>
        <w:spacing w:after="0" w:line="15" w:lineRule="exact"/>
        <w:rPr>
          <w:rFonts w:ascii="Arial" w:cs="Arial" w:eastAsia="Arial" w:hAnsi="Arial"/>
          <w:sz w:val="16"/>
          <w:szCs w:val="16"/>
          <w:color w:val="auto"/>
        </w:rPr>
      </w:pPr>
    </w:p>
    <w:p>
      <w:pPr>
        <w:ind w:right="40" w:firstLine="444"/>
        <w:spacing w:after="0" w:line="284" w:lineRule="auto"/>
        <w:tabs>
          <w:tab w:leader="none" w:pos="621"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xml:space="preserve">. The holders of the Common Stock shall have voting rights at all meetings of stockholders, each such holder being entitled to one vote for each share thereof held by such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required by law, holders of Common Stock shall not be entitled to vote on any amendment to this Certificate of Incorporation (which, as used herein, shall mean the certificate of incorporation of the Corporation, as amended from time to time, including the terms of any certificate of designations of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or the General Corporation Law of the State of</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Delaware. There shall be no cumulative voting.</w:t>
      </w:r>
    </w:p>
    <w:p>
      <w:pPr>
        <w:sectPr>
          <w:pgSz w:w="11900" w:h="16838" w:orient="portrait"/>
          <w:cols w:equalWidth="0" w:num="1">
            <w:col w:w="11020"/>
          </w:cols>
          <w:pgMar w:left="440" w:top="121" w:right="439" w:bottom="1440" w:gutter="0" w:footer="0" w:header="0"/>
        </w:sectPr>
      </w:pPr>
    </w:p>
    <w:bookmarkStart w:id="4" w:name="page5"/>
    <w:bookmarkEnd w:id="4"/>
    <w:p>
      <w:pPr>
        <w:jc w:val="both"/>
        <w:ind w:right="8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General Corporation Law of the State of Delaware.</w:t>
      </w:r>
    </w:p>
    <w:p>
      <w:pPr>
        <w:spacing w:after="0" w:line="73" w:lineRule="exact"/>
        <w:rPr>
          <w:sz w:val="20"/>
          <w:szCs w:val="20"/>
          <w:color w:val="auto"/>
        </w:rPr>
      </w:pPr>
    </w:p>
    <w:p>
      <w:pPr>
        <w:ind w:right="560" w:firstLine="444"/>
        <w:spacing w:after="0" w:line="308" w:lineRule="auto"/>
        <w:tabs>
          <w:tab w:leader="none" w:pos="621"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Dividends may be declared and paid on the Common Stock as and when determined by the Board of Directors subject to any preferential dividend or other rights of any then outstanding Preferred Stock and to the requirements of applicable law.</w:t>
      </w:r>
    </w:p>
    <w:p>
      <w:pPr>
        <w:spacing w:after="0" w:line="38" w:lineRule="exact"/>
        <w:rPr>
          <w:rFonts w:ascii="Arial" w:cs="Arial" w:eastAsia="Arial" w:hAnsi="Arial"/>
          <w:sz w:val="17"/>
          <w:szCs w:val="17"/>
          <w:color w:val="auto"/>
        </w:rPr>
      </w:pPr>
    </w:p>
    <w:p>
      <w:pPr>
        <w:ind w:firstLine="444"/>
        <w:spacing w:after="0" w:line="264" w:lineRule="auto"/>
        <w:tabs>
          <w:tab w:leader="none" w:pos="621"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Upon the dissolution or liquidation of the Corporation, whether voluntary or involuntary, holders of Common Stock will be entitled to receive all assets of the Corporation available for distribution to its stockholders, subject to any preferential or other rights of any then outstanding Preferred Stock.</w:t>
      </w:r>
    </w:p>
    <w:p>
      <w:pPr>
        <w:spacing w:after="0" w:line="87" w:lineRule="exact"/>
        <w:rPr>
          <w:sz w:val="20"/>
          <w:szCs w:val="20"/>
          <w:color w:val="auto"/>
        </w:rPr>
      </w:pPr>
    </w:p>
    <w:p>
      <w:pPr>
        <w:ind w:left="980" w:hanging="54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117" w:lineRule="exact"/>
        <w:rPr>
          <w:sz w:val="20"/>
          <w:szCs w:val="20"/>
          <w:color w:val="auto"/>
        </w:rPr>
      </w:pPr>
    </w:p>
    <w:p>
      <w:pPr>
        <w:ind w:right="100" w:firstLine="441"/>
        <w:spacing w:after="0" w:line="342" w:lineRule="auto"/>
        <w:rPr>
          <w:sz w:val="20"/>
          <w:szCs w:val="20"/>
          <w:color w:val="auto"/>
        </w:rPr>
      </w:pPr>
      <w:r>
        <w:rPr>
          <w:rFonts w:ascii="Arial" w:cs="Arial" w:eastAsia="Arial" w:hAnsi="Arial"/>
          <w:sz w:val="16"/>
          <w:szCs w:val="16"/>
          <w:color w:val="auto"/>
        </w:rPr>
        <w:t>Preferred Stock may be issued from time to time in one or more series, each of such series to have such terms as stated or expressed herein and in the resolution or resolutions providing for the issue of such series adopted by the Board of Directors of the Corporation as hereinafter provided.</w:t>
      </w:r>
    </w:p>
    <w:p>
      <w:pPr>
        <w:spacing w:after="0" w:line="124"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General Corporation Law of the State of Delaware,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fullest extent now or hereafter permitted by the General Corporation Law of the State of Delaware. The powers, preferences and relative, participating, optional and other special rights of each such series of Preferred Stock, and the qualifications, limitations or restrictions thereof, if any, may differ from those of any and all other series at any time outstanding. Without limiting the generality of the foregoing, the resolution or resolutions providing for the issuance of any series of Preferred Stock may provide that such series shall be superior or rank equally or be junior to any other series of Preferred Stock to the extent permitted by law.</w:t>
      </w:r>
    </w:p>
    <w:p>
      <w:pPr>
        <w:spacing w:after="0" w:line="169"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Subject to the rights of the holders of any series of Preferred Stock pursuant to the terms of this Certificate of Incorporation or any resolution or resolutions providing for the issuance of such series of stock adopted by the Board of Directors, the number of authorized shares of Preferred Stock may be increased or decreased (but not below the number of shares thereof then outstanding) by the affirmative vote of the holders of a majority of the stock of the Corporation entitled to vote, irrespective of the provisions of Section 242(b)(2) of the General Corporation Law of the State of Delaware.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 w:name="page6"/>
    <w:bookmarkEnd w:id="5"/>
    <w:p>
      <w:pPr>
        <w:ind w:right="16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FIFTH: Except as otherwise provided herein, the Corporation reserves the right to amend, alter, change or repeal any provision contained in this Certificate of Incorporation, in the manner now or hereafter prescribed by statute and this Certificate of Incorporation, and all rights conferred upon stockholders, directors or any other persons herein are granted subject to this reservation.</w:t>
      </w:r>
    </w:p>
    <w:p>
      <w:pPr>
        <w:spacing w:after="0" w:line="181"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SIXTH: In furtherance and not in limitation of the powers conferred upon it by the General Corporation Law of the State of Delaware, and subject to the terms of any series of Preferred Stock, the Board of Directors shall have the power to adopt, amend, alter or repeal the Bylaws of the Corporation. The stockholders may not adopt, amend, alter or repeal the Bylaws of the Corporation, or adopt any provision inconsistent therewith, unless such action is approved, in addition to any other vote required by this Certificate of Incorporation, by the affirmative vote of the holders of at least two-thirds in voting power of the outstanding shares of capital stock of the Corporation entitled to vote thereon. Notwithstanding any other provisions of law, this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SIXTH.</w:t>
      </w:r>
    </w:p>
    <w:p>
      <w:pPr>
        <w:spacing w:after="0" w:line="179"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SEVENTH: Except to the extent that the General Corporation Law of the State of Delaware prohibits the elimination or limitation of liability of directors for breaches of fiduciary duty,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 If the General Corporation Law of the State of Delaware is amended to permit further elimination or limitation of the personal liability of directors, then the liability of a director of the Corporation shall be eliminated or limited to the fullest extent permitted by the General Corporation Law of the State of Delaware as so amended.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EIGHTH: This Article EIGHTH is inserted for the management of the business and for the conduct of the affairs of the Corporation.</w:t>
      </w:r>
    </w:p>
    <w:p>
      <w:pPr>
        <w:spacing w:after="0" w:line="117" w:lineRule="exact"/>
        <w:rPr>
          <w:sz w:val="20"/>
          <w:szCs w:val="20"/>
          <w:color w:val="auto"/>
        </w:rPr>
      </w:pPr>
    </w:p>
    <w:p>
      <w:pPr>
        <w:ind w:left="620" w:hanging="176"/>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by or under the direction of the Board of Directors.</w:t>
      </w:r>
    </w:p>
    <w:p>
      <w:pPr>
        <w:spacing w:after="0" w:line="117" w:lineRule="exact"/>
        <w:rPr>
          <w:rFonts w:ascii="Arial" w:cs="Arial" w:eastAsia="Arial" w:hAnsi="Arial"/>
          <w:sz w:val="18"/>
          <w:szCs w:val="18"/>
          <w:color w:val="auto"/>
        </w:rPr>
      </w:pPr>
    </w:p>
    <w:p>
      <w:pPr>
        <w:ind w:right="100" w:firstLine="444"/>
        <w:spacing w:after="0" w:line="264" w:lineRule="auto"/>
        <w:tabs>
          <w:tab w:leader="none" w:pos="62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Number of Directors; Election of Directors</w:t>
      </w:r>
      <w:r>
        <w:rPr>
          <w:rFonts w:ascii="Arial" w:cs="Arial" w:eastAsia="Arial" w:hAnsi="Arial"/>
          <w:sz w:val="18"/>
          <w:szCs w:val="18"/>
          <w:color w:val="auto"/>
        </w:rPr>
        <w:t>. Subject to the rights of holders of any series of Preferred Stock to elect directors, the number of directors of the Corporation shall be established from time to time by the Board of Directors. Election of directors need not be by written ballot, except as and to the extent provided in the Bylaws of the Corporation.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6" w:name="page7"/>
    <w:bookmarkEnd w:id="6"/>
    <w:p>
      <w:pPr>
        <w:jc w:val="both"/>
        <w:ind w:left="-20" w:right="280" w:firstLine="444"/>
        <w:spacing w:after="0" w:line="259" w:lineRule="auto"/>
        <w:tabs>
          <w:tab w:leader="none" w:pos="60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Classes of Directors</w:t>
      </w:r>
      <w:r>
        <w:rPr>
          <w:rFonts w:ascii="Arial" w:cs="Arial" w:eastAsia="Arial" w:hAnsi="Arial"/>
          <w:sz w:val="18"/>
          <w:szCs w:val="18"/>
          <w:color w:val="auto"/>
        </w:rPr>
        <w:t>. Subject to the rights of holders of any series of Preferred Stock to elect directors, the Board of Directors shall be and is divided into three classes, designated as Class I, Class II and Class III. Each class shall consist, as nearly as may be possible, of one-third of the total number of directors constituting the entire Board of Directors. The Board of Directors is authorized to assign members of the Board of Directors to Class I, Class II or Class III.</w:t>
      </w:r>
    </w:p>
    <w:p>
      <w:pPr>
        <w:spacing w:after="0" w:line="78" w:lineRule="exact"/>
        <w:rPr>
          <w:rFonts w:ascii="Arial" w:cs="Arial" w:eastAsia="Arial" w:hAnsi="Arial"/>
          <w:sz w:val="18"/>
          <w:szCs w:val="18"/>
          <w:color w:val="auto"/>
        </w:rPr>
      </w:pPr>
    </w:p>
    <w:p>
      <w:pPr>
        <w:ind w:left="-20" w:firstLine="444"/>
        <w:spacing w:after="0" w:line="254" w:lineRule="auto"/>
        <w:tabs>
          <w:tab w:leader="none" w:pos="60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Terms of Office</w:t>
      </w:r>
      <w:r>
        <w:rPr>
          <w:rFonts w:ascii="Arial" w:cs="Arial" w:eastAsia="Arial" w:hAnsi="Arial"/>
          <w:sz w:val="18"/>
          <w:szCs w:val="18"/>
          <w:color w:val="auto"/>
        </w:rPr>
        <w:t xml:space="preserve">. Subject to the rights of holders of any series of Preferred Stock to elect directors, each director shall serve for a term ending on the date of the third annual meeting of stockholders following the annual meeting of stockholders at which such director was elected;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director initially assigned to Class I shall serve for a term expiring at the Corporation’s first annual meeting of stockholders held after the effectiveness of this Certificate of Incorporation; each director initially assigned to Class II shall serve for a term expiring at the Corporation’s second annual meeting of stockholders held after the effectiveness of this Certificate of Incorporation; and each director initially assigned to Class III shall serve for a term expiring at the Corporation’s third annual meeting of stockholders held after the effectiveness of this Certificate of Incorporation;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the term of each director shall continue until the election and qualification of his or her successor and be subject to his or her earlier death, resignation or removal.</w:t>
      </w:r>
    </w:p>
    <w:p>
      <w:pPr>
        <w:spacing w:after="0" w:line="84" w:lineRule="exact"/>
        <w:rPr>
          <w:rFonts w:ascii="Arial" w:cs="Arial" w:eastAsia="Arial" w:hAnsi="Arial"/>
          <w:sz w:val="18"/>
          <w:szCs w:val="18"/>
          <w:color w:val="auto"/>
        </w:rPr>
      </w:pPr>
    </w:p>
    <w:p>
      <w:pPr>
        <w:ind w:left="-20" w:firstLine="444"/>
        <w:spacing w:after="0" w:line="259" w:lineRule="auto"/>
        <w:tabs>
          <w:tab w:leader="none" w:pos="60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Quorum</w:t>
      </w:r>
      <w:r>
        <w:rPr>
          <w:rFonts w:ascii="Arial" w:cs="Arial" w:eastAsia="Arial" w:hAnsi="Arial"/>
          <w:sz w:val="18"/>
          <w:szCs w:val="18"/>
          <w:color w:val="auto"/>
        </w:rPr>
        <w:t>. The greater of (a) a majority of the directors at any time in office and (b) one-third of the number of directors fixed pursuant to Section 2 of this Article EIGHTH shall constitute a quorum of the Board of Directors. If at any meeting of the Board of Directors there shall be less than such a quorum, a majority of the directors present may adjourn the meeting from time to time without further notice other than announcement at the meeting, until a quorum shall be present.</w:t>
      </w:r>
    </w:p>
    <w:p>
      <w:pPr>
        <w:spacing w:after="0" w:line="78" w:lineRule="exact"/>
        <w:rPr>
          <w:rFonts w:ascii="Arial" w:cs="Arial" w:eastAsia="Arial" w:hAnsi="Arial"/>
          <w:sz w:val="18"/>
          <w:szCs w:val="18"/>
          <w:color w:val="auto"/>
        </w:rPr>
      </w:pPr>
    </w:p>
    <w:p>
      <w:pPr>
        <w:ind w:left="-20" w:right="520" w:firstLine="444"/>
        <w:spacing w:after="0" w:line="342" w:lineRule="auto"/>
        <w:tabs>
          <w:tab w:leader="none" w:pos="601"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Action at Meeting</w:t>
      </w:r>
      <w:r>
        <w:rPr>
          <w:rFonts w:ascii="Arial" w:cs="Arial" w:eastAsia="Arial" w:hAnsi="Arial"/>
          <w:sz w:val="16"/>
          <w:szCs w:val="16"/>
          <w:color w:val="auto"/>
        </w:rPr>
        <w:t>. Every act or decision done or made by a majority of the directors present at a meeting duly held at which a quorum is present shall be regarded as the act of the Board of Directors unless a greater number is required by law or by this Certificate of Incorporation.</w:t>
      </w:r>
    </w:p>
    <w:p>
      <w:pPr>
        <w:spacing w:after="0" w:line="15" w:lineRule="exact"/>
        <w:rPr>
          <w:rFonts w:ascii="Arial" w:cs="Arial" w:eastAsia="Arial" w:hAnsi="Arial"/>
          <w:sz w:val="16"/>
          <w:szCs w:val="16"/>
          <w:color w:val="auto"/>
        </w:rPr>
      </w:pPr>
    </w:p>
    <w:p>
      <w:pPr>
        <w:jc w:val="both"/>
        <w:ind w:left="-20" w:right="120" w:firstLine="444"/>
        <w:spacing w:after="0" w:line="264" w:lineRule="auto"/>
        <w:tabs>
          <w:tab w:leader="none" w:pos="60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Subject to the rights of holders of any series of Preferred Stock, directors of the Corporation may be removed but only for cause and only by the affirmative vote of the holders of at least two-thirds in voting power of the outstanding shares of capital stock of the Corporation entitled to vote at an election of directors.</w:t>
      </w:r>
    </w:p>
    <w:p>
      <w:pPr>
        <w:spacing w:after="0" w:line="73" w:lineRule="exact"/>
        <w:rPr>
          <w:rFonts w:ascii="Arial" w:cs="Arial" w:eastAsia="Arial" w:hAnsi="Arial"/>
          <w:sz w:val="18"/>
          <w:szCs w:val="18"/>
          <w:color w:val="auto"/>
        </w:rPr>
      </w:pPr>
    </w:p>
    <w:p>
      <w:pPr>
        <w:ind w:left="-20" w:firstLine="444"/>
        <w:spacing w:after="0" w:line="297" w:lineRule="auto"/>
        <w:tabs>
          <w:tab w:leader="none" w:pos="601"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Vacancies</w:t>
      </w:r>
      <w:r>
        <w:rPr>
          <w:rFonts w:ascii="Arial" w:cs="Arial" w:eastAsia="Arial" w:hAnsi="Arial"/>
          <w:sz w:val="16"/>
          <w:szCs w:val="16"/>
          <w:color w:val="auto"/>
        </w:rPr>
        <w:t>. Subject to the rights of holders of any series of Preferred Stock, any vacancy or newly created directorship in the Board of Directors, however occurring, shall be filled only by vote of a majority of the directors then in office, although less than a quorum, or by a sole remaining director and shall not be filled by the stockholders, unless the Board of Directors determines by resolution that any such vacancy or newly created directorship shall be filled by the stockholders. A director elected to fill a vacancy shall hold office until the next election of the class for which such director shall have been chosen, subject to the election and qualification of a successor and to such director’s earlier death, resignation or removal.</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4" w:right="459" w:bottom="1440" w:gutter="0" w:footer="0" w:header="0"/>
        </w:sectPr>
      </w:pPr>
    </w:p>
    <w:bookmarkStart w:id="7" w:name="page8"/>
    <w:bookmarkEnd w:id="7"/>
    <w:p>
      <w:pPr>
        <w:ind w:right="420" w:firstLine="444"/>
        <w:spacing w:after="0" w:line="342" w:lineRule="auto"/>
        <w:tabs>
          <w:tab w:leader="none" w:pos="621"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Nominations and Introduction of Business, Etc</w:t>
      </w:r>
      <w:r>
        <w:rPr>
          <w:rFonts w:ascii="Arial" w:cs="Arial" w:eastAsia="Arial" w:hAnsi="Arial"/>
          <w:sz w:val="16"/>
          <w:szCs w:val="16"/>
          <w:color w:val="auto"/>
        </w:rPr>
        <w:t>. Advance notice of stockholder nominations for election of directors and other business to be brought by stockholders before a meeting of stockholders shall be given in the manner provided by the Bylaws of the Corporation.</w:t>
      </w:r>
    </w:p>
    <w:p>
      <w:pPr>
        <w:spacing w:after="0" w:line="15" w:lineRule="exact"/>
        <w:rPr>
          <w:rFonts w:ascii="Arial" w:cs="Arial" w:eastAsia="Arial" w:hAnsi="Arial"/>
          <w:sz w:val="16"/>
          <w:szCs w:val="16"/>
          <w:color w:val="auto"/>
        </w:rPr>
      </w:pPr>
    </w:p>
    <w:p>
      <w:pPr>
        <w:ind w:right="20" w:firstLine="444"/>
        <w:spacing w:after="0" w:line="259" w:lineRule="auto"/>
        <w:tabs>
          <w:tab w:leader="none" w:pos="711"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Amendments to Article</w:t>
      </w:r>
      <w:r>
        <w:rPr>
          <w:rFonts w:ascii="Arial" w:cs="Arial" w:eastAsia="Arial" w:hAnsi="Arial"/>
          <w:sz w:val="18"/>
          <w:szCs w:val="18"/>
          <w:color w:val="auto"/>
        </w:rPr>
        <w:t>. Notwithstanding any other provisions of law, this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EIGHTH.</w:t>
      </w:r>
    </w:p>
    <w:p>
      <w:pPr>
        <w:spacing w:after="0" w:line="187"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NINTH: No action that is required or permitted to be taken by the stockholders of the Corporation at any annual or special meeting of stockholders may be effected by written consent of stockholders in lieu of a meeting. Notwithstanding any other provisions of law, this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NINTH.</w:t>
      </w:r>
    </w:p>
    <w:p>
      <w:pPr>
        <w:spacing w:after="0" w:line="188"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TENTH: Special meetings of stockholders for any purpose or purposes may be called at any time only by the Board of Directors, the chairperson of the Board of Directors, the chief executive officer or the president (in the absence of a chief executive officer), and may not be called by any other person or persons. Business transacted at any special meeting of stockholders shall be limited to the purpose or purposes stated in the notice of meeting. Notwithstanding any other provisions of law, this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TENTH.</w:t>
      </w:r>
    </w:p>
    <w:p>
      <w:pPr>
        <w:spacing w:after="0" w:line="18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ELEVENTH: 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fiduciary duty owed by any director, officer, employee, agent or stockholder of the Corporation to the Corporation or the Corporation’s stockholders, creditors or other constituents, (c) any action asserting a claim arising pursuant to any provision of the General Corporation Law of the State of Delaware or this Certificate of Incorporation or the Bylaws of the Corporation or (d) any action asserting a claim governed by the internal affairs doctrine, in each case subject to said Court of Chancery having personal jurisdiction over the indispensable parties named as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8" w:name="page9"/>
    <w:bookmarkEnd w:id="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defendants therein; provided that, the provisions of this Article ELEVENTH will not apply to suits brought to enforce any liability or duty created by the Securities and Exchange Act of 1934, as amended,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To the fullest extent permitted by applicable law, any person or entity purchasing or otherwise acquiring or holding any interest in shares of capital stock of the Corporation shall be deemed to have notice of and consented to the provisions of this Article ELEVENTH. Notwithstanding any other provisions of law, this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ELEVENTH. If any provision or provisions of this Article ELEVENTH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ELEVENTH (including, without limitation, each portion of any sentence of this Article ELEVENTH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85"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IN WITNESS WHEREOF, this Amended and Restated Certificate of Incorporation, which restates, integrates and amends the certificate of incorporation of the Corporation, and which has been duly adopted in accordance with Sections 228, 242 and 245 of the General Corporation Law of the State of Delaware, has been executed by its duly authorized officer this 23</w:t>
      </w:r>
      <w:r>
        <w:rPr>
          <w:rFonts w:ascii="Arial" w:cs="Arial" w:eastAsia="Arial" w:hAnsi="Arial"/>
          <w:sz w:val="15"/>
          <w:szCs w:val="15"/>
          <w:color w:val="auto"/>
        </w:rPr>
        <w:t>rd</w:t>
      </w:r>
      <w:r>
        <w:rPr>
          <w:rFonts w:ascii="Arial" w:cs="Arial" w:eastAsia="Arial" w:hAnsi="Arial"/>
          <w:sz w:val="18"/>
          <w:szCs w:val="18"/>
          <w:color w:val="auto"/>
        </w:rPr>
        <w:t xml:space="preserve"> day of September, 2019.</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EXAGEN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730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Fortunato Ron Rocca</w:t>
      </w:r>
    </w:p>
    <w:p>
      <w:pPr>
        <w:spacing w:after="0" w:line="23" w:lineRule="exact"/>
        <w:rPr>
          <w:sz w:val="20"/>
          <w:szCs w:val="20"/>
          <w:color w:val="auto"/>
        </w:rPr>
      </w:pPr>
    </w:p>
    <w:p>
      <w:pPr>
        <w:ind w:left="6980"/>
        <w:spacing w:after="0"/>
        <w:tabs>
          <w:tab w:leader="none" w:pos="7540" w:val="left"/>
        </w:tabs>
        <w:rPr>
          <w:sz w:val="20"/>
          <w:szCs w:val="20"/>
          <w:color w:val="auto"/>
        </w:rPr>
      </w:pPr>
      <w:r>
        <w:rPr>
          <w:rFonts w:ascii="Arial" w:cs="Arial" w:eastAsia="Arial" w:hAnsi="Arial"/>
          <w:sz w:val="18"/>
          <w:szCs w:val="18"/>
          <w:color w:val="auto"/>
        </w:rPr>
        <w:t>Title:</w:t>
        <w:tab/>
        <w:t>President and Chief Executive Officer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7"/>
          <w:szCs w:val="17"/>
          <w:b w:val="1"/>
          <w:bCs w:val="1"/>
          <w:color w:val="auto"/>
        </w:rPr>
        <w:t>AMENDED AND RESTATED</w:t>
      </w:r>
    </w:p>
    <w:p>
      <w:pPr>
        <w:spacing w:after="0" w:line="23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EXAGEN INC.</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0020"/>
          </w:cols>
          <w:pgMar w:left="1440" w:top="121"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8380" w:type="dxa"/>
            <w:vAlign w:val="bottom"/>
          </w:tcPr>
          <w:p>
            <w:pPr>
              <w:ind w:left="3740"/>
              <w:spacing w:after="0"/>
              <w:rPr>
                <w:sz w:val="20"/>
                <w:szCs w:val="20"/>
                <w:color w:val="auto"/>
              </w:rPr>
            </w:pPr>
            <w:r>
              <w:rPr>
                <w:rFonts w:ascii="Arial" w:cs="Arial" w:eastAsia="Arial" w:hAnsi="Arial"/>
                <w:sz w:val="18"/>
                <w:szCs w:val="18"/>
                <w:b w:val="1"/>
                <w:bCs w:val="1"/>
                <w:color w:val="auto"/>
              </w:rPr>
              <w:t>TABLE OF CONTENTS</w:t>
            </w: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ARTICLE I - CORPORATE OFFICES</w:t>
            </w: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9200" w:type="dxa"/>
            <w:vAlign w:val="bottom"/>
            <w:gridSpan w:val="2"/>
            <w:vMerge w:val="continue"/>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5"/>
        </w:trPr>
        <w:tc>
          <w:tcPr>
            <w:tcW w:w="820" w:type="dxa"/>
            <w:vAlign w:val="bottom"/>
          </w:tcPr>
          <w:p>
            <w:pPr>
              <w:ind w:left="360"/>
              <w:spacing w:after="0"/>
              <w:rPr>
                <w:sz w:val="20"/>
                <w:szCs w:val="20"/>
                <w:color w:val="auto"/>
              </w:rPr>
            </w:pPr>
            <w:r>
              <w:rPr>
                <w:rFonts w:ascii="Arial" w:cs="Arial" w:eastAsia="Arial" w:hAnsi="Arial"/>
                <w:sz w:val="18"/>
                <w:szCs w:val="18"/>
                <w:color w:val="auto"/>
              </w:rPr>
              <w:t>1.1</w:t>
            </w:r>
          </w:p>
        </w:tc>
        <w:tc>
          <w:tcPr>
            <w:tcW w:w="8380" w:type="dxa"/>
            <w:vAlign w:val="bottom"/>
          </w:tcPr>
          <w:p>
            <w:pPr>
              <w:ind w:left="160"/>
              <w:spacing w:after="0"/>
              <w:rPr>
                <w:sz w:val="20"/>
                <w:szCs w:val="20"/>
                <w:color w:val="auto"/>
              </w:rPr>
            </w:pPr>
            <w:r>
              <w:rPr>
                <w:rFonts w:ascii="Arial" w:cs="Arial" w:eastAsia="Arial" w:hAnsi="Arial"/>
                <w:sz w:val="18"/>
                <w:szCs w:val="18"/>
                <w:color w:val="auto"/>
              </w:rPr>
              <w:t>REGISTERED OFFICE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1.2</w:t>
            </w:r>
          </w:p>
        </w:tc>
        <w:tc>
          <w:tcPr>
            <w:tcW w:w="8380" w:type="dxa"/>
            <w:vAlign w:val="bottom"/>
          </w:tcPr>
          <w:p>
            <w:pPr>
              <w:ind w:left="160"/>
              <w:spacing w:after="0"/>
              <w:rPr>
                <w:sz w:val="20"/>
                <w:szCs w:val="20"/>
                <w:color w:val="auto"/>
              </w:rPr>
            </w:pPr>
            <w:r>
              <w:rPr>
                <w:rFonts w:ascii="Arial" w:cs="Arial" w:eastAsia="Arial" w:hAnsi="Arial"/>
                <w:sz w:val="18"/>
                <w:szCs w:val="18"/>
                <w:color w:val="auto"/>
              </w:rPr>
              <w:t>OTHER OFFICES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9200" w:type="dxa"/>
            <w:vAlign w:val="bottom"/>
            <w:gridSpan w:val="2"/>
          </w:tcPr>
          <w:p>
            <w:pPr>
              <w:spacing w:after="0"/>
              <w:rPr>
                <w:sz w:val="20"/>
                <w:szCs w:val="20"/>
                <w:color w:val="auto"/>
              </w:rPr>
            </w:pPr>
            <w:r>
              <w:rPr>
                <w:rFonts w:ascii="Arial" w:cs="Arial" w:eastAsia="Arial" w:hAnsi="Arial"/>
                <w:sz w:val="18"/>
                <w:szCs w:val="18"/>
                <w:color w:val="auto"/>
              </w:rPr>
              <w:t>ARTICLE II - MEETINGS OF STOCKHOLDERS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2.1</w:t>
            </w:r>
          </w:p>
        </w:tc>
        <w:tc>
          <w:tcPr>
            <w:tcW w:w="8380" w:type="dxa"/>
            <w:vAlign w:val="bottom"/>
          </w:tcPr>
          <w:p>
            <w:pPr>
              <w:ind w:left="160"/>
              <w:spacing w:after="0"/>
              <w:rPr>
                <w:sz w:val="20"/>
                <w:szCs w:val="20"/>
                <w:color w:val="auto"/>
              </w:rPr>
            </w:pPr>
            <w:r>
              <w:rPr>
                <w:rFonts w:ascii="Arial" w:cs="Arial" w:eastAsia="Arial" w:hAnsi="Arial"/>
                <w:sz w:val="18"/>
                <w:szCs w:val="18"/>
                <w:color w:val="auto"/>
              </w:rPr>
              <w:t>PLACE OF MEETINGS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2.2</w:t>
            </w:r>
          </w:p>
        </w:tc>
        <w:tc>
          <w:tcPr>
            <w:tcW w:w="8380" w:type="dxa"/>
            <w:vAlign w:val="bottom"/>
          </w:tcPr>
          <w:p>
            <w:pPr>
              <w:ind w:left="160"/>
              <w:spacing w:after="0"/>
              <w:rPr>
                <w:sz w:val="20"/>
                <w:szCs w:val="20"/>
                <w:color w:val="auto"/>
              </w:rPr>
            </w:pPr>
            <w:r>
              <w:rPr>
                <w:rFonts w:ascii="Arial" w:cs="Arial" w:eastAsia="Arial" w:hAnsi="Arial"/>
                <w:sz w:val="18"/>
                <w:szCs w:val="18"/>
                <w:color w:val="auto"/>
              </w:rPr>
              <w:t>ANNUAL MEETING</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2.3</w:t>
            </w:r>
          </w:p>
        </w:tc>
        <w:tc>
          <w:tcPr>
            <w:tcW w:w="8380" w:type="dxa"/>
            <w:vAlign w:val="bottom"/>
          </w:tcPr>
          <w:p>
            <w:pPr>
              <w:ind w:left="160"/>
              <w:spacing w:after="0"/>
              <w:rPr>
                <w:sz w:val="20"/>
                <w:szCs w:val="20"/>
                <w:color w:val="auto"/>
              </w:rPr>
            </w:pPr>
            <w:r>
              <w:rPr>
                <w:rFonts w:ascii="Arial" w:cs="Arial" w:eastAsia="Arial" w:hAnsi="Arial"/>
                <w:sz w:val="18"/>
                <w:szCs w:val="18"/>
                <w:color w:val="auto"/>
              </w:rPr>
              <w:t>SPECIAL MEETING</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2.4</w:t>
            </w:r>
          </w:p>
        </w:tc>
        <w:tc>
          <w:tcPr>
            <w:tcW w:w="8380" w:type="dxa"/>
            <w:vAlign w:val="bottom"/>
          </w:tcPr>
          <w:p>
            <w:pPr>
              <w:ind w:left="160"/>
              <w:spacing w:after="0"/>
              <w:rPr>
                <w:sz w:val="20"/>
                <w:szCs w:val="20"/>
                <w:color w:val="auto"/>
              </w:rPr>
            </w:pPr>
            <w:r>
              <w:rPr>
                <w:rFonts w:ascii="Arial" w:cs="Arial" w:eastAsia="Arial" w:hAnsi="Arial"/>
                <w:sz w:val="18"/>
                <w:szCs w:val="18"/>
                <w:color w:val="auto"/>
              </w:rPr>
              <w:t>ADVANCE NOTICE PROCEDURES FOR BUSINESS BROUGHT BEFORE A MEETING</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2.5</w:t>
            </w:r>
          </w:p>
        </w:tc>
        <w:tc>
          <w:tcPr>
            <w:tcW w:w="8380" w:type="dxa"/>
            <w:vAlign w:val="bottom"/>
          </w:tcPr>
          <w:p>
            <w:pPr>
              <w:ind w:left="160"/>
              <w:spacing w:after="0"/>
              <w:rPr>
                <w:sz w:val="20"/>
                <w:szCs w:val="20"/>
                <w:color w:val="auto"/>
              </w:rPr>
            </w:pPr>
            <w:r>
              <w:rPr>
                <w:rFonts w:ascii="Arial" w:cs="Arial" w:eastAsia="Arial" w:hAnsi="Arial"/>
                <w:sz w:val="18"/>
                <w:szCs w:val="18"/>
                <w:color w:val="auto"/>
              </w:rPr>
              <w:t>ADVANCE NOTICE PROCEDURES FOR NOMINATIONS OF DIRECTORS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2.6</w:t>
            </w:r>
          </w:p>
        </w:tc>
        <w:tc>
          <w:tcPr>
            <w:tcW w:w="8380" w:type="dxa"/>
            <w:vAlign w:val="bottom"/>
          </w:tcPr>
          <w:p>
            <w:pPr>
              <w:ind w:left="160"/>
              <w:spacing w:after="0"/>
              <w:rPr>
                <w:sz w:val="20"/>
                <w:szCs w:val="20"/>
                <w:color w:val="auto"/>
              </w:rPr>
            </w:pPr>
            <w:r>
              <w:rPr>
                <w:rFonts w:ascii="Arial" w:cs="Arial" w:eastAsia="Arial" w:hAnsi="Arial"/>
                <w:sz w:val="18"/>
                <w:szCs w:val="18"/>
                <w:color w:val="auto"/>
              </w:rPr>
              <w:t>NOTICE OF STOCKHOLDERS’ MEETINGS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2.7</w:t>
            </w:r>
          </w:p>
        </w:tc>
        <w:tc>
          <w:tcPr>
            <w:tcW w:w="8380" w:type="dxa"/>
            <w:vAlign w:val="bottom"/>
          </w:tcPr>
          <w:p>
            <w:pPr>
              <w:ind w:left="160"/>
              <w:spacing w:after="0"/>
              <w:rPr>
                <w:sz w:val="20"/>
                <w:szCs w:val="20"/>
                <w:color w:val="auto"/>
              </w:rPr>
            </w:pPr>
            <w:r>
              <w:rPr>
                <w:rFonts w:ascii="Arial" w:cs="Arial" w:eastAsia="Arial" w:hAnsi="Arial"/>
                <w:sz w:val="18"/>
                <w:szCs w:val="18"/>
                <w:color w:val="auto"/>
              </w:rPr>
              <w:t>MANNER OF GIVING NOTICE; AFFIDAVIT OF NOTICE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2.8</w:t>
            </w:r>
          </w:p>
        </w:tc>
        <w:tc>
          <w:tcPr>
            <w:tcW w:w="8380" w:type="dxa"/>
            <w:vAlign w:val="bottom"/>
          </w:tcPr>
          <w:p>
            <w:pPr>
              <w:ind w:left="160"/>
              <w:spacing w:after="0"/>
              <w:rPr>
                <w:sz w:val="20"/>
                <w:szCs w:val="20"/>
                <w:color w:val="auto"/>
              </w:rPr>
            </w:pPr>
            <w:r>
              <w:rPr>
                <w:rFonts w:ascii="Arial" w:cs="Arial" w:eastAsia="Arial" w:hAnsi="Arial"/>
                <w:sz w:val="18"/>
                <w:szCs w:val="18"/>
                <w:color w:val="auto"/>
              </w:rPr>
              <w:t>QUORUM</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2.9</w:t>
            </w:r>
          </w:p>
        </w:tc>
        <w:tc>
          <w:tcPr>
            <w:tcW w:w="8380" w:type="dxa"/>
            <w:vAlign w:val="bottom"/>
          </w:tcPr>
          <w:p>
            <w:pPr>
              <w:ind w:left="160"/>
              <w:spacing w:after="0"/>
              <w:rPr>
                <w:sz w:val="20"/>
                <w:szCs w:val="20"/>
                <w:color w:val="auto"/>
              </w:rPr>
            </w:pPr>
            <w:r>
              <w:rPr>
                <w:rFonts w:ascii="Arial" w:cs="Arial" w:eastAsia="Arial" w:hAnsi="Arial"/>
                <w:sz w:val="18"/>
                <w:szCs w:val="18"/>
                <w:color w:val="auto"/>
              </w:rPr>
              <w:t>ADJOURNED MEETING; NOTICE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2.10</w:t>
            </w:r>
          </w:p>
        </w:tc>
        <w:tc>
          <w:tcPr>
            <w:tcW w:w="8380" w:type="dxa"/>
            <w:vAlign w:val="bottom"/>
          </w:tcPr>
          <w:p>
            <w:pPr>
              <w:ind w:left="160"/>
              <w:spacing w:after="0"/>
              <w:rPr>
                <w:sz w:val="20"/>
                <w:szCs w:val="20"/>
                <w:color w:val="auto"/>
              </w:rPr>
            </w:pPr>
            <w:r>
              <w:rPr>
                <w:rFonts w:ascii="Arial" w:cs="Arial" w:eastAsia="Arial" w:hAnsi="Arial"/>
                <w:sz w:val="18"/>
                <w:szCs w:val="18"/>
                <w:color w:val="auto"/>
              </w:rPr>
              <w:t>CONDUCT OF BUSINESS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2.11</w:t>
            </w:r>
          </w:p>
        </w:tc>
        <w:tc>
          <w:tcPr>
            <w:tcW w:w="8380" w:type="dxa"/>
            <w:vAlign w:val="bottom"/>
          </w:tcPr>
          <w:p>
            <w:pPr>
              <w:ind w:left="160"/>
              <w:spacing w:after="0"/>
              <w:rPr>
                <w:sz w:val="20"/>
                <w:szCs w:val="20"/>
                <w:color w:val="auto"/>
              </w:rPr>
            </w:pPr>
            <w:r>
              <w:rPr>
                <w:rFonts w:ascii="Arial" w:cs="Arial" w:eastAsia="Arial" w:hAnsi="Arial"/>
                <w:sz w:val="18"/>
                <w:szCs w:val="18"/>
                <w:color w:val="auto"/>
              </w:rPr>
              <w:t>VOTING</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2.12</w:t>
            </w:r>
          </w:p>
        </w:tc>
        <w:tc>
          <w:tcPr>
            <w:tcW w:w="8380" w:type="dxa"/>
            <w:vAlign w:val="bottom"/>
          </w:tcPr>
          <w:p>
            <w:pPr>
              <w:ind w:left="160"/>
              <w:spacing w:after="0"/>
              <w:rPr>
                <w:sz w:val="20"/>
                <w:szCs w:val="20"/>
                <w:color w:val="auto"/>
              </w:rPr>
            </w:pPr>
            <w:r>
              <w:rPr>
                <w:rFonts w:ascii="Arial" w:cs="Arial" w:eastAsia="Arial" w:hAnsi="Arial"/>
                <w:sz w:val="18"/>
                <w:szCs w:val="18"/>
                <w:color w:val="auto"/>
              </w:rPr>
              <w:t>STOCKHOLDER ACTION BY WRITTEN CONSENT WITHOUT A MEETING</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2.13</w:t>
            </w:r>
          </w:p>
        </w:tc>
        <w:tc>
          <w:tcPr>
            <w:tcW w:w="8380" w:type="dxa"/>
            <w:vAlign w:val="bottom"/>
          </w:tcPr>
          <w:p>
            <w:pPr>
              <w:ind w:left="160"/>
              <w:spacing w:after="0"/>
              <w:rPr>
                <w:sz w:val="20"/>
                <w:szCs w:val="20"/>
                <w:color w:val="auto"/>
              </w:rPr>
            </w:pPr>
            <w:r>
              <w:rPr>
                <w:rFonts w:ascii="Arial" w:cs="Arial" w:eastAsia="Arial" w:hAnsi="Arial"/>
                <w:sz w:val="18"/>
                <w:szCs w:val="18"/>
                <w:color w:val="auto"/>
              </w:rPr>
              <w:t>RECORD DATE FOR STOCKHOLDER NOTICE; VOTING</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2.14</w:t>
            </w:r>
          </w:p>
        </w:tc>
        <w:tc>
          <w:tcPr>
            <w:tcW w:w="8380" w:type="dxa"/>
            <w:vAlign w:val="bottom"/>
          </w:tcPr>
          <w:p>
            <w:pPr>
              <w:ind w:left="160"/>
              <w:spacing w:after="0"/>
              <w:rPr>
                <w:sz w:val="20"/>
                <w:szCs w:val="20"/>
                <w:color w:val="auto"/>
              </w:rPr>
            </w:pPr>
            <w:r>
              <w:rPr>
                <w:rFonts w:ascii="Arial" w:cs="Arial" w:eastAsia="Arial" w:hAnsi="Arial"/>
                <w:sz w:val="18"/>
                <w:szCs w:val="18"/>
                <w:color w:val="auto"/>
              </w:rPr>
              <w:t>PROXIES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2.15</w:t>
            </w:r>
          </w:p>
        </w:tc>
        <w:tc>
          <w:tcPr>
            <w:tcW w:w="8380" w:type="dxa"/>
            <w:vAlign w:val="bottom"/>
          </w:tcPr>
          <w:p>
            <w:pPr>
              <w:ind w:left="160"/>
              <w:spacing w:after="0"/>
              <w:rPr>
                <w:sz w:val="20"/>
                <w:szCs w:val="20"/>
                <w:color w:val="auto"/>
              </w:rPr>
            </w:pPr>
            <w:r>
              <w:rPr>
                <w:rFonts w:ascii="Arial" w:cs="Arial" w:eastAsia="Arial" w:hAnsi="Arial"/>
                <w:sz w:val="18"/>
                <w:szCs w:val="18"/>
                <w:color w:val="auto"/>
              </w:rPr>
              <w:t>LIST OF STOCKHOLDERS ENTITLED TO VOTE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2.16</w:t>
            </w:r>
          </w:p>
        </w:tc>
        <w:tc>
          <w:tcPr>
            <w:tcW w:w="8380" w:type="dxa"/>
            <w:vAlign w:val="bottom"/>
          </w:tcPr>
          <w:p>
            <w:pPr>
              <w:ind w:left="160"/>
              <w:spacing w:after="0"/>
              <w:rPr>
                <w:sz w:val="20"/>
                <w:szCs w:val="20"/>
                <w:color w:val="auto"/>
              </w:rPr>
            </w:pPr>
            <w:r>
              <w:rPr>
                <w:rFonts w:ascii="Arial" w:cs="Arial" w:eastAsia="Arial" w:hAnsi="Arial"/>
                <w:sz w:val="18"/>
                <w:szCs w:val="18"/>
                <w:color w:val="auto"/>
              </w:rPr>
              <w:t>POSTPONEMENT, ADJOURNMENT AND CANCELLATION OF MEETING</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2.17</w:t>
            </w:r>
          </w:p>
        </w:tc>
        <w:tc>
          <w:tcPr>
            <w:tcW w:w="8380" w:type="dxa"/>
            <w:vAlign w:val="bottom"/>
          </w:tcPr>
          <w:p>
            <w:pPr>
              <w:ind w:left="160"/>
              <w:spacing w:after="0"/>
              <w:rPr>
                <w:sz w:val="20"/>
                <w:szCs w:val="20"/>
                <w:color w:val="auto"/>
              </w:rPr>
            </w:pPr>
            <w:r>
              <w:rPr>
                <w:rFonts w:ascii="Arial" w:cs="Arial" w:eastAsia="Arial" w:hAnsi="Arial"/>
                <w:sz w:val="18"/>
                <w:szCs w:val="18"/>
                <w:color w:val="auto"/>
              </w:rPr>
              <w:t>INSPECTORS OF ELECTION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9200" w:type="dxa"/>
            <w:vAlign w:val="bottom"/>
            <w:gridSpan w:val="2"/>
          </w:tcPr>
          <w:p>
            <w:pPr>
              <w:spacing w:after="0"/>
              <w:rPr>
                <w:sz w:val="20"/>
                <w:szCs w:val="20"/>
                <w:color w:val="auto"/>
              </w:rPr>
            </w:pPr>
            <w:r>
              <w:rPr>
                <w:rFonts w:ascii="Arial" w:cs="Arial" w:eastAsia="Arial" w:hAnsi="Arial"/>
                <w:sz w:val="18"/>
                <w:szCs w:val="18"/>
                <w:color w:val="auto"/>
              </w:rPr>
              <w:t>ARTICLE III - DIRECTORS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3.1</w:t>
            </w:r>
          </w:p>
        </w:tc>
        <w:tc>
          <w:tcPr>
            <w:tcW w:w="8380" w:type="dxa"/>
            <w:vAlign w:val="bottom"/>
          </w:tcPr>
          <w:p>
            <w:pPr>
              <w:ind w:left="160"/>
              <w:spacing w:after="0"/>
              <w:rPr>
                <w:sz w:val="20"/>
                <w:szCs w:val="20"/>
                <w:color w:val="auto"/>
              </w:rPr>
            </w:pPr>
            <w:r>
              <w:rPr>
                <w:rFonts w:ascii="Arial" w:cs="Arial" w:eastAsia="Arial" w:hAnsi="Arial"/>
                <w:sz w:val="18"/>
                <w:szCs w:val="18"/>
                <w:color w:val="auto"/>
              </w:rPr>
              <w:t>POWERS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3.2</w:t>
            </w:r>
          </w:p>
        </w:tc>
        <w:tc>
          <w:tcPr>
            <w:tcW w:w="8380" w:type="dxa"/>
            <w:vAlign w:val="bottom"/>
          </w:tcPr>
          <w:p>
            <w:pPr>
              <w:ind w:left="160"/>
              <w:spacing w:after="0"/>
              <w:rPr>
                <w:sz w:val="20"/>
                <w:szCs w:val="20"/>
                <w:color w:val="auto"/>
              </w:rPr>
            </w:pPr>
            <w:r>
              <w:rPr>
                <w:rFonts w:ascii="Arial" w:cs="Arial" w:eastAsia="Arial" w:hAnsi="Arial"/>
                <w:sz w:val="18"/>
                <w:szCs w:val="18"/>
                <w:color w:val="auto"/>
              </w:rPr>
              <w:t>NUMBER OF DIRECTORS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3.3</w:t>
            </w:r>
          </w:p>
        </w:tc>
        <w:tc>
          <w:tcPr>
            <w:tcW w:w="8380" w:type="dxa"/>
            <w:vAlign w:val="bottom"/>
          </w:tcPr>
          <w:p>
            <w:pPr>
              <w:ind w:left="160"/>
              <w:spacing w:after="0"/>
              <w:rPr>
                <w:sz w:val="20"/>
                <w:szCs w:val="20"/>
                <w:color w:val="auto"/>
              </w:rPr>
            </w:pPr>
            <w:r>
              <w:rPr>
                <w:rFonts w:ascii="Arial" w:cs="Arial" w:eastAsia="Arial" w:hAnsi="Arial"/>
                <w:sz w:val="18"/>
                <w:szCs w:val="18"/>
                <w:color w:val="auto"/>
              </w:rPr>
              <w:t>ELECTION, QUALIFICATION AND TERM OF OFFICE OF DIRECTORS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3.4</w:t>
            </w:r>
          </w:p>
        </w:tc>
        <w:tc>
          <w:tcPr>
            <w:tcW w:w="8380" w:type="dxa"/>
            <w:vAlign w:val="bottom"/>
          </w:tcPr>
          <w:p>
            <w:pPr>
              <w:ind w:left="160"/>
              <w:spacing w:after="0"/>
              <w:rPr>
                <w:sz w:val="20"/>
                <w:szCs w:val="20"/>
                <w:color w:val="auto"/>
              </w:rPr>
            </w:pPr>
            <w:r>
              <w:rPr>
                <w:rFonts w:ascii="Arial" w:cs="Arial" w:eastAsia="Arial" w:hAnsi="Arial"/>
                <w:sz w:val="18"/>
                <w:szCs w:val="18"/>
                <w:color w:val="auto"/>
              </w:rPr>
              <w:t>RESIGNATION AND VACANCIES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3.5</w:t>
            </w:r>
          </w:p>
        </w:tc>
        <w:tc>
          <w:tcPr>
            <w:tcW w:w="8380" w:type="dxa"/>
            <w:vAlign w:val="bottom"/>
          </w:tcPr>
          <w:p>
            <w:pPr>
              <w:ind w:left="160"/>
              <w:spacing w:after="0"/>
              <w:rPr>
                <w:sz w:val="20"/>
                <w:szCs w:val="20"/>
                <w:color w:val="auto"/>
              </w:rPr>
            </w:pPr>
            <w:r>
              <w:rPr>
                <w:rFonts w:ascii="Arial" w:cs="Arial" w:eastAsia="Arial" w:hAnsi="Arial"/>
                <w:sz w:val="18"/>
                <w:szCs w:val="18"/>
                <w:color w:val="auto"/>
              </w:rPr>
              <w:t>PLACE OF MEETINGS; MEETINGS BY TELEPHONE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3.6</w:t>
            </w:r>
          </w:p>
        </w:tc>
        <w:tc>
          <w:tcPr>
            <w:tcW w:w="8380" w:type="dxa"/>
            <w:vAlign w:val="bottom"/>
          </w:tcPr>
          <w:p>
            <w:pPr>
              <w:ind w:left="160"/>
              <w:spacing w:after="0"/>
              <w:rPr>
                <w:sz w:val="20"/>
                <w:szCs w:val="20"/>
                <w:color w:val="auto"/>
              </w:rPr>
            </w:pPr>
            <w:r>
              <w:rPr>
                <w:rFonts w:ascii="Arial" w:cs="Arial" w:eastAsia="Arial" w:hAnsi="Arial"/>
                <w:sz w:val="18"/>
                <w:szCs w:val="18"/>
                <w:color w:val="auto"/>
              </w:rPr>
              <w:t>REGULAR MEETINGS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3.7</w:t>
            </w:r>
          </w:p>
        </w:tc>
        <w:tc>
          <w:tcPr>
            <w:tcW w:w="8380" w:type="dxa"/>
            <w:vAlign w:val="bottom"/>
          </w:tcPr>
          <w:p>
            <w:pPr>
              <w:ind w:left="160"/>
              <w:spacing w:after="0"/>
              <w:rPr>
                <w:sz w:val="20"/>
                <w:szCs w:val="20"/>
                <w:color w:val="auto"/>
              </w:rPr>
            </w:pPr>
            <w:r>
              <w:rPr>
                <w:rFonts w:ascii="Arial" w:cs="Arial" w:eastAsia="Arial" w:hAnsi="Arial"/>
                <w:sz w:val="18"/>
                <w:szCs w:val="18"/>
                <w:color w:val="auto"/>
              </w:rPr>
              <w:t>SPECIAL MEETINGS; NOTICE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3.8</w:t>
            </w:r>
          </w:p>
        </w:tc>
        <w:tc>
          <w:tcPr>
            <w:tcW w:w="8380" w:type="dxa"/>
            <w:vAlign w:val="bottom"/>
          </w:tcPr>
          <w:p>
            <w:pPr>
              <w:ind w:left="160"/>
              <w:spacing w:after="0"/>
              <w:rPr>
                <w:sz w:val="20"/>
                <w:szCs w:val="20"/>
                <w:color w:val="auto"/>
              </w:rPr>
            </w:pPr>
            <w:r>
              <w:rPr>
                <w:rFonts w:ascii="Arial" w:cs="Arial" w:eastAsia="Arial" w:hAnsi="Arial"/>
                <w:sz w:val="18"/>
                <w:szCs w:val="18"/>
                <w:color w:val="auto"/>
              </w:rPr>
              <w:t>QUORUM</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3.9</w:t>
            </w:r>
          </w:p>
        </w:tc>
        <w:tc>
          <w:tcPr>
            <w:tcW w:w="8380" w:type="dxa"/>
            <w:vAlign w:val="bottom"/>
          </w:tcPr>
          <w:p>
            <w:pPr>
              <w:ind w:left="160"/>
              <w:spacing w:after="0"/>
              <w:rPr>
                <w:sz w:val="20"/>
                <w:szCs w:val="20"/>
                <w:color w:val="auto"/>
              </w:rPr>
            </w:pPr>
            <w:r>
              <w:rPr>
                <w:rFonts w:ascii="Arial" w:cs="Arial" w:eastAsia="Arial" w:hAnsi="Arial"/>
                <w:sz w:val="18"/>
                <w:szCs w:val="18"/>
                <w:color w:val="auto"/>
              </w:rPr>
              <w:t>BOARD ACTION BY CONSENT WITHOUT A MEETING</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3.10</w:t>
            </w:r>
          </w:p>
        </w:tc>
        <w:tc>
          <w:tcPr>
            <w:tcW w:w="8380" w:type="dxa"/>
            <w:vAlign w:val="bottom"/>
          </w:tcPr>
          <w:p>
            <w:pPr>
              <w:ind w:left="160"/>
              <w:spacing w:after="0"/>
              <w:rPr>
                <w:sz w:val="20"/>
                <w:szCs w:val="20"/>
                <w:color w:val="auto"/>
              </w:rPr>
            </w:pPr>
            <w:r>
              <w:rPr>
                <w:rFonts w:ascii="Arial" w:cs="Arial" w:eastAsia="Arial" w:hAnsi="Arial"/>
                <w:sz w:val="18"/>
                <w:szCs w:val="18"/>
                <w:color w:val="auto"/>
              </w:rPr>
              <w:t>FEES AND COMPENSATION OF DIRECTORS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3.11</w:t>
            </w:r>
          </w:p>
        </w:tc>
        <w:tc>
          <w:tcPr>
            <w:tcW w:w="8380" w:type="dxa"/>
            <w:vAlign w:val="bottom"/>
          </w:tcPr>
          <w:p>
            <w:pPr>
              <w:ind w:left="160"/>
              <w:spacing w:after="0"/>
              <w:rPr>
                <w:sz w:val="20"/>
                <w:szCs w:val="20"/>
                <w:color w:val="auto"/>
              </w:rPr>
            </w:pPr>
            <w:r>
              <w:rPr>
                <w:rFonts w:ascii="Arial" w:cs="Arial" w:eastAsia="Arial" w:hAnsi="Arial"/>
                <w:sz w:val="18"/>
                <w:szCs w:val="18"/>
                <w:color w:val="auto"/>
              </w:rPr>
              <w:t>REMOVAL OF DIRECTORS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4"/>
        </w:trPr>
        <w:tc>
          <w:tcPr>
            <w:tcW w:w="9200" w:type="dxa"/>
            <w:vAlign w:val="bottom"/>
            <w:gridSpan w:val="2"/>
          </w:tcPr>
          <w:p>
            <w:pPr>
              <w:spacing w:after="0"/>
              <w:rPr>
                <w:sz w:val="20"/>
                <w:szCs w:val="20"/>
                <w:color w:val="auto"/>
              </w:rPr>
            </w:pPr>
            <w:r>
              <w:rPr>
                <w:rFonts w:ascii="Arial" w:cs="Arial" w:eastAsia="Arial" w:hAnsi="Arial"/>
                <w:sz w:val="18"/>
                <w:szCs w:val="18"/>
                <w:color w:val="auto"/>
              </w:rPr>
              <w:t>ARTICLE IV - COMMITTEES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4.1</w:t>
            </w:r>
          </w:p>
        </w:tc>
        <w:tc>
          <w:tcPr>
            <w:tcW w:w="8380" w:type="dxa"/>
            <w:vAlign w:val="bottom"/>
          </w:tcPr>
          <w:p>
            <w:pPr>
              <w:ind w:left="160"/>
              <w:spacing w:after="0"/>
              <w:rPr>
                <w:sz w:val="20"/>
                <w:szCs w:val="20"/>
                <w:color w:val="auto"/>
              </w:rPr>
            </w:pPr>
            <w:r>
              <w:rPr>
                <w:rFonts w:ascii="Arial" w:cs="Arial" w:eastAsia="Arial" w:hAnsi="Arial"/>
                <w:sz w:val="18"/>
                <w:szCs w:val="18"/>
                <w:color w:val="auto"/>
              </w:rPr>
              <w:t>COMMITTEES OF DIRECTORS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4.2</w:t>
            </w:r>
          </w:p>
        </w:tc>
        <w:tc>
          <w:tcPr>
            <w:tcW w:w="8380" w:type="dxa"/>
            <w:vAlign w:val="bottom"/>
          </w:tcPr>
          <w:p>
            <w:pPr>
              <w:ind w:left="160"/>
              <w:spacing w:after="0"/>
              <w:rPr>
                <w:sz w:val="20"/>
                <w:szCs w:val="20"/>
                <w:color w:val="auto"/>
              </w:rPr>
            </w:pPr>
            <w:r>
              <w:rPr>
                <w:rFonts w:ascii="Arial" w:cs="Arial" w:eastAsia="Arial" w:hAnsi="Arial"/>
                <w:sz w:val="18"/>
                <w:szCs w:val="18"/>
                <w:color w:val="auto"/>
              </w:rPr>
              <w:t>COMMITTEE MINUTES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4.3</w:t>
            </w:r>
          </w:p>
        </w:tc>
        <w:tc>
          <w:tcPr>
            <w:tcW w:w="8380" w:type="dxa"/>
            <w:vAlign w:val="bottom"/>
          </w:tcPr>
          <w:p>
            <w:pPr>
              <w:ind w:left="160"/>
              <w:spacing w:after="0"/>
              <w:rPr>
                <w:sz w:val="20"/>
                <w:szCs w:val="20"/>
                <w:color w:val="auto"/>
              </w:rPr>
            </w:pPr>
            <w:r>
              <w:rPr>
                <w:rFonts w:ascii="Arial" w:cs="Arial" w:eastAsia="Arial" w:hAnsi="Arial"/>
                <w:sz w:val="18"/>
                <w:szCs w:val="18"/>
                <w:color w:val="auto"/>
              </w:rPr>
              <w:t>MEETINGS AND ACTION OF COMMITTEES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9040" w:type="dxa"/>
            <w:vAlign w:val="bottom"/>
          </w:tcPr>
          <w:p>
            <w:pPr>
              <w:ind w:left="374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9040" w:type="dxa"/>
            <w:vAlign w:val="bottom"/>
          </w:tcPr>
          <w:p>
            <w:pPr>
              <w:ind w:left="4260"/>
              <w:spacing w:after="0"/>
              <w:rPr>
                <w:sz w:val="20"/>
                <w:szCs w:val="20"/>
                <w:color w:val="auto"/>
              </w:rPr>
            </w:pPr>
            <w:r>
              <w:rPr>
                <w:rFonts w:ascii="Arial" w:cs="Arial" w:eastAsia="Arial" w:hAnsi="Arial"/>
                <w:sz w:val="18"/>
                <w:szCs w:val="18"/>
                <w:b w:val="1"/>
                <w:bCs w:val="1"/>
                <w:color w:val="auto"/>
              </w:rPr>
              <w:t>(continued)</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860" w:type="dxa"/>
            <w:vAlign w:val="bottom"/>
            <w:gridSpan w:val="2"/>
            <w:vMerge w:val="restart"/>
          </w:tcPr>
          <w:p>
            <w:pPr>
              <w:spacing w:after="0"/>
              <w:rPr>
                <w:sz w:val="20"/>
                <w:szCs w:val="20"/>
                <w:color w:val="auto"/>
              </w:rPr>
            </w:pPr>
            <w:r>
              <w:rPr>
                <w:rFonts w:ascii="Arial" w:cs="Arial" w:eastAsia="Arial" w:hAnsi="Arial"/>
                <w:sz w:val="18"/>
                <w:szCs w:val="18"/>
                <w:color w:val="auto"/>
              </w:rPr>
              <w:t>ARTICLE V - OFFICERS</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986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95"/>
        </w:trPr>
        <w:tc>
          <w:tcPr>
            <w:tcW w:w="820" w:type="dxa"/>
            <w:vAlign w:val="bottom"/>
          </w:tcPr>
          <w:p>
            <w:pPr>
              <w:ind w:left="360"/>
              <w:spacing w:after="0"/>
              <w:rPr>
                <w:sz w:val="20"/>
                <w:szCs w:val="20"/>
                <w:color w:val="auto"/>
              </w:rPr>
            </w:pPr>
            <w:r>
              <w:rPr>
                <w:rFonts w:ascii="Arial" w:cs="Arial" w:eastAsia="Arial" w:hAnsi="Arial"/>
                <w:sz w:val="18"/>
                <w:szCs w:val="18"/>
                <w:color w:val="auto"/>
              </w:rPr>
              <w:t>5.1</w:t>
            </w:r>
          </w:p>
        </w:tc>
        <w:tc>
          <w:tcPr>
            <w:tcW w:w="9040" w:type="dxa"/>
            <w:vAlign w:val="bottom"/>
          </w:tcPr>
          <w:p>
            <w:pPr>
              <w:ind w:left="160"/>
              <w:spacing w:after="0"/>
              <w:rPr>
                <w:sz w:val="20"/>
                <w:szCs w:val="20"/>
                <w:color w:val="auto"/>
              </w:rPr>
            </w:pPr>
            <w:r>
              <w:rPr>
                <w:rFonts w:ascii="Arial" w:cs="Arial" w:eastAsia="Arial" w:hAnsi="Arial"/>
                <w:sz w:val="18"/>
                <w:szCs w:val="18"/>
                <w:color w:val="auto"/>
              </w:rPr>
              <w:t>OFFICERS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5.2</w:t>
            </w:r>
          </w:p>
        </w:tc>
        <w:tc>
          <w:tcPr>
            <w:tcW w:w="9040" w:type="dxa"/>
            <w:vAlign w:val="bottom"/>
          </w:tcPr>
          <w:p>
            <w:pPr>
              <w:ind w:left="160"/>
              <w:spacing w:after="0"/>
              <w:rPr>
                <w:sz w:val="20"/>
                <w:szCs w:val="20"/>
                <w:color w:val="auto"/>
              </w:rPr>
            </w:pPr>
            <w:r>
              <w:rPr>
                <w:rFonts w:ascii="Arial" w:cs="Arial" w:eastAsia="Arial" w:hAnsi="Arial"/>
                <w:sz w:val="18"/>
                <w:szCs w:val="18"/>
                <w:color w:val="auto"/>
              </w:rPr>
              <w:t>APPOINTMENT OF OFFICERS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5.3</w:t>
            </w:r>
          </w:p>
        </w:tc>
        <w:tc>
          <w:tcPr>
            <w:tcW w:w="9040" w:type="dxa"/>
            <w:vAlign w:val="bottom"/>
          </w:tcPr>
          <w:p>
            <w:pPr>
              <w:ind w:left="160"/>
              <w:spacing w:after="0"/>
              <w:rPr>
                <w:sz w:val="20"/>
                <w:szCs w:val="20"/>
                <w:color w:val="auto"/>
              </w:rPr>
            </w:pPr>
            <w:r>
              <w:rPr>
                <w:rFonts w:ascii="Arial" w:cs="Arial" w:eastAsia="Arial" w:hAnsi="Arial"/>
                <w:sz w:val="18"/>
                <w:szCs w:val="18"/>
                <w:color w:val="auto"/>
              </w:rPr>
              <w:t>SUBORDINATE OFFICERS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5.4</w:t>
            </w:r>
          </w:p>
        </w:tc>
        <w:tc>
          <w:tcPr>
            <w:tcW w:w="9040" w:type="dxa"/>
            <w:vAlign w:val="bottom"/>
          </w:tcPr>
          <w:p>
            <w:pPr>
              <w:ind w:left="160"/>
              <w:spacing w:after="0"/>
              <w:rPr>
                <w:sz w:val="20"/>
                <w:szCs w:val="20"/>
                <w:color w:val="auto"/>
              </w:rPr>
            </w:pPr>
            <w:r>
              <w:rPr>
                <w:rFonts w:ascii="Arial" w:cs="Arial" w:eastAsia="Arial" w:hAnsi="Arial"/>
                <w:sz w:val="18"/>
                <w:szCs w:val="18"/>
                <w:color w:val="auto"/>
              </w:rPr>
              <w:t>REMOVAL AND RESIGNATION OF OFFICERS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5.5</w:t>
            </w:r>
          </w:p>
        </w:tc>
        <w:tc>
          <w:tcPr>
            <w:tcW w:w="9040" w:type="dxa"/>
            <w:vAlign w:val="bottom"/>
          </w:tcPr>
          <w:p>
            <w:pPr>
              <w:ind w:left="160"/>
              <w:spacing w:after="0"/>
              <w:rPr>
                <w:sz w:val="20"/>
                <w:szCs w:val="20"/>
                <w:color w:val="auto"/>
              </w:rPr>
            </w:pPr>
            <w:r>
              <w:rPr>
                <w:rFonts w:ascii="Arial" w:cs="Arial" w:eastAsia="Arial" w:hAnsi="Arial"/>
                <w:sz w:val="18"/>
                <w:szCs w:val="18"/>
                <w:color w:val="auto"/>
              </w:rPr>
              <w:t>VACANCIES IN OFFICES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5.6</w:t>
            </w:r>
          </w:p>
        </w:tc>
        <w:tc>
          <w:tcPr>
            <w:tcW w:w="9040" w:type="dxa"/>
            <w:vAlign w:val="bottom"/>
          </w:tcPr>
          <w:p>
            <w:pPr>
              <w:ind w:left="160"/>
              <w:spacing w:after="0"/>
              <w:rPr>
                <w:sz w:val="20"/>
                <w:szCs w:val="20"/>
                <w:color w:val="auto"/>
              </w:rPr>
            </w:pPr>
            <w:r>
              <w:rPr>
                <w:rFonts w:ascii="Arial" w:cs="Arial" w:eastAsia="Arial" w:hAnsi="Arial"/>
                <w:sz w:val="18"/>
                <w:szCs w:val="18"/>
                <w:color w:val="auto"/>
              </w:rPr>
              <w:t>REPRESENTATION OF SHARES OF OTHER ENTITIES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5.7</w:t>
            </w:r>
          </w:p>
        </w:tc>
        <w:tc>
          <w:tcPr>
            <w:tcW w:w="9040" w:type="dxa"/>
            <w:vAlign w:val="bottom"/>
          </w:tcPr>
          <w:p>
            <w:pPr>
              <w:ind w:left="160"/>
              <w:spacing w:after="0"/>
              <w:rPr>
                <w:sz w:val="20"/>
                <w:szCs w:val="20"/>
                <w:color w:val="auto"/>
              </w:rPr>
            </w:pPr>
            <w:r>
              <w:rPr>
                <w:rFonts w:ascii="Arial" w:cs="Arial" w:eastAsia="Arial" w:hAnsi="Arial"/>
                <w:sz w:val="18"/>
                <w:szCs w:val="18"/>
                <w:color w:val="auto"/>
              </w:rPr>
              <w:t>AUTHORITY AND DUTIES OF OFFICERS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4"/>
        </w:trPr>
        <w:tc>
          <w:tcPr>
            <w:tcW w:w="9860" w:type="dxa"/>
            <w:vAlign w:val="bottom"/>
            <w:gridSpan w:val="2"/>
          </w:tcPr>
          <w:p>
            <w:pPr>
              <w:spacing w:after="0"/>
              <w:rPr>
                <w:sz w:val="20"/>
                <w:szCs w:val="20"/>
                <w:color w:val="auto"/>
              </w:rPr>
            </w:pPr>
            <w:r>
              <w:rPr>
                <w:rFonts w:ascii="Arial" w:cs="Arial" w:eastAsia="Arial" w:hAnsi="Arial"/>
                <w:sz w:val="18"/>
                <w:szCs w:val="18"/>
                <w:color w:val="auto"/>
              </w:rPr>
              <w:t>ARTICLE VI - RECORDS AND REPORTS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rPr>
              <w:t>6.1</w:t>
            </w:r>
          </w:p>
        </w:tc>
        <w:tc>
          <w:tcPr>
            <w:tcW w:w="9040" w:type="dxa"/>
            <w:vAlign w:val="bottom"/>
          </w:tcPr>
          <w:p>
            <w:pPr>
              <w:ind w:left="160"/>
              <w:spacing w:after="0"/>
              <w:rPr>
                <w:sz w:val="20"/>
                <w:szCs w:val="20"/>
                <w:color w:val="auto"/>
              </w:rPr>
            </w:pPr>
            <w:r>
              <w:rPr>
                <w:rFonts w:ascii="Arial" w:cs="Arial" w:eastAsia="Arial" w:hAnsi="Arial"/>
                <w:sz w:val="18"/>
                <w:szCs w:val="18"/>
                <w:color w:val="auto"/>
              </w:rPr>
              <w:t>MAINTENANCE OF RECORDS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4"/>
        </w:trPr>
        <w:tc>
          <w:tcPr>
            <w:tcW w:w="9860" w:type="dxa"/>
            <w:vAlign w:val="bottom"/>
            <w:gridSpan w:val="2"/>
          </w:tcPr>
          <w:p>
            <w:pPr>
              <w:spacing w:after="0"/>
              <w:rPr>
                <w:sz w:val="20"/>
                <w:szCs w:val="20"/>
                <w:color w:val="auto"/>
              </w:rPr>
            </w:pPr>
            <w:r>
              <w:rPr>
                <w:rFonts w:ascii="Arial" w:cs="Arial" w:eastAsia="Arial" w:hAnsi="Arial"/>
                <w:sz w:val="18"/>
                <w:szCs w:val="18"/>
                <w:color w:val="auto"/>
              </w:rPr>
              <w:t>ARTICLE VII - GENERAL MATTERS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7.1</w:t>
            </w:r>
          </w:p>
        </w:tc>
        <w:tc>
          <w:tcPr>
            <w:tcW w:w="9040" w:type="dxa"/>
            <w:vAlign w:val="bottom"/>
          </w:tcPr>
          <w:p>
            <w:pPr>
              <w:ind w:left="160"/>
              <w:spacing w:after="0"/>
              <w:rPr>
                <w:sz w:val="20"/>
                <w:szCs w:val="20"/>
                <w:color w:val="auto"/>
              </w:rPr>
            </w:pPr>
            <w:r>
              <w:rPr>
                <w:rFonts w:ascii="Arial" w:cs="Arial" w:eastAsia="Arial" w:hAnsi="Arial"/>
                <w:sz w:val="18"/>
                <w:szCs w:val="18"/>
                <w:color w:val="auto"/>
              </w:rPr>
              <w:t>EXECUTION OF CORPORATE CONTRACTS AND INSTRUMENTS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7.2</w:t>
            </w:r>
          </w:p>
        </w:tc>
        <w:tc>
          <w:tcPr>
            <w:tcW w:w="9040" w:type="dxa"/>
            <w:vAlign w:val="bottom"/>
          </w:tcPr>
          <w:p>
            <w:pPr>
              <w:ind w:left="160"/>
              <w:spacing w:after="0"/>
              <w:rPr>
                <w:sz w:val="20"/>
                <w:szCs w:val="20"/>
                <w:color w:val="auto"/>
              </w:rPr>
            </w:pPr>
            <w:r>
              <w:rPr>
                <w:rFonts w:ascii="Arial" w:cs="Arial" w:eastAsia="Arial" w:hAnsi="Arial"/>
                <w:sz w:val="18"/>
                <w:szCs w:val="18"/>
                <w:color w:val="auto"/>
              </w:rPr>
              <w:t>STOCK CERTIFICATES; PARTLY PAID SHARES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7.3</w:t>
            </w:r>
          </w:p>
        </w:tc>
        <w:tc>
          <w:tcPr>
            <w:tcW w:w="9040" w:type="dxa"/>
            <w:vAlign w:val="bottom"/>
          </w:tcPr>
          <w:p>
            <w:pPr>
              <w:ind w:left="160"/>
              <w:spacing w:after="0"/>
              <w:rPr>
                <w:sz w:val="20"/>
                <w:szCs w:val="20"/>
                <w:color w:val="auto"/>
              </w:rPr>
            </w:pPr>
            <w:r>
              <w:rPr>
                <w:rFonts w:ascii="Arial" w:cs="Arial" w:eastAsia="Arial" w:hAnsi="Arial"/>
                <w:sz w:val="18"/>
                <w:szCs w:val="18"/>
                <w:color w:val="auto"/>
              </w:rPr>
              <w:t>MULTIPLES CLASSES OR SERIES OF STOCK</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7.4</w:t>
            </w:r>
          </w:p>
        </w:tc>
        <w:tc>
          <w:tcPr>
            <w:tcW w:w="9040" w:type="dxa"/>
            <w:vAlign w:val="bottom"/>
          </w:tcPr>
          <w:p>
            <w:pPr>
              <w:ind w:left="160"/>
              <w:spacing w:after="0"/>
              <w:rPr>
                <w:sz w:val="20"/>
                <w:szCs w:val="20"/>
                <w:color w:val="auto"/>
              </w:rPr>
            </w:pPr>
            <w:r>
              <w:rPr>
                <w:rFonts w:ascii="Arial" w:cs="Arial" w:eastAsia="Arial" w:hAnsi="Arial"/>
                <w:sz w:val="18"/>
                <w:szCs w:val="18"/>
                <w:color w:val="auto"/>
              </w:rPr>
              <w:t>LOST CERTIFICATES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7.5</w:t>
            </w:r>
          </w:p>
        </w:tc>
        <w:tc>
          <w:tcPr>
            <w:tcW w:w="9040" w:type="dxa"/>
            <w:vAlign w:val="bottom"/>
          </w:tcPr>
          <w:p>
            <w:pPr>
              <w:ind w:left="160"/>
              <w:spacing w:after="0"/>
              <w:rPr>
                <w:sz w:val="20"/>
                <w:szCs w:val="20"/>
                <w:color w:val="auto"/>
              </w:rPr>
            </w:pPr>
            <w:r>
              <w:rPr>
                <w:rFonts w:ascii="Arial" w:cs="Arial" w:eastAsia="Arial" w:hAnsi="Arial"/>
                <w:sz w:val="18"/>
                <w:szCs w:val="18"/>
                <w:color w:val="auto"/>
              </w:rPr>
              <w:t>CONSTRUCTION; DEFINITIONS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7.6</w:t>
            </w:r>
          </w:p>
        </w:tc>
        <w:tc>
          <w:tcPr>
            <w:tcW w:w="904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7.7</w:t>
            </w:r>
          </w:p>
        </w:tc>
        <w:tc>
          <w:tcPr>
            <w:tcW w:w="9040" w:type="dxa"/>
            <w:vAlign w:val="bottom"/>
          </w:tcPr>
          <w:p>
            <w:pPr>
              <w:ind w:left="160"/>
              <w:spacing w:after="0"/>
              <w:rPr>
                <w:sz w:val="20"/>
                <w:szCs w:val="20"/>
                <w:color w:val="auto"/>
              </w:rPr>
            </w:pPr>
            <w:r>
              <w:rPr>
                <w:rFonts w:ascii="Arial" w:cs="Arial" w:eastAsia="Arial" w:hAnsi="Arial"/>
                <w:sz w:val="18"/>
                <w:szCs w:val="18"/>
                <w:color w:val="auto"/>
              </w:rPr>
              <w:t>FISCAL YEAR</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7.8</w:t>
            </w:r>
          </w:p>
        </w:tc>
        <w:tc>
          <w:tcPr>
            <w:tcW w:w="9040" w:type="dxa"/>
            <w:vAlign w:val="bottom"/>
          </w:tcPr>
          <w:p>
            <w:pPr>
              <w:ind w:left="160"/>
              <w:spacing w:after="0"/>
              <w:rPr>
                <w:sz w:val="20"/>
                <w:szCs w:val="20"/>
                <w:color w:val="auto"/>
              </w:rPr>
            </w:pPr>
            <w:r>
              <w:rPr>
                <w:rFonts w:ascii="Arial" w:cs="Arial" w:eastAsia="Arial" w:hAnsi="Arial"/>
                <w:sz w:val="18"/>
                <w:szCs w:val="18"/>
                <w:color w:val="auto"/>
              </w:rPr>
              <w:t>SEAL</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7.9</w:t>
            </w:r>
          </w:p>
        </w:tc>
        <w:tc>
          <w:tcPr>
            <w:tcW w:w="9040" w:type="dxa"/>
            <w:vAlign w:val="bottom"/>
          </w:tcPr>
          <w:p>
            <w:pPr>
              <w:ind w:left="160"/>
              <w:spacing w:after="0"/>
              <w:rPr>
                <w:sz w:val="20"/>
                <w:szCs w:val="20"/>
                <w:color w:val="auto"/>
              </w:rPr>
            </w:pPr>
            <w:r>
              <w:rPr>
                <w:rFonts w:ascii="Arial" w:cs="Arial" w:eastAsia="Arial" w:hAnsi="Arial"/>
                <w:sz w:val="18"/>
                <w:szCs w:val="18"/>
                <w:color w:val="auto"/>
              </w:rPr>
              <w:t>TRANSFER OF STOCK</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7.10</w:t>
            </w:r>
          </w:p>
        </w:tc>
        <w:tc>
          <w:tcPr>
            <w:tcW w:w="9040" w:type="dxa"/>
            <w:vAlign w:val="bottom"/>
          </w:tcPr>
          <w:p>
            <w:pPr>
              <w:ind w:left="160"/>
              <w:spacing w:after="0"/>
              <w:rPr>
                <w:sz w:val="20"/>
                <w:szCs w:val="20"/>
                <w:color w:val="auto"/>
              </w:rPr>
            </w:pPr>
            <w:r>
              <w:rPr>
                <w:rFonts w:ascii="Arial" w:cs="Arial" w:eastAsia="Arial" w:hAnsi="Arial"/>
                <w:sz w:val="18"/>
                <w:szCs w:val="18"/>
                <w:color w:val="auto"/>
              </w:rPr>
              <w:t>STOCK TRANSFER AGREEMENTS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7.11</w:t>
            </w:r>
          </w:p>
        </w:tc>
        <w:tc>
          <w:tcPr>
            <w:tcW w:w="9040" w:type="dxa"/>
            <w:vAlign w:val="bottom"/>
          </w:tcPr>
          <w:p>
            <w:pPr>
              <w:ind w:left="160"/>
              <w:spacing w:after="0"/>
              <w:rPr>
                <w:sz w:val="20"/>
                <w:szCs w:val="20"/>
                <w:color w:val="auto"/>
              </w:rPr>
            </w:pPr>
            <w:r>
              <w:rPr>
                <w:rFonts w:ascii="Arial" w:cs="Arial" w:eastAsia="Arial" w:hAnsi="Arial"/>
                <w:sz w:val="18"/>
                <w:szCs w:val="18"/>
                <w:color w:val="auto"/>
              </w:rPr>
              <w:t>REGISTERED STOCKHOLDERS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7.12</w:t>
            </w:r>
          </w:p>
        </w:tc>
        <w:tc>
          <w:tcPr>
            <w:tcW w:w="9040" w:type="dxa"/>
            <w:vAlign w:val="bottom"/>
          </w:tcPr>
          <w:p>
            <w:pPr>
              <w:ind w:left="160"/>
              <w:spacing w:after="0"/>
              <w:rPr>
                <w:sz w:val="20"/>
                <w:szCs w:val="20"/>
                <w:color w:val="auto"/>
              </w:rPr>
            </w:pPr>
            <w:r>
              <w:rPr>
                <w:rFonts w:ascii="Arial" w:cs="Arial" w:eastAsia="Arial" w:hAnsi="Arial"/>
                <w:sz w:val="18"/>
                <w:szCs w:val="18"/>
                <w:color w:val="auto"/>
              </w:rPr>
              <w:t>WAIVER OF NOTICE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9860" w:type="dxa"/>
            <w:vAlign w:val="bottom"/>
            <w:gridSpan w:val="2"/>
          </w:tcPr>
          <w:p>
            <w:pPr>
              <w:spacing w:after="0"/>
              <w:rPr>
                <w:sz w:val="20"/>
                <w:szCs w:val="20"/>
                <w:color w:val="auto"/>
              </w:rPr>
            </w:pPr>
            <w:r>
              <w:rPr>
                <w:rFonts w:ascii="Arial" w:cs="Arial" w:eastAsia="Arial" w:hAnsi="Arial"/>
                <w:sz w:val="18"/>
                <w:szCs w:val="18"/>
                <w:color w:val="auto"/>
              </w:rPr>
              <w:t>ARTICLE VIII - NOTICE BY ELECTRONIC TRANSMISSION</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8.1</w:t>
            </w:r>
          </w:p>
        </w:tc>
        <w:tc>
          <w:tcPr>
            <w:tcW w:w="9040" w:type="dxa"/>
            <w:vAlign w:val="bottom"/>
          </w:tcPr>
          <w:p>
            <w:pPr>
              <w:ind w:left="160"/>
              <w:spacing w:after="0"/>
              <w:rPr>
                <w:sz w:val="20"/>
                <w:szCs w:val="20"/>
                <w:color w:val="auto"/>
              </w:rPr>
            </w:pPr>
            <w:r>
              <w:rPr>
                <w:rFonts w:ascii="Arial" w:cs="Arial" w:eastAsia="Arial" w:hAnsi="Arial"/>
                <w:sz w:val="18"/>
                <w:szCs w:val="18"/>
                <w:color w:val="auto"/>
              </w:rPr>
              <w:t>NOTICE BY ELECTRONIC TRANSMISSION</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8.2</w:t>
            </w:r>
          </w:p>
        </w:tc>
        <w:tc>
          <w:tcPr>
            <w:tcW w:w="9040" w:type="dxa"/>
            <w:vAlign w:val="bottom"/>
          </w:tcPr>
          <w:p>
            <w:pPr>
              <w:ind w:left="160"/>
              <w:spacing w:after="0"/>
              <w:rPr>
                <w:sz w:val="20"/>
                <w:szCs w:val="20"/>
                <w:color w:val="auto"/>
              </w:rPr>
            </w:pPr>
            <w:r>
              <w:rPr>
                <w:rFonts w:ascii="Arial" w:cs="Arial" w:eastAsia="Arial" w:hAnsi="Arial"/>
                <w:sz w:val="18"/>
                <w:szCs w:val="18"/>
                <w:color w:val="auto"/>
              </w:rPr>
              <w:t>DEFINITION OF ELECTRONIC TRANSMISSION</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24"/>
        </w:trPr>
        <w:tc>
          <w:tcPr>
            <w:tcW w:w="9860" w:type="dxa"/>
            <w:vAlign w:val="bottom"/>
            <w:gridSpan w:val="2"/>
          </w:tcPr>
          <w:p>
            <w:pPr>
              <w:spacing w:after="0"/>
              <w:rPr>
                <w:sz w:val="20"/>
                <w:szCs w:val="20"/>
                <w:color w:val="auto"/>
              </w:rPr>
            </w:pPr>
            <w:r>
              <w:rPr>
                <w:rFonts w:ascii="Arial" w:cs="Arial" w:eastAsia="Arial" w:hAnsi="Arial"/>
                <w:sz w:val="18"/>
                <w:szCs w:val="18"/>
                <w:color w:val="auto"/>
              </w:rPr>
              <w:t>ARTICLE IX - INDEMNIFICATION AND ADVANCEMENT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9.1</w:t>
            </w:r>
          </w:p>
        </w:tc>
        <w:tc>
          <w:tcPr>
            <w:tcW w:w="9040" w:type="dxa"/>
            <w:vAlign w:val="bottom"/>
          </w:tcPr>
          <w:p>
            <w:pPr>
              <w:ind w:left="160"/>
              <w:spacing w:after="0"/>
              <w:rPr>
                <w:sz w:val="20"/>
                <w:szCs w:val="20"/>
                <w:color w:val="auto"/>
              </w:rPr>
            </w:pPr>
            <w:r>
              <w:rPr>
                <w:rFonts w:ascii="Arial" w:cs="Arial" w:eastAsia="Arial" w:hAnsi="Arial"/>
                <w:sz w:val="18"/>
                <w:szCs w:val="18"/>
                <w:color w:val="auto"/>
              </w:rPr>
              <w:t>ACTIONS, SUITS AND PROCEEDINGS OTHER THAN BY OR IN THE RIGHT OF THE CORPORATION</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9.2</w:t>
            </w:r>
          </w:p>
        </w:tc>
        <w:tc>
          <w:tcPr>
            <w:tcW w:w="9040" w:type="dxa"/>
            <w:vAlign w:val="bottom"/>
          </w:tcPr>
          <w:p>
            <w:pPr>
              <w:ind w:left="160"/>
              <w:spacing w:after="0"/>
              <w:rPr>
                <w:sz w:val="20"/>
                <w:szCs w:val="20"/>
                <w:color w:val="auto"/>
              </w:rPr>
            </w:pPr>
            <w:r>
              <w:rPr>
                <w:rFonts w:ascii="Arial" w:cs="Arial" w:eastAsia="Arial" w:hAnsi="Arial"/>
                <w:sz w:val="18"/>
                <w:szCs w:val="18"/>
                <w:color w:val="auto"/>
              </w:rPr>
              <w:t>ACTIONS OR SUITS BY OR IN THE RIGHT OF THE CORPORATION</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9.3</w:t>
            </w:r>
          </w:p>
        </w:tc>
        <w:tc>
          <w:tcPr>
            <w:tcW w:w="9040" w:type="dxa"/>
            <w:vAlign w:val="bottom"/>
          </w:tcPr>
          <w:p>
            <w:pPr>
              <w:ind w:left="160"/>
              <w:spacing w:after="0"/>
              <w:rPr>
                <w:sz w:val="20"/>
                <w:szCs w:val="20"/>
                <w:color w:val="auto"/>
              </w:rPr>
            </w:pPr>
            <w:r>
              <w:rPr>
                <w:rFonts w:ascii="Arial" w:cs="Arial" w:eastAsia="Arial" w:hAnsi="Arial"/>
                <w:sz w:val="18"/>
                <w:szCs w:val="18"/>
                <w:color w:val="auto"/>
              </w:rPr>
              <w:t>INDEMNIFICATION FOR EXPENSES OF SUCCESSFUL PARTY</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9.4</w:t>
            </w:r>
          </w:p>
        </w:tc>
        <w:tc>
          <w:tcPr>
            <w:tcW w:w="9040" w:type="dxa"/>
            <w:vAlign w:val="bottom"/>
          </w:tcPr>
          <w:p>
            <w:pPr>
              <w:ind w:left="160"/>
              <w:spacing w:after="0"/>
              <w:rPr>
                <w:sz w:val="20"/>
                <w:szCs w:val="20"/>
                <w:color w:val="auto"/>
              </w:rPr>
            </w:pPr>
            <w:r>
              <w:rPr>
                <w:rFonts w:ascii="Arial" w:cs="Arial" w:eastAsia="Arial" w:hAnsi="Arial"/>
                <w:sz w:val="18"/>
                <w:szCs w:val="18"/>
                <w:color w:val="auto"/>
              </w:rPr>
              <w:t>NOTIFICATION AND DEFENSE OF CLAIM</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9.5</w:t>
            </w:r>
          </w:p>
        </w:tc>
        <w:tc>
          <w:tcPr>
            <w:tcW w:w="9040" w:type="dxa"/>
            <w:vAlign w:val="bottom"/>
          </w:tcPr>
          <w:p>
            <w:pPr>
              <w:ind w:left="160"/>
              <w:spacing w:after="0"/>
              <w:rPr>
                <w:sz w:val="20"/>
                <w:szCs w:val="20"/>
                <w:color w:val="auto"/>
              </w:rPr>
            </w:pPr>
            <w:r>
              <w:rPr>
                <w:rFonts w:ascii="Arial" w:cs="Arial" w:eastAsia="Arial" w:hAnsi="Arial"/>
                <w:sz w:val="18"/>
                <w:szCs w:val="18"/>
                <w:color w:val="auto"/>
              </w:rPr>
              <w:t>ADVANCE OF EXPENSES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9.6</w:t>
            </w:r>
          </w:p>
        </w:tc>
        <w:tc>
          <w:tcPr>
            <w:tcW w:w="9040" w:type="dxa"/>
            <w:vAlign w:val="bottom"/>
          </w:tcPr>
          <w:p>
            <w:pPr>
              <w:ind w:left="160"/>
              <w:spacing w:after="0"/>
              <w:rPr>
                <w:sz w:val="20"/>
                <w:szCs w:val="20"/>
                <w:color w:val="auto"/>
              </w:rPr>
            </w:pPr>
            <w:r>
              <w:rPr>
                <w:rFonts w:ascii="Arial" w:cs="Arial" w:eastAsia="Arial" w:hAnsi="Arial"/>
                <w:sz w:val="18"/>
                <w:szCs w:val="18"/>
                <w:color w:val="auto"/>
              </w:rPr>
              <w:t>PROCEDURE FOR INDEMNIFICATION AND ADVANCEMENT OF EXPENSES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9.7</w:t>
            </w:r>
          </w:p>
        </w:tc>
        <w:tc>
          <w:tcPr>
            <w:tcW w:w="9040" w:type="dxa"/>
            <w:vAlign w:val="bottom"/>
          </w:tcPr>
          <w:p>
            <w:pPr>
              <w:ind w:left="160"/>
              <w:spacing w:after="0"/>
              <w:rPr>
                <w:sz w:val="20"/>
                <w:szCs w:val="20"/>
                <w:color w:val="auto"/>
              </w:rPr>
            </w:pPr>
            <w:r>
              <w:rPr>
                <w:rFonts w:ascii="Arial" w:cs="Arial" w:eastAsia="Arial" w:hAnsi="Arial"/>
                <w:sz w:val="18"/>
                <w:szCs w:val="18"/>
                <w:color w:val="auto"/>
              </w:rPr>
              <w:t>REMEDIES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9.8</w:t>
            </w:r>
          </w:p>
        </w:tc>
        <w:tc>
          <w:tcPr>
            <w:tcW w:w="9040" w:type="dxa"/>
            <w:vAlign w:val="bottom"/>
          </w:tcPr>
          <w:p>
            <w:pPr>
              <w:ind w:left="160"/>
              <w:spacing w:after="0"/>
              <w:rPr>
                <w:sz w:val="20"/>
                <w:szCs w:val="20"/>
                <w:color w:val="auto"/>
              </w:rPr>
            </w:pPr>
            <w:r>
              <w:rPr>
                <w:rFonts w:ascii="Arial" w:cs="Arial" w:eastAsia="Arial" w:hAnsi="Arial"/>
                <w:sz w:val="18"/>
                <w:szCs w:val="18"/>
                <w:color w:val="auto"/>
              </w:rPr>
              <w:t>LIMITATIONS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9.9</w:t>
            </w:r>
          </w:p>
        </w:tc>
        <w:tc>
          <w:tcPr>
            <w:tcW w:w="9040" w:type="dxa"/>
            <w:vAlign w:val="bottom"/>
          </w:tcPr>
          <w:p>
            <w:pPr>
              <w:ind w:left="160"/>
              <w:spacing w:after="0"/>
              <w:rPr>
                <w:sz w:val="20"/>
                <w:szCs w:val="20"/>
                <w:color w:val="auto"/>
              </w:rPr>
            </w:pPr>
            <w:r>
              <w:rPr>
                <w:rFonts w:ascii="Arial" w:cs="Arial" w:eastAsia="Arial" w:hAnsi="Arial"/>
                <w:sz w:val="18"/>
                <w:szCs w:val="18"/>
                <w:color w:val="auto"/>
              </w:rPr>
              <w:t>SUBSEQUENT AMENDMENT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9.10</w:t>
            </w:r>
          </w:p>
        </w:tc>
        <w:tc>
          <w:tcPr>
            <w:tcW w:w="9040" w:type="dxa"/>
            <w:vAlign w:val="bottom"/>
          </w:tcPr>
          <w:p>
            <w:pPr>
              <w:ind w:left="160"/>
              <w:spacing w:after="0"/>
              <w:rPr>
                <w:sz w:val="20"/>
                <w:szCs w:val="20"/>
                <w:color w:val="auto"/>
              </w:rPr>
            </w:pPr>
            <w:r>
              <w:rPr>
                <w:rFonts w:ascii="Arial" w:cs="Arial" w:eastAsia="Arial" w:hAnsi="Arial"/>
                <w:sz w:val="18"/>
                <w:szCs w:val="18"/>
                <w:color w:val="auto"/>
              </w:rPr>
              <w:t>OTHER RIGHTS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0" w:right="4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20" w:type="dxa"/>
            <w:vAlign w:val="bottom"/>
            <w:gridSpan w:val="2"/>
          </w:tcPr>
          <w:p>
            <w:pPr>
              <w:jc w:val="center"/>
              <w:ind w:right="381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020" w:type="dxa"/>
            <w:vAlign w:val="bottom"/>
            <w:gridSpan w:val="2"/>
          </w:tcPr>
          <w:p>
            <w:pPr>
              <w:jc w:val="center"/>
              <w:ind w:right="3810"/>
              <w:spacing w:after="0"/>
              <w:rPr>
                <w:sz w:val="20"/>
                <w:szCs w:val="20"/>
                <w:color w:val="auto"/>
              </w:rPr>
            </w:pPr>
            <w:r>
              <w:rPr>
                <w:rFonts w:ascii="Arial" w:cs="Arial" w:eastAsia="Arial" w:hAnsi="Arial"/>
                <w:sz w:val="18"/>
                <w:szCs w:val="18"/>
                <w:b w:val="1"/>
                <w:bCs w:val="1"/>
                <w:color w:val="auto"/>
                <w:w w:val="89"/>
              </w:rPr>
              <w:t>(continued)</w:t>
            </w:r>
          </w:p>
        </w:tc>
        <w:tc>
          <w:tcPr>
            <w:tcW w:w="0" w:type="dxa"/>
            <w:vAlign w:val="bottom"/>
          </w:tcPr>
          <w:p>
            <w:pPr>
              <w:spacing w:after="0"/>
              <w:rPr>
                <w:sz w:val="1"/>
                <w:szCs w:val="1"/>
                <w:color w:val="auto"/>
              </w:rPr>
            </w:pPr>
          </w:p>
        </w:tc>
      </w:tr>
      <w:tr>
        <w:trPr>
          <w:trHeight w:val="297"/>
        </w:trPr>
        <w:tc>
          <w:tcPr>
            <w:tcW w:w="820" w:type="dxa"/>
            <w:vAlign w:val="bottom"/>
            <w:vMerge w:val="restart"/>
          </w:tcPr>
          <w:p>
            <w:pPr>
              <w:jc w:val="right"/>
              <w:ind w:right="50"/>
              <w:spacing w:after="0"/>
              <w:rPr>
                <w:sz w:val="20"/>
                <w:szCs w:val="20"/>
                <w:color w:val="auto"/>
              </w:rPr>
            </w:pPr>
            <w:r>
              <w:rPr>
                <w:rFonts w:ascii="Arial" w:cs="Arial" w:eastAsia="Arial" w:hAnsi="Arial"/>
                <w:sz w:val="18"/>
                <w:szCs w:val="18"/>
                <w:color w:val="auto"/>
              </w:rPr>
              <w:t>9.11</w:t>
            </w:r>
          </w:p>
        </w:tc>
        <w:tc>
          <w:tcPr>
            <w:tcW w:w="3140" w:type="dxa"/>
            <w:vAlign w:val="bottom"/>
            <w:vMerge w:val="restart"/>
          </w:tcPr>
          <w:p>
            <w:pPr>
              <w:ind w:left="160"/>
              <w:spacing w:after="0"/>
              <w:rPr>
                <w:sz w:val="20"/>
                <w:szCs w:val="20"/>
                <w:color w:val="auto"/>
              </w:rPr>
            </w:pPr>
            <w:r>
              <w:rPr>
                <w:rFonts w:ascii="Arial" w:cs="Arial" w:eastAsia="Arial" w:hAnsi="Arial"/>
                <w:sz w:val="18"/>
                <w:szCs w:val="18"/>
                <w:color w:val="auto"/>
              </w:rPr>
              <w:t>PARTIAL INDEMNIFICATION</w:t>
            </w:r>
          </w:p>
        </w:tc>
        <w:tc>
          <w:tcPr>
            <w:tcW w:w="70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820" w:type="dxa"/>
            <w:vAlign w:val="bottom"/>
            <w:vMerge w:val="continue"/>
          </w:tcPr>
          <w:p>
            <w:pPr>
              <w:spacing w:after="0"/>
              <w:rPr>
                <w:sz w:val="16"/>
                <w:szCs w:val="16"/>
                <w:color w:val="auto"/>
              </w:rPr>
            </w:pPr>
          </w:p>
        </w:tc>
        <w:tc>
          <w:tcPr>
            <w:tcW w:w="3140" w:type="dxa"/>
            <w:vAlign w:val="bottom"/>
            <w:vMerge w:val="continue"/>
          </w:tcPr>
          <w:p>
            <w:pPr>
              <w:spacing w:after="0"/>
              <w:rPr>
                <w:sz w:val="16"/>
                <w:szCs w:val="16"/>
                <w:color w:val="auto"/>
              </w:rPr>
            </w:pPr>
          </w:p>
        </w:tc>
        <w:tc>
          <w:tcPr>
            <w:tcW w:w="672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9.12</w:t>
            </w:r>
          </w:p>
        </w:tc>
        <w:tc>
          <w:tcPr>
            <w:tcW w:w="314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9.13</w:t>
            </w:r>
          </w:p>
        </w:tc>
        <w:tc>
          <w:tcPr>
            <w:tcW w:w="3140" w:type="dxa"/>
            <w:vAlign w:val="bottom"/>
          </w:tcPr>
          <w:p>
            <w:pPr>
              <w:ind w:left="160"/>
              <w:spacing w:after="0"/>
              <w:rPr>
                <w:sz w:val="20"/>
                <w:szCs w:val="20"/>
                <w:color w:val="auto"/>
              </w:rPr>
            </w:pPr>
            <w:r>
              <w:rPr>
                <w:rFonts w:ascii="Arial" w:cs="Arial" w:eastAsia="Arial" w:hAnsi="Arial"/>
                <w:sz w:val="18"/>
                <w:szCs w:val="18"/>
                <w:color w:val="auto"/>
              </w:rPr>
              <w:t>SAVINGS CLAUSE</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9.14</w:t>
            </w:r>
          </w:p>
        </w:tc>
        <w:tc>
          <w:tcPr>
            <w:tcW w:w="314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24"/>
        </w:trPr>
        <w:tc>
          <w:tcPr>
            <w:tcW w:w="3960" w:type="dxa"/>
            <w:vAlign w:val="bottom"/>
            <w:gridSpan w:val="2"/>
          </w:tcPr>
          <w:p>
            <w:pPr>
              <w:spacing w:after="0"/>
              <w:rPr>
                <w:sz w:val="20"/>
                <w:szCs w:val="20"/>
                <w:color w:val="auto"/>
              </w:rPr>
            </w:pPr>
            <w:r>
              <w:rPr>
                <w:rFonts w:ascii="Arial" w:cs="Arial" w:eastAsia="Arial" w:hAnsi="Arial"/>
                <w:sz w:val="18"/>
                <w:szCs w:val="18"/>
                <w:color w:val="auto"/>
              </w:rPr>
              <w:t>ARTICLE X - AMENDMENTS</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65"/>
        </w:trPr>
        <w:tc>
          <w:tcPr>
            <w:tcW w:w="8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020" w:type="dxa"/>
            <w:vAlign w:val="bottom"/>
            <w:gridSpan w:val="2"/>
          </w:tcPr>
          <w:p>
            <w:pPr>
              <w:jc w:val="center"/>
              <w:ind w:right="383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 BYLAWS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EXAGEN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228600</wp:posOffset>
            </wp:positionV>
            <wp:extent cx="1466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 - CORPORATE OFFICES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 REGISTERED OFFICE.</w:t>
      </w:r>
    </w:p>
    <w:p>
      <w:pPr>
        <w:spacing w:after="0" w:line="117"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The registered office of Exagen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shall be fixed in the Corporation’s certificate of incorporation, as the same may be amended and/or restated from time to time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 OTHER OFFICES.</w:t>
      </w:r>
    </w:p>
    <w:p>
      <w:pPr>
        <w:spacing w:after="0" w:line="117" w:lineRule="exact"/>
        <w:rPr>
          <w:sz w:val="20"/>
          <w:szCs w:val="20"/>
          <w:color w:val="auto"/>
        </w:rPr>
      </w:pPr>
    </w:p>
    <w:p>
      <w:pPr>
        <w:ind w:right="540" w:firstLine="441"/>
        <w:spacing w:after="0" w:line="308" w:lineRule="auto"/>
        <w:rPr>
          <w:sz w:val="20"/>
          <w:szCs w:val="20"/>
          <w:color w:val="auto"/>
        </w:rPr>
      </w:pPr>
      <w:r>
        <w:rPr>
          <w:rFonts w:ascii="Arial" w:cs="Arial" w:eastAsia="Arial" w:hAnsi="Arial"/>
          <w:sz w:val="17"/>
          <w:szCs w:val="17"/>
          <w:color w:val="auto"/>
        </w:rPr>
        <w:t>The Corporation may have other offices at any place or places, either within or outside the State of Delaware, as the Corporation’s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shall from time to time determine or the business of the Corporation may from time to time require.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 - MEETINGS OF STOCKHOLDERS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 PLACE OF MEETINGS.</w:t>
      </w:r>
    </w:p>
    <w:p>
      <w:pPr>
        <w:spacing w:after="0" w:line="117"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In the absence of any such designation or determination, stockholders’ meetings shall be held at the Corporation’s principal executive office.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 ANNUAL MEETING.</w:t>
      </w:r>
    </w:p>
    <w:p>
      <w:pPr>
        <w:spacing w:after="0" w:line="117"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The Board shall designate the date and time of the annual meeting. At the annual meeting, directors shall be elected and other proper business properly brought before the meeting in accordance with Section 2.4 of these bylaws may be transacted.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 SPECIAL MEETING.</w:t>
      </w:r>
    </w:p>
    <w:p>
      <w:pPr>
        <w:spacing w:after="0" w:line="117"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A special meeting of the stockholders may be called at any time by the Board, chairperson of the Board, chief executive officer or president (in the absence of a chief executive officer) of the Corporation, but such special meetings may not be called by any other person or persons.</w:t>
      </w:r>
    </w:p>
    <w:p>
      <w:pPr>
        <w:sectPr>
          <w:pgSz w:w="11900" w:h="16838" w:orient="portrait"/>
          <w:cols w:equalWidth="0" w:num="1">
            <w:col w:w="11020"/>
          </w:cols>
          <w:pgMar w:left="440" w:top="270" w:right="439" w:bottom="1440" w:gutter="0" w:footer="0" w:header="0"/>
        </w:sectPr>
      </w:pPr>
    </w:p>
    <w:bookmarkStart w:id="14" w:name="page15"/>
    <w:bookmarkEnd w:id="14"/>
    <w:p>
      <w:pPr>
        <w:ind w:right="16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business may be transacted at such special meeting other than the business specified in such notice to stockholders. Nothing contained in this paragraph of this Section 2.3 shall be construed as limiting, fixing, or affecting the time when a meeting of stockholders called by action of the Board may be held.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 ADVANCE NOTICE PROCEDURES FOR BUSINESS BROUGHT BEFORE A MEETING.</w:t>
      </w:r>
    </w:p>
    <w:p>
      <w:pPr>
        <w:spacing w:after="0" w:line="117" w:lineRule="exact"/>
        <w:rPr>
          <w:sz w:val="20"/>
          <w:szCs w:val="20"/>
          <w:color w:val="auto"/>
        </w:rPr>
      </w:pPr>
    </w:p>
    <w:p>
      <w:pPr>
        <w:ind w:right="100" w:firstLine="996"/>
        <w:spacing w:after="0" w:line="288" w:lineRule="auto"/>
        <w:tabs>
          <w:tab w:leader="none" w:pos="1237" w:val="left"/>
        </w:tabs>
        <w:numPr>
          <w:ilvl w:val="1"/>
          <w:numId w:val="9"/>
        </w:numPr>
        <w:rPr>
          <w:rFonts w:ascii="Arial" w:cs="Arial" w:eastAsia="Arial" w:hAnsi="Arial"/>
          <w:sz w:val="16"/>
          <w:szCs w:val="16"/>
          <w:color w:val="auto"/>
        </w:rPr>
      </w:pPr>
      <w:r>
        <w:rPr>
          <w:rFonts w:ascii="Arial" w:cs="Arial" w:eastAsia="Arial" w:hAnsi="Arial"/>
          <w:sz w:val="16"/>
          <w:szCs w:val="16"/>
          <w:color w:val="auto"/>
        </w:rPr>
        <w:t>At an annual meeting of the stockholders, only such business shall be conducted as shall have been properly brought before the meeting. To be properly brought before an annual meeting, business must be (i) brought before the meeting by the Corporation and specified in a notice of meeting given by or at the direction of the Board, (ii) brought before the meeting by or at the direction of the Board (or a committee thereof) or</w:t>
      </w:r>
    </w:p>
    <w:p>
      <w:pPr>
        <w:ind w:firstLine="4"/>
        <w:spacing w:after="0" w:line="281" w:lineRule="auto"/>
        <w:tabs>
          <w:tab w:leader="none" w:pos="315"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otherwise properly brought before the meeting by a stockholder who (A) was a stockholder of record of the Corporation (and, with respect to any beneficial owner, if different, on whose behalf such business is proposed, only if such beneficial owner was the beneficial owner of shares of the Corporation) both at the time of giving the notice provided for in this Section 2.4 and at the time of the meeting, (B) is entitled to vote at the meeting and</w:t>
      </w:r>
    </w:p>
    <w:p>
      <w:pPr>
        <w:spacing w:after="0" w:line="2" w:lineRule="exact"/>
        <w:rPr>
          <w:rFonts w:ascii="Arial" w:cs="Arial" w:eastAsia="Arial" w:hAnsi="Arial"/>
          <w:sz w:val="16"/>
          <w:szCs w:val="16"/>
          <w:color w:val="auto"/>
        </w:rPr>
      </w:pPr>
    </w:p>
    <w:p>
      <w:pPr>
        <w:ind w:right="100"/>
        <w:spacing w:after="0" w:line="268" w:lineRule="auto"/>
        <w:rPr>
          <w:rFonts w:ascii="Arial" w:cs="Arial" w:eastAsia="Arial" w:hAnsi="Arial"/>
          <w:sz w:val="16"/>
          <w:szCs w:val="16"/>
          <w:color w:val="auto"/>
        </w:rPr>
      </w:pPr>
      <w:r>
        <w:rPr>
          <w:rFonts w:ascii="Arial" w:cs="Arial" w:eastAsia="Arial" w:hAnsi="Arial"/>
          <w:sz w:val="17"/>
          <w:szCs w:val="17"/>
          <w:color w:val="auto"/>
        </w:rPr>
        <w:t>(C) has complied with this Section 2.4 as to such business. Except for proposals properly made in accordance with Rule 14a-8 under the Securities Exchange Act of 1934, as amended, and the rules and regulations promulgated thereunder (as so amended and inclusive of such rules and regulations,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included in the notice of meeting given by or at the direction of the Board, the foregoing clause (iii) shall be the exclusive means for a stockholder to propose business to be brought before an annual meeting of the stockholders. Stockholders shall not be permitted to propose business to be brought before a special meeting of the stockholders, and the only matters that may be brought before a special meeting are the matters specified in the notice of meeting given by or at the direction of the person calling the meeting pursuant to Section 2.3 of these bylaws. Stockholders seeking to nominate persons for election to the Board must comply with Section 2.5 of these bylaws, and this Section 2.4 shall not be applicable to nominations except as expressly provided in Section 2.5 of these bylaws.</w:t>
      </w:r>
    </w:p>
    <w:p>
      <w:pPr>
        <w:spacing w:after="0" w:line="76" w:lineRule="exact"/>
        <w:rPr>
          <w:rFonts w:ascii="Arial" w:cs="Arial" w:eastAsia="Arial" w:hAnsi="Arial"/>
          <w:sz w:val="16"/>
          <w:szCs w:val="16"/>
          <w:color w:val="auto"/>
        </w:rPr>
      </w:pPr>
    </w:p>
    <w:p>
      <w:pPr>
        <w:ind w:right="240" w:firstLine="996"/>
        <w:spacing w:after="0" w:line="271" w:lineRule="auto"/>
        <w:tabs>
          <w:tab w:leader="none" w:pos="1247" w:val="left"/>
        </w:tabs>
        <w:numPr>
          <w:ilvl w:val="1"/>
          <w:numId w:val="10"/>
        </w:numPr>
        <w:rPr>
          <w:rFonts w:ascii="Arial" w:cs="Arial" w:eastAsia="Arial" w:hAnsi="Arial"/>
          <w:sz w:val="17"/>
          <w:szCs w:val="17"/>
          <w:color w:val="auto"/>
        </w:rPr>
      </w:pPr>
      <w:r>
        <w:rPr>
          <w:rFonts w:ascii="Arial" w:cs="Arial" w:eastAsia="Arial" w:hAnsi="Arial"/>
          <w:sz w:val="17"/>
          <w:szCs w:val="17"/>
          <w:color w:val="auto"/>
        </w:rPr>
        <w:t xml:space="preserve">Without qualification, for business to be properly brought before an annual meeting by a stockholder pursuant to clause (iii) of the second sentence of Section 2.4(a) of these bylaws,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by the secretary at, the principal executive offices of the Corporation not less than ninety (90) days nor more than one hundred twenty (120) days prior to the first anniversary of the preceding year’s annual meeting; </w:t>
      </w:r>
      <w:r>
        <w:rPr>
          <w:rFonts w:ascii="Arial" w:cs="Arial" w:eastAsia="Arial" w:hAnsi="Arial"/>
          <w:sz w:val="17"/>
          <w:szCs w:val="17"/>
          <w:i w:val="1"/>
          <w:iCs w:val="1"/>
          <w:u w:val="single" w:color="auto"/>
          <w:color w:val="auto"/>
        </w:rPr>
        <w:t>provided, however</w:t>
      </w:r>
      <w:r>
        <w:rPr>
          <w:rFonts w:ascii="Arial" w:cs="Arial" w:eastAsia="Arial" w:hAnsi="Arial"/>
          <w:sz w:val="17"/>
          <w:szCs w:val="17"/>
          <w:color w:val="auto"/>
        </w:rPr>
        <w:t>, that (x) if the date of the annual meeting is more than thirty (30) days before or more than sixty (60) days after such anniversary date or (y) with respect to the first annual meeting held after the Company’s initial public offering of its shares pursuant to a registration statement on Form S-1, notice by the stockholder to be timely must be so delivered,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5" w:name="page16"/>
    <w:bookmarkEnd w:id="15"/>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mailed and received, not earlier than the close of business on the one hundred twentieth (120</w:t>
      </w:r>
      <w:r>
        <w:rPr>
          <w:rFonts w:ascii="Arial" w:cs="Arial" w:eastAsia="Arial" w:hAnsi="Arial"/>
          <w:sz w:val="15"/>
          <w:szCs w:val="15"/>
          <w:color w:val="auto"/>
        </w:rPr>
        <w:t>th</w:t>
      </w:r>
      <w:r>
        <w:rPr>
          <w:rFonts w:ascii="Arial" w:cs="Arial" w:eastAsia="Arial" w:hAnsi="Arial"/>
          <w:sz w:val="18"/>
          <w:szCs w:val="18"/>
          <w:color w:val="auto"/>
        </w:rPr>
        <w:t>) day prior to such annual meeting and not later than the later of the close of business on the ninetieth (90</w:t>
      </w:r>
      <w:r>
        <w:rPr>
          <w:rFonts w:ascii="Arial" w:cs="Arial" w:eastAsia="Arial" w:hAnsi="Arial"/>
          <w:sz w:val="15"/>
          <w:szCs w:val="15"/>
          <w:color w:val="auto"/>
        </w:rPr>
        <w:t>th</w:t>
      </w:r>
      <w:r>
        <w:rPr>
          <w:rFonts w:ascii="Arial" w:cs="Arial" w:eastAsia="Arial" w:hAnsi="Arial"/>
          <w:sz w:val="18"/>
          <w:szCs w:val="18"/>
          <w:color w:val="auto"/>
        </w:rPr>
        <w:t>) day prior to such annual meeting and the close of business on the tenth (10</w:t>
      </w:r>
      <w:r>
        <w:rPr>
          <w:rFonts w:ascii="Arial" w:cs="Arial" w:eastAsia="Arial" w:hAnsi="Arial"/>
          <w:sz w:val="15"/>
          <w:szCs w:val="15"/>
          <w:color w:val="auto"/>
        </w:rPr>
        <w:t>th</w:t>
      </w:r>
      <w:r>
        <w:rPr>
          <w:rFonts w:ascii="Arial" w:cs="Arial" w:eastAsia="Arial" w:hAnsi="Arial"/>
          <w:sz w:val="18"/>
          <w:szCs w:val="18"/>
          <w:color w:val="auto"/>
        </w:rPr>
        <w:t>) day following the day on which public disclosure of the date of such annual meeting was first made (such notice within such time periods, “</w:t>
      </w:r>
      <w:r>
        <w:rPr>
          <w:rFonts w:ascii="Arial" w:cs="Arial" w:eastAsia="Arial" w:hAnsi="Arial"/>
          <w:sz w:val="18"/>
          <w:szCs w:val="18"/>
          <w:u w:val="single" w:color="auto"/>
          <w:color w:val="auto"/>
        </w:rPr>
        <w:t>Timely Notice</w:t>
      </w:r>
      <w:r>
        <w:rPr>
          <w:rFonts w:ascii="Arial" w:cs="Arial" w:eastAsia="Arial" w:hAnsi="Arial"/>
          <w:sz w:val="18"/>
          <w:szCs w:val="18"/>
          <w:color w:val="auto"/>
        </w:rPr>
        <w:t>”). In no event shall any adjournment or postponement of an annual meeting or the announcement thereof commence a new time period (or extend any time period) for the giving of Timely Notice as described above.</w:t>
      </w:r>
    </w:p>
    <w:p>
      <w:pPr>
        <w:spacing w:after="0" w:line="80" w:lineRule="exact"/>
        <w:rPr>
          <w:sz w:val="20"/>
          <w:szCs w:val="20"/>
          <w:color w:val="auto"/>
        </w:rPr>
      </w:pPr>
    </w:p>
    <w:p>
      <w:pPr>
        <w:ind w:left="1240" w:hanging="244"/>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be in proper form for purposes of this Section 2.4, a stockholder’s notice to the secretary of the Corporation shall set forth:</w:t>
      </w:r>
    </w:p>
    <w:p>
      <w:pPr>
        <w:spacing w:after="0" w:line="128" w:lineRule="exact"/>
        <w:rPr>
          <w:rFonts w:ascii="Arial" w:cs="Arial" w:eastAsia="Arial" w:hAnsi="Arial"/>
          <w:sz w:val="17"/>
          <w:szCs w:val="17"/>
          <w:color w:val="auto"/>
        </w:rPr>
      </w:pPr>
    </w:p>
    <w:p>
      <w:pPr>
        <w:ind w:left="1620" w:hanging="223"/>
        <w:spacing w:after="0"/>
        <w:tabs>
          <w:tab w:leader="none" w:pos="16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As to each Proposing Person (as defined below), (A) the name and address of such Proposing Person (including, without</w:t>
      </w:r>
    </w:p>
    <w:p>
      <w:pPr>
        <w:spacing w:after="0" w:line="34" w:lineRule="exact"/>
        <w:rPr>
          <w:rFonts w:ascii="Arial" w:cs="Arial" w:eastAsia="Arial" w:hAnsi="Arial"/>
          <w:sz w:val="17"/>
          <w:szCs w:val="17"/>
          <w:color w:val="auto"/>
        </w:rPr>
      </w:pPr>
    </w:p>
    <w:p>
      <w:pPr>
        <w:ind w:left="1000" w:right="80"/>
        <w:spacing w:after="0" w:line="292" w:lineRule="auto"/>
        <w:rPr>
          <w:rFonts w:ascii="Arial" w:cs="Arial" w:eastAsia="Arial" w:hAnsi="Arial"/>
          <w:sz w:val="17"/>
          <w:szCs w:val="17"/>
          <w:color w:val="auto"/>
        </w:rPr>
      </w:pPr>
      <w:r>
        <w:rPr>
          <w:rFonts w:ascii="Arial" w:cs="Arial" w:eastAsia="Arial" w:hAnsi="Arial"/>
          <w:sz w:val="16"/>
          <w:szCs w:val="16"/>
          <w:color w:val="auto"/>
        </w:rPr>
        <w:t>limitation, if applicable, the name and address that appear on the Corporation’s books and records) and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(A) and (B) are referred to as “</w:t>
      </w:r>
      <w:r>
        <w:rPr>
          <w:rFonts w:ascii="Arial" w:cs="Arial" w:eastAsia="Arial" w:hAnsi="Arial"/>
          <w:sz w:val="16"/>
          <w:szCs w:val="16"/>
          <w:u w:val="single" w:color="auto"/>
          <w:color w:val="auto"/>
        </w:rPr>
        <w:t>Stockholder Information</w:t>
      </w:r>
      <w:r>
        <w:rPr>
          <w:rFonts w:ascii="Arial" w:cs="Arial" w:eastAsia="Arial" w:hAnsi="Arial"/>
          <w:sz w:val="16"/>
          <w:szCs w:val="16"/>
          <w:color w:val="auto"/>
        </w:rPr>
        <w:t>”);</w:t>
      </w:r>
    </w:p>
    <w:p>
      <w:pPr>
        <w:spacing w:after="0" w:line="54" w:lineRule="exact"/>
        <w:rPr>
          <w:rFonts w:ascii="Arial" w:cs="Arial" w:eastAsia="Arial" w:hAnsi="Arial"/>
          <w:sz w:val="17"/>
          <w:szCs w:val="17"/>
          <w:color w:val="auto"/>
        </w:rPr>
      </w:pPr>
    </w:p>
    <w:p>
      <w:pPr>
        <w:ind w:left="1000" w:firstLine="397"/>
        <w:spacing w:after="0" w:line="284" w:lineRule="auto"/>
        <w:tabs>
          <w:tab w:leader="none" w:pos="1666" w:val="left"/>
        </w:tabs>
        <w:numPr>
          <w:ilvl w:val="1"/>
          <w:numId w:val="11"/>
        </w:numPr>
        <w:rPr>
          <w:rFonts w:ascii="Arial" w:cs="Arial" w:eastAsia="Arial" w:hAnsi="Arial"/>
          <w:sz w:val="16"/>
          <w:szCs w:val="16"/>
          <w:color w:val="auto"/>
        </w:rPr>
      </w:pPr>
      <w:r>
        <w:rPr>
          <w:rFonts w:ascii="Arial" w:cs="Arial" w:eastAsia="Arial" w:hAnsi="Arial"/>
          <w:sz w:val="16"/>
          <w:szCs w:val="16"/>
          <w:color w:val="auto"/>
        </w:rPr>
        <w:t>As to each Proposing Person, (A) any derivative, swap or other transaction or series of transactions engaged in, directly or indirectly, by such Proposing Person, the purpose or effect of which is to give such Proposing Person economic risk similar to ownership of shares of any class or series of the Corporation, including, without limitation, due to the fact that the value of such derivative, swap or other transactions are determined by reference to the price, value or volatility of any shares of any class or series of the Corporation, or which derivative, swap or other transactions provide, directly or indirectly, the opportunity to profit from any increase in the price or value of shares of any class or series of the Corporation (“</w:t>
      </w:r>
      <w:r>
        <w:rPr>
          <w:rFonts w:ascii="Arial" w:cs="Arial" w:eastAsia="Arial" w:hAnsi="Arial"/>
          <w:sz w:val="16"/>
          <w:szCs w:val="16"/>
          <w:u w:val="single" w:color="auto"/>
          <w:color w:val="auto"/>
        </w:rPr>
        <w:t>Synthetic Equity Interests</w:t>
      </w:r>
      <w:r>
        <w:rPr>
          <w:rFonts w:ascii="Arial" w:cs="Arial" w:eastAsia="Arial" w:hAnsi="Arial"/>
          <w:sz w:val="16"/>
          <w:szCs w:val="16"/>
          <w:color w:val="auto"/>
        </w:rPr>
        <w:t>”), which Synthetic Equity Interests shall be disclosed without regard to whether (x) the derivative, swap or other transactions convey any voting rights in such shares to such Proposing Person,</w:t>
      </w:r>
    </w:p>
    <w:p>
      <w:pPr>
        <w:spacing w:after="0" w:line="2" w:lineRule="exact"/>
        <w:rPr>
          <w:rFonts w:ascii="Arial" w:cs="Arial" w:eastAsia="Arial" w:hAnsi="Arial"/>
          <w:sz w:val="16"/>
          <w:szCs w:val="16"/>
          <w:color w:val="auto"/>
        </w:rPr>
      </w:pPr>
    </w:p>
    <w:p>
      <w:pPr>
        <w:ind w:left="1000" w:right="40" w:hanging="4"/>
        <w:spacing w:after="0" w:line="271" w:lineRule="auto"/>
        <w:tabs>
          <w:tab w:leader="none" w:pos="12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derivative, swap or other transactions are required to be, or are capable of being, settled through delivery of such shares or (z) such Proposing Person may have entered into other transactions that hedge or mitigate the economic effect of such derivative, swap or other transactions, (B) any proxy (other than a revocable proxy or consent given in response to a solicitation made pursuant to, and in accordance with, Section 14(a) of the Exchange Act by way of a solicitation statement filed on Schedule 14A), agreement, arrangement, understanding or relationship pursuant to which such Proposing Person has or</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6" w:name="page17"/>
    <w:bookmarkEnd w:id="16"/>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a right to vote any shares of any class or series of the Corporation, (C) any agreement, arrangement, understanding or relationship, including, without limitation, any repurchase or similar so-called “stock borrowing” agreement or arrangement, engaged in, directly or indirectly, by such Proposing Person, the purpose or effect of which is to mitigate loss to, reduce the economic risk (of ownership or otherwise) of shares of any class or series of the Corporation by, manage the risk of share price changes for, or increase or decrease the voting power of, such Proposing Person with respect to the shares of any class or series of the Corporation, or which provides, directly or indirectly, the opportunity to profit from any decrease in the price or value of the shares of any class or series of the Corporation (“</w:t>
      </w:r>
      <w:r>
        <w:rPr>
          <w:rFonts w:ascii="Arial" w:cs="Arial" w:eastAsia="Arial" w:hAnsi="Arial"/>
          <w:sz w:val="16"/>
          <w:szCs w:val="16"/>
          <w:u w:val="single" w:color="auto"/>
          <w:color w:val="auto"/>
        </w:rPr>
        <w:t>Short</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Interests</w:t>
      </w:r>
      <w:r>
        <w:rPr>
          <w:rFonts w:ascii="Arial" w:cs="Arial" w:eastAsia="Arial" w:hAnsi="Arial"/>
          <w:sz w:val="16"/>
          <w:szCs w:val="16"/>
          <w:color w:val="auto"/>
        </w:rPr>
        <w:t>”), (D) any rights to dividends on the shares of any class or series of the Corporation owned beneficially by such Proposing Person that are separated or separable from the underlying shares of the Corporation, (E) any performance related fees (other than an asset based fee) that such Proposing Person is entitled to based on any increase or decrease in the price or value of shares of any class or series of the Corporation, or any Synthetic Equity Interests or Short Interests, if any, (F)(x) if such Proposing Person is not a natural person, the identity of the natural person or persons associated with such Proposing Person responsible for the formulation of and decision to propose the business to be brought before the meeting (such person or persons, the “</w:t>
      </w:r>
      <w:r>
        <w:rPr>
          <w:rFonts w:ascii="Arial" w:cs="Arial" w:eastAsia="Arial" w:hAnsi="Arial"/>
          <w:sz w:val="16"/>
          <w:szCs w:val="16"/>
          <w:u w:val="single" w:color="auto"/>
          <w:color w:val="auto"/>
        </w:rPr>
        <w:t>Responsible Person</w:t>
      </w:r>
      <w:r>
        <w:rPr>
          <w:rFonts w:ascii="Arial" w:cs="Arial" w:eastAsia="Arial" w:hAnsi="Arial"/>
          <w:sz w:val="16"/>
          <w:szCs w:val="16"/>
          <w:color w:val="auto"/>
        </w:rPr>
        <w:t>”), the manner in which such Responsible Person was selected, any fiduciary duties owed by such Responsible Person to the equity holders or other beneficiaries of such Proposing Person, the qualifications and background of such Responsible Person and any material interests or relationships of such Responsible Person that are not shared generally by any other record or beneficial holder of the shares of any class or series of the Corporation and that reasonably could have influenced the decision of such Proposing Person to propose such business to be brought before the meeting, and</w:t>
      </w:r>
    </w:p>
    <w:p>
      <w:pPr>
        <w:ind w:left="4" w:right="60" w:hanging="4"/>
        <w:spacing w:after="0" w:line="287" w:lineRule="auto"/>
        <w:tabs>
          <w:tab w:leader="none" w:pos="259"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such Proposing Person is a natural person, the qualifications and background of such natural person and any material interests or relationships of such natural person that are not shared generally by any other record or beneficial holder of the shares of any class or series of the Corporation and that reasonably could have influenced the decision of such Proposing Person to propose such business to be brought before the meeting, (G) any significant equity interests or any Synthetic Equity Interests or Short Interests in any principal competitor of the Corporation held by such Proposing Persons, (H) any direct or indirect interest of such Proposing Person in any contract with the Corporation, any affiliate of the Corporation or any principal competitor of the Corporation (including, without limitation, in any such case, any employment agreement, collective bargaining agreement or consulting agreement), (I) any pending or threatened litigation in which such Proposing Person is a party or material participant involving the Corporation or any of its officers or directors, or any affiliate of the Corporation, (J) any material transaction occurring during the prior twelve months between such Proposing</w:t>
      </w:r>
    </w:p>
    <w:p>
      <w:pPr>
        <w:spacing w:after="0" w:line="99" w:lineRule="exact"/>
        <w:rPr>
          <w:sz w:val="20"/>
          <w:szCs w:val="20"/>
          <w:color w:val="auto"/>
        </w:rPr>
      </w:pPr>
    </w:p>
    <w:p>
      <w:pPr>
        <w:ind w:left="440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04"/>
          </w:cols>
          <w:pgMar w:left="1436" w:top="274" w:right="459" w:bottom="1440" w:gutter="0" w:footer="0" w:header="0"/>
        </w:sectPr>
      </w:pPr>
    </w:p>
    <w:bookmarkStart w:id="17" w:name="page18"/>
    <w:bookmarkEnd w:id="1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 on the one hand, and the Corporation, any affiliate of the Corporation or any principal competitor of the Corporation, on the other hand, (K) a summary of any material discussions regarding the business proposed to be brought before the meeting (x) between or among any of the Proposing Persons or (y) between or among any Proposing Person and any other record or beneficial holder of the shares of any class or series of the Corporation (including, without limitation, their names) and (L)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(L) are referred to as</w:t>
      </w:r>
    </w:p>
    <w:p>
      <w:pPr>
        <w:spacing w:after="0" w:line="3"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Disclosable Interests</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47" w:lineRule="exact"/>
        <w:rPr>
          <w:sz w:val="20"/>
          <w:szCs w:val="20"/>
          <w:color w:val="auto"/>
        </w:rPr>
      </w:pPr>
    </w:p>
    <w:p>
      <w:pPr>
        <w:ind w:firstLine="397"/>
        <w:spacing w:after="0" w:line="267" w:lineRule="auto"/>
        <w:tabs>
          <w:tab w:leader="none" w:pos="7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As to each item of business that the stockholder proposes to bring before the annual meeting, (A) a reasonably brief description of the business desired to be brought before the annual meeting, the reasons for conducting such business at the annual meeting and any material interest in such business of each Proposing Person, (B) the text of the proposal or business (including, without limitation, the text of any resolutions proposed for consideration and in the event that such business includes a proposal to amend the bylaws of the Corporation, the language of the proposed amendment), (C) a reasonably detailed description of all agreements, arrangements and understandings between or among any of the Proposing Persons or between or among any Proposing Person and any other person or entity (including, without limitation, their names) in connection with the proposal of such business by such stockholder, (D) a representation that the stockholder is a holder of record of stock of the Corporation entitled to vote at such meeting and intends to appear in person or by proxy at the meeting to propose such business, (E) a representation whether the Proposing Person intends or is part of a group which intends (1) to deliver a proxy statement and/or form of proxy to holders of at least the percentage of the Corporation’s outstanding capital stock required to approve or adopt the proposal and/or (2) otherwise to solicit proxies or votes from stockholders in support of such proposal and (F)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Arial" w:cs="Arial" w:eastAsia="Arial" w:hAnsi="Arial"/>
          <w:sz w:val="17"/>
          <w:szCs w:val="17"/>
          <w:i w:val="1"/>
          <w:iCs w:val="1"/>
          <w:u w:val="single" w:color="auto"/>
          <w:color w:val="auto"/>
        </w:rPr>
        <w:t>provided, however</w:t>
      </w:r>
      <w:r>
        <w:rPr>
          <w:rFonts w:ascii="Arial" w:cs="Arial" w:eastAsia="Arial" w:hAnsi="Arial"/>
          <w:sz w:val="17"/>
          <w:szCs w:val="17"/>
          <w:color w:val="auto"/>
        </w:rPr>
        <w:t>, that the disclosures required by this paragraph (c)(iii)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980"/>
          </w:cols>
          <w:pgMar w:left="1440" w:top="274" w:right="479" w:bottom="1440" w:gutter="0" w:footer="0" w:header="0"/>
        </w:sectPr>
      </w:pPr>
    </w:p>
    <w:bookmarkStart w:id="18" w:name="page19"/>
    <w:bookmarkEnd w:id="18"/>
    <w:p>
      <w:pPr>
        <w:ind w:left="-4" w:right="80" w:firstLine="996"/>
        <w:spacing w:after="0" w:line="276" w:lineRule="auto"/>
        <w:tabs>
          <w:tab w:leader="none" w:pos="1243" w:val="left"/>
        </w:tabs>
        <w:numPr>
          <w:ilvl w:val="1"/>
          <w:numId w:val="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Section 2.4, the term “</w:t>
      </w:r>
      <w:r>
        <w:rPr>
          <w:rFonts w:ascii="Arial" w:cs="Arial" w:eastAsia="Arial" w:hAnsi="Arial"/>
          <w:sz w:val="17"/>
          <w:szCs w:val="17"/>
          <w:u w:val="single" w:color="auto"/>
          <w:color w:val="auto"/>
        </w:rPr>
        <w:t>Proposing Person</w:t>
      </w:r>
      <w:r>
        <w:rPr>
          <w:rFonts w:ascii="Arial" w:cs="Arial" w:eastAsia="Arial" w:hAnsi="Arial"/>
          <w:sz w:val="17"/>
          <w:szCs w:val="17"/>
          <w:color w:val="auto"/>
        </w:rPr>
        <w:t>” shall mean (i) the stockholder providing the notice of business proposed to be brought before an annual meeting, (ii) the beneficial owner or beneficial owners, if different, on whose behalf the notice of the business proposed to be brought before the annual meeting is made, (iii) any affiliate or associate (each within the meaning of Rule 12b-2 under the Exchange Act for the purposes of these bylaws) of such stockholder or beneficial owner and (iv) any other person with whom such stockholder or beneficial owner (or any of their respective affiliates or associates) is Acting in Concert (as defined below).</w:t>
      </w:r>
    </w:p>
    <w:p>
      <w:pPr>
        <w:spacing w:after="0" w:line="64" w:lineRule="exact"/>
        <w:rPr>
          <w:rFonts w:ascii="Arial" w:cs="Arial" w:eastAsia="Arial" w:hAnsi="Arial"/>
          <w:sz w:val="17"/>
          <w:szCs w:val="17"/>
          <w:color w:val="auto"/>
        </w:rPr>
      </w:pPr>
    </w:p>
    <w:p>
      <w:pPr>
        <w:ind w:left="-4" w:firstLine="996"/>
        <w:spacing w:after="0" w:line="270" w:lineRule="auto"/>
        <w:tabs>
          <w:tab w:leader="none" w:pos="1233" w:val="left"/>
        </w:tabs>
        <w:numPr>
          <w:ilvl w:val="1"/>
          <w:numId w:val="15"/>
        </w:numPr>
        <w:rPr>
          <w:rFonts w:ascii="Arial" w:cs="Arial" w:eastAsia="Arial" w:hAnsi="Arial"/>
          <w:sz w:val="17"/>
          <w:szCs w:val="17"/>
          <w:color w:val="auto"/>
        </w:rPr>
      </w:pPr>
      <w:r>
        <w:rPr>
          <w:rFonts w:ascii="Arial" w:cs="Arial" w:eastAsia="Arial" w:hAnsi="Arial"/>
          <w:sz w:val="17"/>
          <w:szCs w:val="17"/>
          <w:color w:val="auto"/>
        </w:rPr>
        <w:t>A person shall be deemed to be “</w:t>
      </w:r>
      <w:r>
        <w:rPr>
          <w:rFonts w:ascii="Arial" w:cs="Arial" w:eastAsia="Arial" w:hAnsi="Arial"/>
          <w:sz w:val="17"/>
          <w:szCs w:val="17"/>
          <w:u w:val="single" w:color="auto"/>
          <w:color w:val="auto"/>
        </w:rPr>
        <w:t>Acting in Concert</w:t>
      </w:r>
      <w:r>
        <w:rPr>
          <w:rFonts w:ascii="Arial" w:cs="Arial" w:eastAsia="Arial" w:hAnsi="Arial"/>
          <w:sz w:val="17"/>
          <w:szCs w:val="17"/>
          <w:color w:val="auto"/>
        </w:rPr>
        <w:t xml:space="preserve">” with another person for purposes of these bylaws if such person knowingly acts (whether or not pursuant to an express agreement, arrangement or understanding) in concert with, or towards a common goal relating to the management, governance or control of the Corporation in parallel with, such other person where (i) each person is conscious of the other person’s conduct or intent and this awareness is an element in their decision-making processes and (ii) at least one additional factor suggests that such persons intend to act in concert or in parallel, which such additional factors may include, without limitation, exchanging information (whether publicly or privately), attending meetings, conducting discussions, or making or soliciting invitations to act in concert or in parallel;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that a person shall not be deemed to be Acting in Concert with any other person solely as a result of the solicitation or receipt of revocable proxies or consents from such other person in response to a solicitation made pursuant to, and in accordance with, Section 14(a)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69" w:lineRule="exact"/>
        <w:rPr>
          <w:rFonts w:ascii="Arial" w:cs="Arial" w:eastAsia="Arial" w:hAnsi="Arial"/>
          <w:sz w:val="17"/>
          <w:szCs w:val="17"/>
          <w:color w:val="auto"/>
        </w:rPr>
      </w:pPr>
    </w:p>
    <w:p>
      <w:pPr>
        <w:ind w:left="-4" w:right="60" w:firstLine="996"/>
        <w:spacing w:after="0" w:line="284" w:lineRule="auto"/>
        <w:tabs>
          <w:tab w:leader="none" w:pos="1213" w:val="left"/>
        </w:tabs>
        <w:numPr>
          <w:ilvl w:val="1"/>
          <w:numId w:val="15"/>
        </w:numPr>
        <w:rPr>
          <w:rFonts w:ascii="Arial" w:cs="Arial" w:eastAsia="Arial" w:hAnsi="Arial"/>
          <w:sz w:val="16"/>
          <w:szCs w:val="16"/>
          <w:color w:val="auto"/>
        </w:rPr>
      </w:pPr>
      <w:r>
        <w:rPr>
          <w:rFonts w:ascii="Arial" w:cs="Arial" w:eastAsia="Arial" w:hAnsi="Arial"/>
          <w:sz w:val="16"/>
          <w:szCs w:val="16"/>
          <w:color w:val="auto"/>
        </w:rPr>
        <w:t>A stockholder providing notice of business proposed to be brought before an annual meeting shall further update and supplement such notice, if necessary, so that the information provided or required to be provided in such notice pursuant to this Section 2.4 shall be true and correct as of the record date for determining stockholders entitled to notice of the annual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determining stockholders entitled to notice of the annual meeting (in the case of the update and supplement required to be made as of the record date), and not later than eight</w:t>
      </w:r>
    </w:p>
    <w:p>
      <w:pPr>
        <w:spacing w:after="0" w:line="4" w:lineRule="exact"/>
        <w:rPr>
          <w:rFonts w:ascii="Arial" w:cs="Arial" w:eastAsia="Arial" w:hAnsi="Arial"/>
          <w:sz w:val="16"/>
          <w:szCs w:val="16"/>
          <w:color w:val="auto"/>
        </w:rPr>
      </w:pPr>
    </w:p>
    <w:p>
      <w:pPr>
        <w:ind w:left="-4" w:right="140" w:firstLine="4"/>
        <w:spacing w:after="0" w:line="255" w:lineRule="auto"/>
        <w:tabs>
          <w:tab w:leader="none" w:pos="251"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2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16"/>
          </w:cols>
          <w:pgMar w:left="444" w:top="274" w:right="439" w:bottom="1440" w:gutter="0" w:footer="0" w:header="0"/>
        </w:sectPr>
      </w:pPr>
    </w:p>
    <w:bookmarkStart w:id="19" w:name="page20"/>
    <w:bookmarkEnd w:id="19"/>
    <w:p>
      <w:pPr>
        <w:ind w:left="-4" w:firstLine="996"/>
        <w:spacing w:after="0" w:line="284" w:lineRule="auto"/>
        <w:tabs>
          <w:tab w:leader="none" w:pos="1243" w:val="left"/>
        </w:tabs>
        <w:numPr>
          <w:ilvl w:val="1"/>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in these bylaws to the contrary and except as otherwise expressly provided in any applicable rule or regulation promulgated under the Exchange Act, no business shall be conducted at an annual meeting except in accordance with this Section 2.4. The presiding officer of an annual meeting of stockholders shall have the power and duty (a) to determine that any business was not properly brought before the meeting in accordance with this Section 2.4 (including whether the stockholder or beneficial owner, if any, on whose behalf the business proposed to be brought before the annual meeting is made, solicited (or is part of a group which solicited) or did not so solicit, as the case may be, proxies or votes in support of such stockholder’s business in compliance with such stockholder’s representation as required by clause (c)(iii)(E) of this Section 2.4); and</w:t>
      </w:r>
    </w:p>
    <w:p>
      <w:pPr>
        <w:spacing w:after="0" w:line="4" w:lineRule="exact"/>
        <w:rPr>
          <w:rFonts w:ascii="Arial" w:cs="Arial" w:eastAsia="Arial" w:hAnsi="Arial"/>
          <w:sz w:val="16"/>
          <w:szCs w:val="16"/>
          <w:color w:val="auto"/>
        </w:rPr>
      </w:pPr>
    </w:p>
    <w:p>
      <w:pPr>
        <w:ind w:left="-4" w:right="80" w:firstLine="4"/>
        <w:spacing w:after="0" w:line="261" w:lineRule="auto"/>
        <w:tabs>
          <w:tab w:leader="none" w:pos="2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any proposed business was not proposed in compliance with this Section 2.4 to declare to the meeting that any such business not properly brought before the meeting shall not be transacted.</w:t>
      </w:r>
    </w:p>
    <w:p>
      <w:pPr>
        <w:spacing w:after="0" w:line="75" w:lineRule="exact"/>
        <w:rPr>
          <w:rFonts w:ascii="Arial" w:cs="Arial" w:eastAsia="Arial" w:hAnsi="Arial"/>
          <w:sz w:val="18"/>
          <w:szCs w:val="18"/>
          <w:color w:val="auto"/>
        </w:rPr>
      </w:pPr>
    </w:p>
    <w:p>
      <w:pPr>
        <w:ind w:left="-4" w:right="180" w:firstLine="996"/>
        <w:spacing w:after="0" w:line="297" w:lineRule="auto"/>
        <w:tabs>
          <w:tab w:leader="none" w:pos="1243"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foregoing notice requirements of this Section 2.4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Nothing in this Section 2.4 shall be deemed to affect the rights of stockholders to request inclusion of proposals in the Corporation’s proxy statement pursuant to Rule 14a-8 under the Exchange Act.</w:t>
      </w:r>
    </w:p>
    <w:p>
      <w:pPr>
        <w:spacing w:after="0" w:line="50" w:lineRule="exact"/>
        <w:rPr>
          <w:rFonts w:ascii="Arial" w:cs="Arial" w:eastAsia="Arial" w:hAnsi="Arial"/>
          <w:sz w:val="16"/>
          <w:szCs w:val="16"/>
          <w:color w:val="auto"/>
        </w:rPr>
      </w:pPr>
    </w:p>
    <w:p>
      <w:pPr>
        <w:jc w:val="both"/>
        <w:ind w:left="-4" w:right="280" w:firstLine="996"/>
        <w:spacing w:after="0" w:line="342" w:lineRule="auto"/>
        <w:tabs>
          <w:tab w:leader="none" w:pos="1203" w:val="left"/>
        </w:tabs>
        <w:numPr>
          <w:ilvl w:val="1"/>
          <w:numId w:val="18"/>
        </w:numPr>
        <w:rPr>
          <w:rFonts w:ascii="Arial" w:cs="Arial" w:eastAsia="Arial" w:hAnsi="Arial"/>
          <w:sz w:val="16"/>
          <w:szCs w:val="16"/>
          <w:color w:val="auto"/>
        </w:rPr>
      </w:pPr>
      <w:r>
        <w:rPr>
          <w:rFonts w:ascii="Arial" w:cs="Arial" w:eastAsia="Arial" w:hAnsi="Arial"/>
          <w:sz w:val="16"/>
          <w:szCs w:val="16"/>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spacing w:after="0" w:line="15" w:lineRule="exact"/>
        <w:rPr>
          <w:rFonts w:ascii="Arial" w:cs="Arial" w:eastAsia="Arial" w:hAnsi="Arial"/>
          <w:sz w:val="16"/>
          <w:szCs w:val="16"/>
          <w:color w:val="auto"/>
        </w:rPr>
      </w:pPr>
    </w:p>
    <w:p>
      <w:pPr>
        <w:ind w:left="-4" w:right="60" w:firstLine="996"/>
        <w:spacing w:after="0" w:line="272" w:lineRule="auto"/>
        <w:tabs>
          <w:tab w:leader="none" w:pos="1203" w:val="left"/>
        </w:tabs>
        <w:numPr>
          <w:ilvl w:val="1"/>
          <w:numId w:val="18"/>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2.4, unless otherwise required by law, if the stockholder (or a qualified representative of the stockholder) does not appear at the annual meeting to present proposed business, such proposed business shall not be transacted, notwithstanding that proxies in respect of such vote may have been received by the Corporation. For purposes of this Section 2.4, except as provided under Rule 14a-8 under the Exchange Act,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annual meeting and such person must produce such writing or electronic transmission, or a reliable reproduction of the writing or electronic transmission, at the annual meeting.</w:t>
      </w:r>
    </w:p>
    <w:p>
      <w:pPr>
        <w:spacing w:after="0" w:line="110"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16"/>
          </w:cols>
          <w:pgMar w:left="444" w:top="274" w:right="439" w:bottom="1440" w:gutter="0" w:footer="0" w:header="0"/>
        </w:sectPr>
      </w:pPr>
    </w:p>
    <w:bookmarkStart w:id="20" w:name="page21"/>
    <w:bookmarkEnd w:id="20"/>
    <w:p>
      <w:pPr>
        <w:ind w:right="20" w:firstLine="996"/>
        <w:spacing w:after="0" w:line="255" w:lineRule="auto"/>
        <w:tabs>
          <w:tab w:leader="none" w:pos="1247"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provisions of this Section 2.4, a stockholder shall also comply with all applicable requirements of the Exchange Act with respect to the matters set forth in this Section 2.4; provided however, that any references in these bylaws to the Exchange Act are not intended to and shall not limit any requirements applicable to proposals as to any business to be considered pursuant to this Section 2.4 (including paragraph (a)(iii) hereof), and compliance with paragraph (a)(iii) of this Section 2.4 shall be the exclusive means for a stockholder to submit business (other than, as provided in the first sentence of paragraph (h) of this Section 2.4, business brought properly under and in compliance with Rule 14a-8 of the Exchange Act, as may be amended from time to time).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 ADVANCE NOTICE PROCEDURES FOR NOMINATIONS OF DIRECTORS.</w:t>
      </w:r>
    </w:p>
    <w:p>
      <w:pPr>
        <w:spacing w:after="0" w:line="117" w:lineRule="exact"/>
        <w:rPr>
          <w:sz w:val="20"/>
          <w:szCs w:val="20"/>
          <w:color w:val="auto"/>
        </w:rPr>
      </w:pPr>
    </w:p>
    <w:p>
      <w:pPr>
        <w:ind w:right="80" w:firstLine="996"/>
        <w:spacing w:after="0" w:line="284" w:lineRule="auto"/>
        <w:tabs>
          <w:tab w:leader="none" w:pos="1237" w:val="left"/>
        </w:tabs>
        <w:numPr>
          <w:ilvl w:val="1"/>
          <w:numId w:val="20"/>
        </w:numPr>
        <w:rPr>
          <w:rFonts w:ascii="Arial" w:cs="Arial" w:eastAsia="Arial" w:hAnsi="Arial"/>
          <w:sz w:val="16"/>
          <w:szCs w:val="16"/>
          <w:color w:val="auto"/>
        </w:rPr>
      </w:pPr>
      <w:r>
        <w:rPr>
          <w:rFonts w:ascii="Arial" w:cs="Arial" w:eastAsia="Arial" w:hAnsi="Arial"/>
          <w:sz w:val="16"/>
          <w:szCs w:val="16"/>
          <w:color w:val="auto"/>
        </w:rPr>
        <w:t>Nominations of any person for election to the Board at an annual meeting or at a special meeting (but, in the case of a special meeting, only if the election of directors is a matter specified in the notice of meeting given by or at the direction of the person calling such special meeting) may be made at such meeting only (i) by or at the direction of the Board or any committee thereof, or (ii) by a stockholder who (A) was a stockholder of record of the Corporation (and, with respect to any beneficial owner, if different, on whose behalf such nomination is proposed to be made, only if such beneficial owner was the beneficial owner of shares of the Corporation) both at the time of giving the notice provided for in this Section 2.5 and at the time of the meeting, (B) is entitled to vote at the meeting and (C) has complied with this Section 2.5 as to such nomination. The foregoing clause</w:t>
      </w:r>
    </w:p>
    <w:p>
      <w:pPr>
        <w:spacing w:after="0" w:line="4" w:lineRule="exact"/>
        <w:rPr>
          <w:rFonts w:ascii="Arial" w:cs="Arial" w:eastAsia="Arial" w:hAnsi="Arial"/>
          <w:sz w:val="16"/>
          <w:szCs w:val="16"/>
          <w:color w:val="auto"/>
        </w:rPr>
      </w:pPr>
    </w:p>
    <w:p>
      <w:pPr>
        <w:ind w:right="500" w:firstLine="4"/>
        <w:spacing w:after="0" w:line="261" w:lineRule="auto"/>
        <w:tabs>
          <w:tab w:leader="none" w:pos="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shall be the exclusive means for a stockholder to make any nomination of a person or persons for election to the Board to be considered by the stockholders at an annual meeting or special meeting.</w:t>
      </w:r>
    </w:p>
    <w:p>
      <w:pPr>
        <w:spacing w:after="0" w:line="75" w:lineRule="exact"/>
        <w:rPr>
          <w:rFonts w:ascii="Arial" w:cs="Arial" w:eastAsia="Arial" w:hAnsi="Arial"/>
          <w:sz w:val="18"/>
          <w:szCs w:val="18"/>
          <w:color w:val="auto"/>
        </w:rPr>
      </w:pPr>
    </w:p>
    <w:p>
      <w:pPr>
        <w:ind w:firstLine="996"/>
        <w:spacing w:after="0" w:line="283" w:lineRule="auto"/>
        <w:tabs>
          <w:tab w:leader="none" w:pos="1247" w:val="left"/>
        </w:tabs>
        <w:numPr>
          <w:ilvl w:val="1"/>
          <w:numId w:val="21"/>
        </w:numPr>
        <w:rPr>
          <w:rFonts w:ascii="Arial" w:cs="Arial" w:eastAsia="Arial" w:hAnsi="Arial"/>
          <w:sz w:val="16"/>
          <w:szCs w:val="16"/>
          <w:color w:val="auto"/>
        </w:rPr>
      </w:pPr>
      <w:r>
        <w:rPr>
          <w:rFonts w:ascii="Arial" w:cs="Arial" w:eastAsia="Arial" w:hAnsi="Arial"/>
          <w:sz w:val="16"/>
          <w:szCs w:val="16"/>
          <w:color w:val="auto"/>
        </w:rPr>
        <w:t>Without qualification, for a stockholder to make any nomination of a person or persons for election to the Board at an annual meeting, the stockholder must (i) provide Timely Notice (as defined in Section 2.4(b) of these bylaws) thereof in writing and in proper form to the secretary of the Corporation and (ii) provide any updates or supplements to such notice at the times and in the forms required by this Section 2.5. Notwithstanding anything in this paragraph to the contrary, in the event that the number of directors to be elected to the Board at an annual meeting is increased effective after the time period for which nominations would otherwise by due under this paragraph (b) and there is no public announcement by the Corporation naming the nominees for the additional directorships at least one hundred (100) days prior to the first anniversary of the preceding year’s annual meeting, a stockholder’s notice required by paragraph (b) of this Section 2.5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 Without qualification, if the election of directors is a matter specified in the notice of meeting given by or at the direction of the person calling such special meeting, then for a stockholder to make any nomination of a person or persons for election to such position(s) as specified in the notice of the special meeting, the stockholder must</w:t>
      </w:r>
    </w:p>
    <w:p>
      <w:pPr>
        <w:spacing w:after="0" w:line="4" w:lineRule="exact"/>
        <w:rPr>
          <w:rFonts w:ascii="Arial" w:cs="Arial" w:eastAsia="Arial" w:hAnsi="Arial"/>
          <w:sz w:val="16"/>
          <w:szCs w:val="16"/>
          <w:color w:val="auto"/>
        </w:rPr>
      </w:pPr>
    </w:p>
    <w:p>
      <w:pPr>
        <w:ind w:left="220" w:hanging="216"/>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timely notice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1" w:name="page22"/>
    <w:bookmarkEnd w:id="2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thereof in writing and in proper form to the secretary of the Corporation at the principal executive offices of the Corporation and (ii)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such special meeting and not later than the later of the close of business on the ninetieth</w:t>
      </w:r>
    </w:p>
    <w:p>
      <w:pPr>
        <w:ind w:right="360"/>
        <w:spacing w:after="0" w:line="254" w:lineRule="auto"/>
        <w:rPr>
          <w:sz w:val="20"/>
          <w:szCs w:val="20"/>
          <w:color w:val="auto"/>
        </w:rPr>
      </w:pPr>
      <w:r>
        <w:rPr>
          <w:rFonts w:ascii="Arial" w:cs="Arial" w:eastAsia="Arial" w:hAnsi="Arial"/>
          <w:sz w:val="18"/>
          <w:szCs w:val="18"/>
          <w:color w:val="auto"/>
        </w:rPr>
        <w:t>(90</w:t>
      </w:r>
      <w:r>
        <w:rPr>
          <w:rFonts w:ascii="Arial" w:cs="Arial" w:eastAsia="Arial" w:hAnsi="Arial"/>
          <w:sz w:val="15"/>
          <w:szCs w:val="15"/>
          <w:color w:val="auto"/>
        </w:rPr>
        <w:t>th</w:t>
      </w:r>
      <w:r>
        <w:rPr>
          <w:rFonts w:ascii="Arial" w:cs="Arial" w:eastAsia="Arial" w:hAnsi="Arial"/>
          <w:sz w:val="18"/>
          <w:szCs w:val="18"/>
          <w:color w:val="auto"/>
        </w:rPr>
        <w:t>) day prior to such special meeting and the close of business on the tenth (10</w:t>
      </w:r>
      <w:r>
        <w:rPr>
          <w:rFonts w:ascii="Arial" w:cs="Arial" w:eastAsia="Arial" w:hAnsi="Arial"/>
          <w:sz w:val="15"/>
          <w:szCs w:val="15"/>
          <w:color w:val="auto"/>
        </w:rPr>
        <w:t>th</w:t>
      </w:r>
      <w:r>
        <w:rPr>
          <w:rFonts w:ascii="Arial" w:cs="Arial" w:eastAsia="Arial" w:hAnsi="Arial"/>
          <w:sz w:val="18"/>
          <w:szCs w:val="18"/>
          <w:color w:val="auto"/>
        </w:rPr>
        <w:t>) day following the day on which public disclosure (as defined in Section 2.4(i) of these bylaws) of the date of such special meeting was first made. In no event shall any adjournment or postponement of an annual meeting or special meeting or the announcement thereof commence a new time period (or extend any time period) for the giving of a stockholder’s notice as described above.</w:t>
      </w:r>
    </w:p>
    <w:p>
      <w:pPr>
        <w:spacing w:after="0" w:line="83" w:lineRule="exact"/>
        <w:rPr>
          <w:sz w:val="20"/>
          <w:szCs w:val="20"/>
          <w:color w:val="auto"/>
        </w:rPr>
      </w:pPr>
    </w:p>
    <w:p>
      <w:pPr>
        <w:ind w:left="1240" w:hanging="244"/>
        <w:spacing w:after="0"/>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be in proper form for purposes of this Section 2.5, a stockholder’s notice to the secretary of the Corporation shall set forth:</w:t>
      </w:r>
    </w:p>
    <w:p>
      <w:pPr>
        <w:spacing w:after="0" w:line="128" w:lineRule="exact"/>
        <w:rPr>
          <w:rFonts w:ascii="Arial" w:cs="Arial" w:eastAsia="Arial" w:hAnsi="Arial"/>
          <w:sz w:val="17"/>
          <w:szCs w:val="17"/>
          <w:color w:val="auto"/>
        </w:rPr>
      </w:pPr>
    </w:p>
    <w:p>
      <w:pPr>
        <w:ind w:left="1000" w:right="220" w:firstLine="397"/>
        <w:spacing w:after="0" w:line="264" w:lineRule="auto"/>
        <w:tabs>
          <w:tab w:leader="none" w:pos="1616" w:val="left"/>
        </w:tabs>
        <w:numPr>
          <w:ilvl w:val="1"/>
          <w:numId w:val="23"/>
        </w:numPr>
        <w:rPr>
          <w:rFonts w:ascii="Arial" w:cs="Arial" w:eastAsia="Arial" w:hAnsi="Arial"/>
          <w:sz w:val="18"/>
          <w:szCs w:val="18"/>
          <w:color w:val="auto"/>
        </w:rPr>
      </w:pPr>
      <w:r>
        <w:rPr>
          <w:rFonts w:ascii="Arial" w:cs="Arial" w:eastAsia="Arial" w:hAnsi="Arial"/>
          <w:sz w:val="18"/>
          <w:szCs w:val="18"/>
          <w:color w:val="auto"/>
        </w:rPr>
        <w:t>As to each Nominating Person (as defined below), the Stockholder Information (as defined in Section 2.4(c)(i) of these bylaws) except that for purposes of this Section 2.5, the term “Nominating Person” shall be substituted for the term “Proposing Person” in all places it appears in Section 2.4(c)(i);</w:t>
      </w:r>
    </w:p>
    <w:p>
      <w:pPr>
        <w:spacing w:after="0" w:line="73" w:lineRule="exact"/>
        <w:rPr>
          <w:rFonts w:ascii="Arial" w:cs="Arial" w:eastAsia="Arial" w:hAnsi="Arial"/>
          <w:sz w:val="18"/>
          <w:szCs w:val="18"/>
          <w:color w:val="auto"/>
        </w:rPr>
      </w:pPr>
    </w:p>
    <w:p>
      <w:pPr>
        <w:ind w:left="1000" w:right="80" w:firstLine="397"/>
        <w:spacing w:after="0" w:line="273" w:lineRule="auto"/>
        <w:tabs>
          <w:tab w:leader="none" w:pos="1666" w:val="left"/>
        </w:tabs>
        <w:numPr>
          <w:ilvl w:val="1"/>
          <w:numId w:val="23"/>
        </w:numPr>
        <w:rPr>
          <w:rFonts w:ascii="Arial" w:cs="Arial" w:eastAsia="Arial" w:hAnsi="Arial"/>
          <w:sz w:val="17"/>
          <w:szCs w:val="17"/>
          <w:color w:val="auto"/>
        </w:rPr>
      </w:pPr>
      <w:r>
        <w:rPr>
          <w:rFonts w:ascii="Arial" w:cs="Arial" w:eastAsia="Arial" w:hAnsi="Arial"/>
          <w:sz w:val="17"/>
          <w:szCs w:val="17"/>
          <w:color w:val="auto"/>
        </w:rPr>
        <w:t xml:space="preserve">As to each Nominating Person, any Disclosable Interests (as defined in Section 2.4(c)(ii), except that for purposes of this Section 2.5 the term “Nominating Person” shall be substituted for the term “Proposing Person” in all places it appears in Section 2.4(c)(ii) and the disclosure in clause (L) of Section 2.4(c)(ii) shall be made with respect to the election of directors at the meeting)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Disclosable Interests shall not include any such disclosures with respect to the ordinary course business activities of any</w:t>
      </w:r>
      <w:r>
        <w:rPr>
          <w:rFonts w:ascii="Arial" w:cs="Arial" w:eastAsia="Arial" w:hAnsi="Arial"/>
          <w:sz w:val="17"/>
          <w:szCs w:val="17"/>
          <w:i w:val="1"/>
          <w:iCs w:val="1"/>
          <w:color w:val="auto"/>
        </w:rPr>
        <w:t xml:space="preserve"> </w:t>
      </w:r>
      <w:r>
        <w:rPr>
          <w:rFonts w:ascii="Arial" w:cs="Arial" w:eastAsia="Arial" w:hAnsi="Arial"/>
          <w:sz w:val="17"/>
          <w:szCs w:val="17"/>
          <w:color w:val="auto"/>
        </w:rPr>
        <w:t>broker, dealer, commercial bank, trust company or other nominee who is a Nominating Person solely as a result of being the stockholder directed to prepare and submit the notice required by these bylaws on behalf of a beneficial owner; and;</w:t>
      </w:r>
    </w:p>
    <w:p>
      <w:pPr>
        <w:spacing w:after="0" w:line="70" w:lineRule="exact"/>
        <w:rPr>
          <w:rFonts w:ascii="Arial" w:cs="Arial" w:eastAsia="Arial" w:hAnsi="Arial"/>
          <w:sz w:val="17"/>
          <w:szCs w:val="17"/>
          <w:color w:val="auto"/>
        </w:rPr>
      </w:pPr>
    </w:p>
    <w:p>
      <w:pPr>
        <w:ind w:left="1000" w:right="20" w:firstLine="397"/>
        <w:spacing w:after="0" w:line="272" w:lineRule="auto"/>
        <w:tabs>
          <w:tab w:leader="none" w:pos="1716" w:val="left"/>
        </w:tabs>
        <w:numPr>
          <w:ilvl w:val="1"/>
          <w:numId w:val="23"/>
        </w:numPr>
        <w:rPr>
          <w:rFonts w:ascii="Arial" w:cs="Arial" w:eastAsia="Arial" w:hAnsi="Arial"/>
          <w:sz w:val="17"/>
          <w:szCs w:val="17"/>
          <w:color w:val="auto"/>
        </w:rPr>
      </w:pPr>
      <w:r>
        <w:rPr>
          <w:rFonts w:ascii="Arial" w:cs="Arial" w:eastAsia="Arial" w:hAnsi="Arial"/>
          <w:sz w:val="17"/>
          <w:szCs w:val="17"/>
          <w:color w:val="auto"/>
        </w:rPr>
        <w:t>As to each person whom a Nominating Person proposes to nominate for election as a director, (A) all information with respect to such proposed nominee that would be required to be set forth in a stockholder’s notice pursuant to this Section 2.5 if such proposed nominee were a Nominating Person, (B) 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(including, without limitation, such proposed nominee’s written consent to being named in the proxy statement as a nominee and to serving as a director if elected), (C) a description of all direct and indirect compensation and other material monetary agreements, arrangements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2" w:name="page23"/>
    <w:bookmarkEnd w:id="22"/>
    <w:p>
      <w:pPr>
        <w:ind w:left="980"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understandings during the past three (3) years, and any other material relationships, between or among any Nominating Person, on the one hand, and each proposed nominee, his or her respective affiliates and associates and any other persons with whom such proposed nominee (or any of his or her respective affiliates and associates) is Acting in Concert (as defined in Section 2.4(e) of these bylaws), on the other hand, including, without limitation, all information that would be required to be disclosed pursuant to Item 404 under Regulation S-K if such Nominating Person were the “registrant” for purposes of such rule and the proposed nominee were a director or executive officer of such registrant (the disclosures to be made pursuant to the foregoing clauses (A) through (C) are referred to as “</w:t>
      </w:r>
      <w:r>
        <w:rPr>
          <w:rFonts w:ascii="Arial" w:cs="Arial" w:eastAsia="Arial" w:hAnsi="Arial"/>
          <w:sz w:val="16"/>
          <w:szCs w:val="16"/>
          <w:u w:val="single" w:color="auto"/>
          <w:color w:val="auto"/>
        </w:rPr>
        <w:t>Nominee Information</w:t>
      </w:r>
      <w:r>
        <w:rPr>
          <w:rFonts w:ascii="Arial" w:cs="Arial" w:eastAsia="Arial" w:hAnsi="Arial"/>
          <w:sz w:val="16"/>
          <w:szCs w:val="16"/>
          <w:color w:val="auto"/>
        </w:rPr>
        <w:t>”),</w:t>
      </w:r>
    </w:p>
    <w:p>
      <w:pPr>
        <w:spacing w:after="0" w:line="5" w:lineRule="exact"/>
        <w:rPr>
          <w:sz w:val="20"/>
          <w:szCs w:val="20"/>
          <w:color w:val="auto"/>
        </w:rPr>
      </w:pPr>
    </w:p>
    <w:p>
      <w:pPr>
        <w:ind w:left="980" w:right="40" w:hanging="4"/>
        <w:spacing w:after="0" w:line="292" w:lineRule="auto"/>
        <w:tabs>
          <w:tab w:leader="none" w:pos="12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representation that the Nominating Person is a holder of record of stock of the Corporation entitled to vote at such meeting and intends to appear in person or by proxy at the meeting to propose such nomination, (E) a representation whether the Nominating Person intends or is part of a group which intends (1) to deliver a proxy statement and/or form of proxy to holders of at least the percentage of the Corporation’s outstanding capital stock required to elect the nominee and/or (2) otherwise to solicit proxies or votes from stockholders in support of such nomination and (F) a completed and signed questionnaire, representation and agreement as provided in Section 2.5(g); and</w:t>
      </w:r>
    </w:p>
    <w:p>
      <w:pPr>
        <w:spacing w:after="0" w:line="54" w:lineRule="exact"/>
        <w:rPr>
          <w:rFonts w:ascii="Arial" w:cs="Arial" w:eastAsia="Arial" w:hAnsi="Arial"/>
          <w:sz w:val="16"/>
          <w:szCs w:val="16"/>
          <w:color w:val="auto"/>
        </w:rPr>
      </w:pPr>
    </w:p>
    <w:p>
      <w:pPr>
        <w:ind w:left="980" w:right="100" w:firstLine="397"/>
        <w:spacing w:after="0" w:line="259" w:lineRule="auto"/>
        <w:tabs>
          <w:tab w:leader="none" w:pos="1686"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Corporation may require any proposed nominee to furnish such other information (A) as may reasonably be required by the Corporation to determine the eligibility of such proposed nominee to serve as an independent director of the Corporation in accordance with the Corporation’s Corporate Governance Guidelines or (B) that could be material to a reasonable stockholder’s understanding of the independence or lack of independence of such proposed nominee.</w:t>
      </w:r>
    </w:p>
    <w:p>
      <w:pPr>
        <w:spacing w:after="0" w:line="79" w:lineRule="exact"/>
        <w:rPr>
          <w:sz w:val="20"/>
          <w:szCs w:val="20"/>
          <w:color w:val="auto"/>
        </w:rPr>
      </w:pPr>
    </w:p>
    <w:p>
      <w:pPr>
        <w:ind w:left="-20" w:right="20" w:firstLine="996"/>
        <w:spacing w:after="0" w:line="279" w:lineRule="auto"/>
        <w:tabs>
          <w:tab w:leader="none" w:pos="1227" w:val="left"/>
        </w:tabs>
        <w:numPr>
          <w:ilvl w:val="0"/>
          <w:numId w:val="25"/>
        </w:numPr>
        <w:rPr>
          <w:rFonts w:ascii="Arial" w:cs="Arial" w:eastAsia="Arial" w:hAnsi="Arial"/>
          <w:sz w:val="17"/>
          <w:szCs w:val="17"/>
          <w:color w:val="auto"/>
        </w:rPr>
      </w:pPr>
      <w:r>
        <w:rPr>
          <w:rFonts w:ascii="Arial" w:cs="Arial" w:eastAsia="Arial" w:hAnsi="Arial"/>
          <w:sz w:val="17"/>
          <w:szCs w:val="17"/>
          <w:color w:val="auto"/>
        </w:rPr>
        <w:t>For purposes of this Section 2.5, the term “</w:t>
      </w:r>
      <w:r>
        <w:rPr>
          <w:rFonts w:ascii="Arial" w:cs="Arial" w:eastAsia="Arial" w:hAnsi="Arial"/>
          <w:sz w:val="17"/>
          <w:szCs w:val="17"/>
          <w:u w:val="single" w:color="auto"/>
          <w:color w:val="auto"/>
        </w:rPr>
        <w:t>Nominating Person</w:t>
      </w:r>
      <w:r>
        <w:rPr>
          <w:rFonts w:ascii="Arial" w:cs="Arial" w:eastAsia="Arial" w:hAnsi="Arial"/>
          <w:sz w:val="17"/>
          <w:szCs w:val="17"/>
          <w:color w:val="auto"/>
        </w:rPr>
        <w:t>” shall mean (i) the stockholder providing the notice of the nomination proposed to be made at the meeting, (ii) the beneficial owner or beneficial owners, if different, on whose behalf the notice of the nomination proposed to be made at the meeting is made, (iii) any affiliate or associate of such stockholder or beneficial owner and (iv) any other person with whom such stockholder or such beneficial owner (or any of their respective affiliates or associates) is Acting in Concert.</w:t>
      </w:r>
    </w:p>
    <w:p>
      <w:pPr>
        <w:spacing w:after="0" w:line="63" w:lineRule="exact"/>
        <w:rPr>
          <w:rFonts w:ascii="Arial" w:cs="Arial" w:eastAsia="Arial" w:hAnsi="Arial"/>
          <w:sz w:val="17"/>
          <w:szCs w:val="17"/>
          <w:color w:val="auto"/>
        </w:rPr>
      </w:pPr>
    </w:p>
    <w:p>
      <w:pPr>
        <w:ind w:left="-20" w:firstLine="996"/>
        <w:spacing w:after="0" w:line="297" w:lineRule="auto"/>
        <w:tabs>
          <w:tab w:leader="none" w:pos="1217"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determining stockholders entitled to notice of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determining stockholders entitled to</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60" w:top="274" w:right="439" w:bottom="1440" w:gutter="0" w:footer="0" w:header="0"/>
        </w:sectPr>
      </w:pPr>
    </w:p>
    <w:bookmarkStart w:id="23" w:name="page24"/>
    <w:bookmarkEnd w:id="23"/>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the meeting (in the case of the update and supplement required to be made as of the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79" w:lineRule="exact"/>
        <w:rPr>
          <w:sz w:val="20"/>
          <w:szCs w:val="20"/>
          <w:color w:val="auto"/>
        </w:rPr>
      </w:pPr>
    </w:p>
    <w:p>
      <w:pPr>
        <w:ind w:firstLine="996"/>
        <w:spacing w:after="0" w:line="291" w:lineRule="auto"/>
        <w:tabs>
          <w:tab w:leader="none" w:pos="1217" w:val="left"/>
        </w:tabs>
        <w:numPr>
          <w:ilvl w:val="1"/>
          <w:numId w:val="26"/>
        </w:numPr>
        <w:rPr>
          <w:rFonts w:ascii="Arial" w:cs="Arial" w:eastAsia="Arial" w:hAnsi="Arial"/>
          <w:sz w:val="16"/>
          <w:szCs w:val="16"/>
          <w:color w:val="auto"/>
        </w:rPr>
      </w:pPr>
      <w:r>
        <w:rPr>
          <w:rFonts w:ascii="Arial" w:cs="Arial" w:eastAsia="Arial" w:hAnsi="Arial"/>
          <w:sz w:val="16"/>
          <w:szCs w:val="16"/>
          <w:color w:val="auto"/>
        </w:rPr>
        <w:t>Notwithstanding anything in these bylaws to the contrary, no person shall be eligible for election as a director of the Corporation unless nominated in accordance with this Section 2.5, except as otherwise expressly provided in any applicable rule or regulation promulgated under the Exchange Act. The presiding officer at any meeting of stockholders shall have the power and duty to (a) determine that a nomination was not properly made in accordance with this Section 2.5 (including whether the stockholder or beneficial owner, if any, on whose behalf the nomination was made, solicited or is part of a group which solicited) or did not so solicit, as the case may be, proxies or votes in support of such stockholder’s nomination in compliance with such stockholder’s representation as required by clause (c)(iii)(E) of this Section 2.5); and (b) if any proposed nomination was not made in compliance with this Section 2.5 to declare such determination to the meeting that the defective nomination shall be disregarded.</w:t>
      </w:r>
    </w:p>
    <w:p>
      <w:pPr>
        <w:spacing w:after="0" w:line="59" w:lineRule="exact"/>
        <w:rPr>
          <w:rFonts w:ascii="Arial" w:cs="Arial" w:eastAsia="Arial" w:hAnsi="Arial"/>
          <w:sz w:val="16"/>
          <w:szCs w:val="16"/>
          <w:color w:val="auto"/>
        </w:rPr>
      </w:pPr>
    </w:p>
    <w:p>
      <w:pPr>
        <w:ind w:right="40" w:firstLine="996"/>
        <w:spacing w:after="0" w:line="284" w:lineRule="auto"/>
        <w:tabs>
          <w:tab w:leader="none" w:pos="1247" w:val="left"/>
        </w:tabs>
        <w:numPr>
          <w:ilvl w:val="1"/>
          <w:numId w:val="26"/>
        </w:numPr>
        <w:rPr>
          <w:rFonts w:ascii="Arial" w:cs="Arial" w:eastAsia="Arial" w:hAnsi="Arial"/>
          <w:sz w:val="16"/>
          <w:szCs w:val="16"/>
          <w:color w:val="auto"/>
        </w:rPr>
      </w:pPr>
      <w:r>
        <w:rPr>
          <w:rFonts w:ascii="Arial" w:cs="Arial" w:eastAsia="Arial" w:hAnsi="Arial"/>
          <w:sz w:val="16"/>
          <w:szCs w:val="16"/>
          <w:color w:val="auto"/>
        </w:rPr>
        <w:t>To be eligible to be a nominee for election as a director of the Corporation, the proposed nominee must deliver (in accordance with the time periods prescribed for delivery of notice under this Section 2.5) to the secretary of the Corporation at the principal executive offices of the Corporation a written questionnaire with respect to the background and qualification of such proposed nominee (which questionnaire shall be provided by the secretary upon written request) and a written representation and agreement (in form provided by the secretary upon written request) that such proposed nominee (i) is not and will not become a party to (A) any agreement, arrangement or understanding with, and has not given any commitment or assurance to, any person or entity as to how such proposed nominee, if elected as a director of the Corporation, will act or vote on any issue or question (a “</w:t>
      </w:r>
      <w:r>
        <w:rPr>
          <w:rFonts w:ascii="Arial" w:cs="Arial" w:eastAsia="Arial" w:hAnsi="Arial"/>
          <w:sz w:val="16"/>
          <w:szCs w:val="16"/>
          <w:u w:val="single" w:color="auto"/>
          <w:color w:val="auto"/>
        </w:rPr>
        <w:t>Voting Commitment</w:t>
      </w:r>
      <w:r>
        <w:rPr>
          <w:rFonts w:ascii="Arial" w:cs="Arial" w:eastAsia="Arial" w:hAnsi="Arial"/>
          <w:sz w:val="16"/>
          <w:szCs w:val="16"/>
          <w:color w:val="auto"/>
        </w:rPr>
        <w:t>”) that has not been disclosed to the Corporation or (B) any Voting Commitment that could limit or interfere with such proposed nominee’s ability to comply, if elected as a director of the Corporation, with such proposed nominee’s fiduciary duties under applicable law,</w:t>
      </w:r>
    </w:p>
    <w:p>
      <w:pPr>
        <w:spacing w:after="0" w:line="1" w:lineRule="exact"/>
        <w:rPr>
          <w:rFonts w:ascii="Arial" w:cs="Arial" w:eastAsia="Arial" w:hAnsi="Arial"/>
          <w:sz w:val="16"/>
          <w:szCs w:val="16"/>
          <w:color w:val="auto"/>
        </w:rPr>
      </w:pPr>
    </w:p>
    <w:p>
      <w:pPr>
        <w:ind w:right="160" w:firstLine="4"/>
        <w:spacing w:after="0" w:line="252" w:lineRule="auto"/>
        <w:tabs>
          <w:tab w:leader="none" w:pos="2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not, and will not become a party to, any agreement, arrangement or understanding with any person or entity other than the Corporation with respect to any direct or indirect compensation, reimbursement or indemnification in connection with candidacy, service or action as a director that has not been disclosed to the Corporation and (iii) in such proposed nominee’s individual capacity and on behalf of the stockholder (and the beneficial owner, if different, on whose behalf the nomination is made) would be in compliance, if elected as a director of the Corporation, and will comply with applicable publicly disclosed corporate governance, conflict of interest, confidentiality and stock ownership and trading policies and guidelines of the Corporation.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24" w:name="page25"/>
    <w:bookmarkEnd w:id="24"/>
    <w:p>
      <w:pPr>
        <w:ind w:right="140" w:firstLine="996"/>
        <w:spacing w:after="0" w:line="277" w:lineRule="auto"/>
        <w:tabs>
          <w:tab w:leader="none" w:pos="1247"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 requirements of this Section 2.5 with respect to any nomination proposed to be made at a meeting, each Nominating Person shall comply with all applicable requirements of the Exchange Act with respect to any such nominations.</w:t>
      </w:r>
    </w:p>
    <w:p>
      <w:pPr>
        <w:spacing w:after="0" w:line="62" w:lineRule="exact"/>
        <w:rPr>
          <w:rFonts w:ascii="Arial" w:cs="Arial" w:eastAsia="Arial" w:hAnsi="Arial"/>
          <w:sz w:val="18"/>
          <w:szCs w:val="18"/>
          <w:color w:val="auto"/>
        </w:rPr>
      </w:pPr>
    </w:p>
    <w:p>
      <w:pPr>
        <w:ind w:firstLine="996"/>
        <w:spacing w:after="0" w:line="255" w:lineRule="auto"/>
        <w:tabs>
          <w:tab w:leader="none" w:pos="1207"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2.5, unless otherwise required by law, if the stockholder (or a qualified representative of the stockholder) does not appear at the meeting to present the proposed nomination, such proposed nomination shall not be considered, notwithstanding that proxies in respect of such vote may have been received by the Corporation. For purposes of this Section 2.5,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2.6 NOTICE OF STOCKHOLDERS’ MEETINGS.</w:t>
      </w:r>
    </w:p>
    <w:p>
      <w:pPr>
        <w:spacing w:after="0" w:line="11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Unless otherwise provided by law, the certificate of incorporation or these bylaws, the notice of any meeting of stockholders shall be given in accordance with either Section 2.7 or Section 8.1 of these bylaws not less than ten (10) nor more than sixty (60) days before the date of the meeting to each stockholder entitled to vote at such meeting as of the record date for determining the stockholders entitled to notice of the meeting. The notice shall specify the place, if any, date and hour of the meeting, the record date for determining the stockholders entitled to vote at the meeting (if such date is different from the record date for stockholders entitled to notice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2.7 MANNER OF GIVING NOTICE; AFFIDAVIT OF NOTICE.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of any meeting of stockholders shall be deemed given:</w:t>
      </w:r>
    </w:p>
    <w:p>
      <w:pPr>
        <w:spacing w:after="0" w:line="117" w:lineRule="exact"/>
        <w:rPr>
          <w:sz w:val="20"/>
          <w:szCs w:val="20"/>
          <w:color w:val="auto"/>
        </w:rPr>
      </w:pPr>
    </w:p>
    <w:p>
      <w:pPr>
        <w:ind w:right="380" w:firstLine="996"/>
        <w:spacing w:after="0" w:line="277" w:lineRule="auto"/>
        <w:tabs>
          <w:tab w:leader="none" w:pos="123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mailed, when deposited in the United States mail, postage prepaid, directed to the stockholder at such stockholder’s address as it appears on the Corporation’s records; or</w:t>
      </w:r>
    </w:p>
    <w:p>
      <w:pPr>
        <w:spacing w:after="0" w:line="62" w:lineRule="exact"/>
        <w:rPr>
          <w:rFonts w:ascii="Arial" w:cs="Arial" w:eastAsia="Arial" w:hAnsi="Arial"/>
          <w:sz w:val="18"/>
          <w:szCs w:val="18"/>
          <w:color w:val="auto"/>
        </w:rPr>
      </w:pPr>
    </w:p>
    <w:p>
      <w:pPr>
        <w:ind w:left="1260" w:hanging="264"/>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electronically transmitted, as provided in Section 8.1 of these bylaws.</w:t>
      </w:r>
    </w:p>
    <w:p>
      <w:pPr>
        <w:spacing w:after="0" w:line="225"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An affidavit of the secretary or an assistant secretary of the Corporation or of the transfer agent or any other agent of the Corporation that the notice has been given by mail or by a form of electronic transmission, as applicable, shall, in the absence of fraud, be prima facie evidence of the facts stated therein.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5" w:name="page26"/>
    <w:bookmarkEnd w:id="2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2.8 QUORUM.</w:t>
      </w:r>
    </w:p>
    <w:p>
      <w:pPr>
        <w:spacing w:after="0" w:line="117"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Unless otherwise provided by law, the certificate of incorporation or these bylaws, the holders of a majority in voting power of the capital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(a) the chairperson of the meeting or (b) a majority in voting power of the stockholders entitled to vote thereon, present in person, or by remote communication, if applicable, or represented by proxy, shall have power to adjourn the meeting from time to time in the manner provided in Section 2.9 of these bylaws until a quorum is present or represented. At such adjourned meeting at which a quorum is present or represented, any business may be transacted that might have been transacted at the meeting as originally noticed.</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2.9 ADJOURNED MEETING; NOTICE.</w:t>
      </w:r>
    </w:p>
    <w:p>
      <w:pPr>
        <w:spacing w:after="0" w:line="117"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for determining the stockholders entitled to vote is fixed for the adjourned meeting, a notice of the adjourned meeting shall be given to each stockholder of record entitled to vote at the adjourned meeting as of the record date for determining the stockholders entitled to notice of the adjourned meeting.</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2.10 CONDUCT OF BUSINESS.</w:t>
      </w:r>
    </w:p>
    <w:p>
      <w:pPr>
        <w:spacing w:after="0" w:line="117"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(a) the establishment of an agenda or order of business for the meeting;</w:t>
      </w:r>
    </w:p>
    <w:p>
      <w:pPr>
        <w:spacing w:after="0" w:line="3" w:lineRule="exact"/>
        <w:rPr>
          <w:sz w:val="20"/>
          <w:szCs w:val="20"/>
          <w:color w:val="auto"/>
        </w:rPr>
      </w:pPr>
    </w:p>
    <w:p>
      <w:pPr>
        <w:ind w:right="360" w:firstLine="4"/>
        <w:spacing w:after="0" w:line="261"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rules and procedures for maintaining order at the meeting and the safety of those present (including, without limitation, rules and procedures for removal of disruptive persons from the meeting); (c)</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6" w:name="page27"/>
    <w:bookmarkEnd w:id="26"/>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2.11 VOTING.</w:t>
      </w:r>
    </w:p>
    <w:p>
      <w:pPr>
        <w:spacing w:after="0" w:line="117"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The stockholders entitled to vote at any meeting of stockholders shall be determined in accordance with the provisions of Section 2.13 of these bylaws, subject to Section 217 (relating to voting rights of fiduciaries, pledgors and joint owners of stock) and Section 218 (relating to voting trusts and other voting agreements) of the DGCL.</w:t>
      </w:r>
    </w:p>
    <w:p>
      <w:pPr>
        <w:spacing w:after="0" w:line="18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Except as may be otherwise provided in the certificate of incorporation or these bylaws, each stockholder shall be entitled to one (1) vote for each share of capital stock held by such stockholder.</w:t>
      </w:r>
    </w:p>
    <w:p>
      <w:pPr>
        <w:spacing w:after="0" w:line="170"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At all duly called or convened meetings of stockholders, at which a quorum is present, for the election of directors, a plurality of the votes cast shall be sufficient to elect a director. All other elections and questions presented to the stockholders at a duly called or convened meeting, at which a quorum is present, shall, unless a different or minimum vote is required by the certificate of incorporation, these bylaws, the rules or regulations of any stock exchange applicable to the Corporation, or any law or regulation applicable to the Corporation or its securities, in which case such different or minimum vote shall be the applicable vote on the matter, be decided by the affirmative vote of the holders of a majority in voting power of the votes cast affirmatively or negatively (excluding abstentions) at the meeting by the holders entitled to vote thereon.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2.12 STOCKHOLDER ACTION BY WRITTEN CONSENT WITHOUT A MEETING.</w:t>
      </w:r>
    </w:p>
    <w:p>
      <w:pPr>
        <w:spacing w:after="0" w:line="117"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2.13 RECORD DATE FOR STOCKHOLDER NOTICE; VOTING.</w:t>
      </w:r>
    </w:p>
    <w:p>
      <w:pPr>
        <w:spacing w:after="0" w:line="117"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73"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shall not be more than sixty (60) days prior to such other action. If no such record date is fixed, the record date for determining stockholders for any such purpose shall be at the close of business on the day on which the Board adopts the resolution relating thereto.</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2.14 PROXIES.</w:t>
      </w:r>
    </w:p>
    <w:p>
      <w:pPr>
        <w:spacing w:after="0" w:line="117"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Each stockholder entitled to vote at a meeting of stockholders may authorize another person or persons to act for such stockholder by proxy,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 telegram, cablegram or other means of electronic transmission which sets forth or is submitted with information from which it can be determined that the telegram, cablegram or other means of electronic transmission was authorized by the stockholder.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8" w:name="page29"/>
    <w:bookmarkEnd w:id="2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2.15 LIST OF STOCKHOLDERS ENTITLED TO VOTE.</w:t>
      </w:r>
    </w:p>
    <w:p>
      <w:pPr>
        <w:spacing w:after="0" w:line="117"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The Corporation shall prepare, at least ten (10) days before every meeting of stockholders, a complete list of the stockholders entitled to vote at the meeting (</w:t>
      </w:r>
      <w:r>
        <w:rPr>
          <w:rFonts w:ascii="Arial" w:cs="Arial" w:eastAsia="Arial" w:hAnsi="Arial"/>
          <w:sz w:val="17"/>
          <w:szCs w:val="17"/>
          <w:i w:val="1"/>
          <w:iCs w:val="1"/>
          <w:u w:val="single" w:color="auto"/>
          <w:color w:val="auto"/>
        </w:rPr>
        <w:t>provided, however</w:t>
      </w:r>
      <w:r>
        <w:rPr>
          <w:rFonts w:ascii="Arial" w:cs="Arial" w:eastAsia="Arial" w:hAnsi="Arial"/>
          <w:sz w:val="17"/>
          <w:szCs w:val="17"/>
          <w:color w:val="auto"/>
        </w:rPr>
        <w:t>, if the record date for determining the stockholders entitled to vote is less than ten (10) days before the date of the meeting, the list shall reflect the stockholders entitled to vote as of the tenth day before the date of the meeting),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the meeting, or (b)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the identity of the stockholders entitled to vote in person or by proxy and the number of shares held by each of them, and as to the stockholders entitled to examine the list of stockholders.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2.16 POSTPONEMENT, ADJOURNMENT AND CANCELLATION OF MEETING.</w:t>
      </w:r>
    </w:p>
    <w:p>
      <w:pPr>
        <w:spacing w:after="0" w:line="117"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Any previously scheduled annual or special meeting of the stockholders may be postponed or adjourned, and any previously scheduled annual or special meeting of the stockholders may be canceled, by resolution of the Board.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2.17 INSPECTORS OF ELECTION.</w:t>
      </w:r>
    </w:p>
    <w:p>
      <w:pPr>
        <w:spacing w:after="0" w:line="117"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Before any meeting of stockholders, the Board shall appoint an inspector or inspectors of election to act at the meeting or its adjournment or postponement and make a written report thereof. The number of inspectors shall be either one (1) or three (3). If any person appointed as inspector fails to appear or fails or refuses to act, then the chairperson of the meeting may, and upon the request of any stockholder or a stockholder’s proxy shall, appoint a person to fill that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9" w:name="page30"/>
    <w:bookmarkEnd w:id="29"/>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vacancy. Unless otherwise required by law, inspectors may be officers, employees or agents of the Corporation. Such inspectors shall have the duties prescribed by law. Each inspector, before entering upon the discharge of his or her duties, shall take and sign an oath to execute faithfully the duties of inspector with strict impartiality and according to the best of his or her ability. If there are three (3) inspectors of election, the decision, act or certificate of a majority is effective in all respects as the decision, act or certificate of all. Any report or certificate made by the inspectors of election is prima facie evidence of the facts stated therein.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 DIRECTORS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3.1 POWERS.</w:t>
      </w:r>
    </w:p>
    <w:p>
      <w:pPr>
        <w:spacing w:after="0" w:line="117"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Subject to the provisions of the DGCL and any limitations in the certificate of incorporation, the business and affairs of the Corporation shall be managed and all corporate powers shall be exercised by or under the direction of the Board.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3.2 NUMBER OF DIRECTORS.</w:t>
      </w:r>
    </w:p>
    <w:p>
      <w:pPr>
        <w:spacing w:after="0" w:line="117"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The authorized number of directors shall be determined from time to time by resolution of the Board, provided the Board shall consist of at least one (1) member. No reduction of the authorized number of directors shall have the effect of removing any director before that director’s term of office expires.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3.3 ELECTION, QUALIFICATION AND TERM OF OFFICE OF DIRECTORS.</w:t>
      </w:r>
    </w:p>
    <w:p>
      <w:pPr>
        <w:spacing w:after="0" w:line="11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Except as provided in Section 3.4 of these bylaws, each director, including, without limitation,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Corporation may also have, at the discretion of the Board, a chairperson of the Board and a vice chairperson of the Board. The certificate of incorporation or these bylaws may prescribe other qualifications for directors.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3.4 RESIGNATION AND VACANCIES.</w:t>
      </w:r>
    </w:p>
    <w:p>
      <w:pPr>
        <w:spacing w:after="0" w:line="11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Any director may resign at any time upon notice given in writing or by electronic transmission to the chairperson of the Board or the Corporation’s chief executive officer, president or secretary.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30" w:name="page31"/>
    <w:bookmarkEnd w:id="30"/>
    <w:p>
      <w:pPr>
        <w:ind w:right="40" w:firstLine="44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otherwise provided in the certificate of incorporation or these bylaws, vacancies and newly created directorships resulting from any increase in the authorized number of directors shall, unless the Board determines by resolution that any such vacancies or newly created directorships shall be filled by stockholders, be filled only by a majority of the directors then in office, although less than a quorum, or by a sole remaining director. Any director elected in accordance with the preceding sentence shall hold office for the remainder of the full term of the director for which the vacancy was created or occurred and until such director’s successor shall have been elected and qualified. A vacancy in the Board shall be deemed to exist under these bylaws in the case of the death, removal or resignation of any director.</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3.5 PLACE OF MEETINGS; MEETINGS BY TELEPHONE.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may hold meetings, both regular and special, either within or outside the State of Delaware.</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3.6 REGULAR MEETINGS.</w:t>
      </w:r>
    </w:p>
    <w:p>
      <w:pPr>
        <w:spacing w:after="0" w:line="117"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 xml:space="preserve">Regular meetings of the Board may be held without notice at such time and at such place as shall from time to time be determined by the Board;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any director who is absent when such determination is made shall be given notice of the determination. A regular meeting of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may be held without notice immediately after and at the same place as the annual meeting of stockholders.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3.7 SPECIAL MEETINGS; NOTICE.</w:t>
      </w:r>
    </w:p>
    <w:p>
      <w:pPr>
        <w:spacing w:after="0" w:line="117"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Special meetings of the Board for any purpose or purposes may be called at any time by the chairperson of the Board, the chief executive officer, the president, the secretary or a majority of the authorized number of directors.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117" w:lineRule="exact"/>
        <w:rPr>
          <w:sz w:val="20"/>
          <w:szCs w:val="20"/>
          <w:color w:val="auto"/>
        </w:rPr>
      </w:pPr>
    </w:p>
    <w:p>
      <w:pPr>
        <w:ind w:left="1240" w:hanging="244"/>
        <w:spacing w:after="0"/>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117" w:lineRule="exact"/>
        <w:rPr>
          <w:rFonts w:ascii="Arial" w:cs="Arial" w:eastAsia="Arial" w:hAnsi="Arial"/>
          <w:sz w:val="18"/>
          <w:szCs w:val="18"/>
          <w:color w:val="auto"/>
        </w:rPr>
      </w:pPr>
    </w:p>
    <w:p>
      <w:pPr>
        <w:ind w:left="1260" w:hanging="264"/>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w:t>
      </w:r>
    </w:p>
    <w:p>
      <w:pPr>
        <w:spacing w:after="0" w:line="117" w:lineRule="exact"/>
        <w:rPr>
          <w:rFonts w:ascii="Arial" w:cs="Arial" w:eastAsia="Arial" w:hAnsi="Arial"/>
          <w:sz w:val="18"/>
          <w:szCs w:val="18"/>
          <w:color w:val="auto"/>
        </w:rPr>
      </w:pPr>
    </w:p>
    <w:p>
      <w:pPr>
        <w:ind w:left="1240" w:hanging="244"/>
        <w:spacing w:after="0"/>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sent by facsimile;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1" w:name="page32"/>
    <w:bookmarkEnd w:id="31"/>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 sent by electronic mail, electronic transmission or other similar means,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directed to each director at that director’s address, telephone number, facsimile number or electronic mail or other electronic address, as the case may be, as shown on the Corporation’s records.</w:t>
      </w:r>
    </w:p>
    <w:p>
      <w:pPr>
        <w:spacing w:after="0" w:line="170"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If the notice is (a) delivered personally by hand, by courier or by telephone, (b) sent by facsimile or (c) sent by electronic mail or electronic transmission, it shall be delivered or sent at least twenty-four (24) hours before the time of the holding of the meeting. If the notice is sent by United States mail, it shall be deposited in the United States mail at least four (4) days before the time of the holding of the meeting. Any oral notice may be communicated to the director. The notice need not specify the place of the meeting (if the meeting is to be held at the Corporation’s principal executive office) nor the purpose of the meeting.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 QUORUM.</w:t>
      </w:r>
    </w:p>
    <w:p>
      <w:pPr>
        <w:spacing w:after="0" w:line="117"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The greater of (a) a majority of the directors at any time in office and (b) one-third of the number of directors established by the Board pursuant to Section 3.2 of these bylaws shall constitute a quorum of the Board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3.9 BOARD ACTION BY CONSENT WITHOUT A MEETING.</w:t>
      </w:r>
    </w:p>
    <w:p>
      <w:pPr>
        <w:spacing w:after="0" w:line="117"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3.10 FEES AND COMPENSATION OF DIRECTORS.</w:t>
      </w:r>
    </w:p>
    <w:p>
      <w:pPr>
        <w:spacing w:after="0" w:line="117"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Unless otherwise restricted by the certificate of incorporation or these bylaws, the Board shall have the authority to fix the compensation of directors.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3.11 REMOVAL OF DIRECTORS.</w:t>
      </w:r>
    </w:p>
    <w:p>
      <w:pPr>
        <w:spacing w:after="0" w:line="117" w:lineRule="exact"/>
        <w:rPr>
          <w:sz w:val="20"/>
          <w:szCs w:val="20"/>
          <w:color w:val="auto"/>
        </w:rPr>
      </w:pPr>
    </w:p>
    <w:p>
      <w:pPr>
        <w:jc w:val="both"/>
        <w:ind w:right="240" w:firstLine="441"/>
        <w:spacing w:after="0" w:line="264" w:lineRule="auto"/>
        <w:rPr>
          <w:sz w:val="20"/>
          <w:szCs w:val="20"/>
          <w:color w:val="auto"/>
        </w:rPr>
      </w:pPr>
      <w:r>
        <w:rPr>
          <w:rFonts w:ascii="Arial" w:cs="Arial" w:eastAsia="Arial" w:hAnsi="Arial"/>
          <w:sz w:val="18"/>
          <w:szCs w:val="18"/>
          <w:color w:val="auto"/>
        </w:rPr>
        <w:t>Subject to the rights of the holders of the shares of any series of preferred stock of the Corporation, the Board or any individual director may be removed from office only for cause and only by the affirmative vote of the holders of at least two-thirds in voting power of the outstanding shares of capital stock of the Corporation entitled to vote thereon.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 - COMMITTEES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4.1 COMMITTEES OF DIRECTORS.</w:t>
      </w:r>
    </w:p>
    <w:p>
      <w:pPr>
        <w:spacing w:after="0" w:line="117"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w:t>
      </w:r>
    </w:p>
    <w:p>
      <w:pPr>
        <w:spacing w:after="0" w:line="3" w:lineRule="exact"/>
        <w:rPr>
          <w:sz w:val="20"/>
          <w:szCs w:val="20"/>
          <w:color w:val="auto"/>
        </w:rPr>
      </w:pPr>
    </w:p>
    <w:p>
      <w:pPr>
        <w:ind w:right="140" w:firstLine="4"/>
        <w:spacing w:after="0" w:line="261"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approve or adopt, or recommend to the stockholders, any action or matter (other than the election or removal of directors) expressly required by the DGCL to be submitted to stockholders for approval, or (b) adopt, amend or repeal any bylaw of the Corporation.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4.2 COMMITTEE MINUTES.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committee shall keep regular minutes of its meetings and report the same to the Board when required.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4.3 MEETINGS AND ACTION OF COMMITTEES.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Meetings and actions of committees shall be governed by, and held and taken in accordance with, the provisions of:</w:t>
      </w:r>
    </w:p>
    <w:p>
      <w:pPr>
        <w:spacing w:after="0" w:line="117" w:lineRule="exact"/>
        <w:rPr>
          <w:sz w:val="20"/>
          <w:szCs w:val="20"/>
          <w:color w:val="auto"/>
        </w:rPr>
      </w:pPr>
    </w:p>
    <w:p>
      <w:pPr>
        <w:ind w:left="1240" w:hanging="244"/>
        <w:spacing w:after="0"/>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Section 3.5 of these bylaws (place of meetings and meetings by telephone);</w:t>
      </w:r>
    </w:p>
    <w:p>
      <w:pPr>
        <w:spacing w:after="0" w:line="117" w:lineRule="exact"/>
        <w:rPr>
          <w:rFonts w:ascii="Arial" w:cs="Arial" w:eastAsia="Arial" w:hAnsi="Arial"/>
          <w:sz w:val="18"/>
          <w:szCs w:val="18"/>
          <w:color w:val="auto"/>
        </w:rPr>
      </w:pPr>
    </w:p>
    <w:p>
      <w:pPr>
        <w:ind w:left="1260" w:hanging="264"/>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Section 3.6 of these bylaws (regular meetings);</w:t>
      </w:r>
    </w:p>
    <w:p>
      <w:pPr>
        <w:spacing w:after="0" w:line="117" w:lineRule="exact"/>
        <w:rPr>
          <w:rFonts w:ascii="Arial" w:cs="Arial" w:eastAsia="Arial" w:hAnsi="Arial"/>
          <w:sz w:val="18"/>
          <w:szCs w:val="18"/>
          <w:color w:val="auto"/>
        </w:rPr>
      </w:pPr>
    </w:p>
    <w:p>
      <w:pPr>
        <w:ind w:left="1240" w:hanging="244"/>
        <w:spacing w:after="0"/>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Section 3.7 of these bylaws (special meetings and notice);</w:t>
      </w:r>
    </w:p>
    <w:p>
      <w:pPr>
        <w:spacing w:after="0" w:line="117" w:lineRule="exact"/>
        <w:rPr>
          <w:rFonts w:ascii="Arial" w:cs="Arial" w:eastAsia="Arial" w:hAnsi="Arial"/>
          <w:sz w:val="18"/>
          <w:szCs w:val="18"/>
          <w:color w:val="auto"/>
        </w:rPr>
      </w:pPr>
    </w:p>
    <w:p>
      <w:pPr>
        <w:ind w:left="1260" w:hanging="264"/>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Section 3.8 of these bylaws (quorum);</w:t>
      </w:r>
    </w:p>
    <w:p>
      <w:pPr>
        <w:spacing w:after="0" w:line="117" w:lineRule="exact"/>
        <w:rPr>
          <w:rFonts w:ascii="Arial" w:cs="Arial" w:eastAsia="Arial" w:hAnsi="Arial"/>
          <w:sz w:val="18"/>
          <w:szCs w:val="18"/>
          <w:color w:val="auto"/>
        </w:rPr>
      </w:pPr>
    </w:p>
    <w:p>
      <w:pPr>
        <w:ind w:left="1240" w:hanging="244"/>
        <w:spacing w:after="0"/>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Section 7.12 of these bylaws (waiver of notice);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0" w:right="439" w:bottom="1440" w:gutter="0" w:footer="0" w:header="0"/>
        </w:sectPr>
      </w:pPr>
    </w:p>
    <w:bookmarkStart w:id="33" w:name="page34"/>
    <w:bookmarkEnd w:id="33"/>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 Section 3.9 of these bylaws (action without a meeting),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with such changes in the context of those bylaws as are necessary to substitute the committee and its members for the Board and its members. </w:t>
      </w:r>
      <w:r>
        <w:rPr>
          <w:rFonts w:ascii="Arial" w:cs="Arial" w:eastAsia="Arial" w:hAnsi="Arial"/>
          <w:sz w:val="16"/>
          <w:szCs w:val="16"/>
          <w:i w:val="1"/>
          <w:iCs w:val="1"/>
          <w:color w:val="auto"/>
        </w:rPr>
        <w:t>However</w:t>
      </w:r>
      <w:r>
        <w:rPr>
          <w:rFonts w:ascii="Arial" w:cs="Arial" w:eastAsia="Arial" w:hAnsi="Arial"/>
          <w:sz w:val="16"/>
          <w:szCs w:val="16"/>
          <w:color w:val="auto"/>
        </w:rPr>
        <w:t>:</w:t>
      </w:r>
    </w:p>
    <w:p>
      <w:pPr>
        <w:spacing w:after="0" w:line="140" w:lineRule="exact"/>
        <w:rPr>
          <w:sz w:val="20"/>
          <w:szCs w:val="20"/>
          <w:color w:val="auto"/>
        </w:rPr>
      </w:pPr>
    </w:p>
    <w:p>
      <w:pPr>
        <w:ind w:left="1620" w:hanging="223"/>
        <w:spacing w:after="0"/>
        <w:tabs>
          <w:tab w:leader="none" w:pos="1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time of regular meetings of committees may be determined either by resolution of the Board or by resolution of the committee;</w:t>
      </w:r>
    </w:p>
    <w:p>
      <w:pPr>
        <w:spacing w:after="0" w:line="140" w:lineRule="exact"/>
        <w:rPr>
          <w:rFonts w:ascii="Arial" w:cs="Arial" w:eastAsia="Arial" w:hAnsi="Arial"/>
          <w:sz w:val="16"/>
          <w:szCs w:val="16"/>
          <w:color w:val="auto"/>
        </w:rPr>
      </w:pPr>
    </w:p>
    <w:p>
      <w:pPr>
        <w:ind w:left="1660" w:hanging="263"/>
        <w:spacing w:after="0"/>
        <w:tabs>
          <w:tab w:leader="none" w:pos="1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special meetings of committees may also be called by resolution of the Board; and</w:t>
      </w:r>
    </w:p>
    <w:p>
      <w:pPr>
        <w:spacing w:after="0" w:line="117" w:lineRule="exact"/>
        <w:rPr>
          <w:rFonts w:ascii="Arial" w:cs="Arial" w:eastAsia="Arial" w:hAnsi="Arial"/>
          <w:sz w:val="18"/>
          <w:szCs w:val="18"/>
          <w:color w:val="auto"/>
        </w:rPr>
      </w:pPr>
    </w:p>
    <w:p>
      <w:pPr>
        <w:ind w:left="1000" w:right="200" w:firstLine="397"/>
        <w:spacing w:after="0" w:line="264" w:lineRule="auto"/>
        <w:tabs>
          <w:tab w:leader="none" w:pos="1716"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notice of special meetings of committees shall also be given to all alternate members, who shall have the right to attend all meetings of the committee. The Board may adopt rules for the governance of any committee not inconsistent with the provisions (or any part thereof) of these bylaws.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 OFFICERS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5.1 OFFICERS.</w:t>
      </w:r>
    </w:p>
    <w:p>
      <w:pPr>
        <w:spacing w:after="0" w:line="117" w:lineRule="exact"/>
        <w:rPr>
          <w:sz w:val="20"/>
          <w:szCs w:val="20"/>
          <w:color w:val="auto"/>
        </w:rPr>
      </w:pPr>
    </w:p>
    <w:p>
      <w:pPr>
        <w:ind w:right="360" w:firstLine="441"/>
        <w:spacing w:after="0" w:line="259" w:lineRule="auto"/>
        <w:rPr>
          <w:sz w:val="20"/>
          <w:szCs w:val="20"/>
          <w:color w:val="auto"/>
        </w:rPr>
      </w:pPr>
      <w:r>
        <w:rPr>
          <w:rFonts w:ascii="Arial" w:cs="Arial" w:eastAsia="Arial" w:hAnsi="Arial"/>
          <w:sz w:val="18"/>
          <w:szCs w:val="18"/>
          <w:color w:val="auto"/>
        </w:rPr>
        <w:t>The officers of the Corporation shall be a president and a secretary. The Corporation may also have, at the discretion of the Board, a chief executive officer, a chief financial officer or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5.2 APPOINTMENT OF OFFICERS.</w:t>
      </w:r>
    </w:p>
    <w:p>
      <w:pPr>
        <w:spacing w:after="0" w:line="117" w:lineRule="exact"/>
        <w:rPr>
          <w:sz w:val="20"/>
          <w:szCs w:val="20"/>
          <w:color w:val="auto"/>
        </w:rPr>
      </w:pPr>
    </w:p>
    <w:p>
      <w:pPr>
        <w:jc w:val="both"/>
        <w:ind w:right="60" w:firstLine="441"/>
        <w:spacing w:after="0" w:line="277" w:lineRule="auto"/>
        <w:rPr>
          <w:sz w:val="20"/>
          <w:szCs w:val="20"/>
          <w:color w:val="auto"/>
        </w:rPr>
      </w:pPr>
      <w:r>
        <w:rPr>
          <w:rFonts w:ascii="Arial" w:cs="Arial" w:eastAsia="Arial" w:hAnsi="Arial"/>
          <w:sz w:val="18"/>
          <w:szCs w:val="18"/>
          <w:color w:val="auto"/>
        </w:rPr>
        <w:t>The Board shall appoint the officers of the Corporation, except such officers as may be appointed in accordance with the provisions of Section 5.3 of these bylaws, subject to the rights, if any, of an officer under any contract of employment.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5.3 SUBORDINATE OFFICERS.</w:t>
      </w:r>
    </w:p>
    <w:p>
      <w:pPr>
        <w:spacing w:after="0" w:line="117"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The Board may appoint, or empower the chief executive officer or, in the absence of a chief executive officer, the president, to appoint, such other officers and agents as the business of the Corporation may require. Each of such officers shall hold office for such period, as is provided in these bylaws or as the Board may from time to time determine.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34" w:name="page35"/>
    <w:bookmarkEnd w:id="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5.4 REMOVAL AND RESIGNATION OF OFFICERS.</w:t>
      </w:r>
    </w:p>
    <w:p>
      <w:pPr>
        <w:spacing w:after="0" w:line="117"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Subject to the rights, if any, of an officer under any contract of employment, any officer may be removed, either with or without cause, by the Board at any regular or special meeting of the Board or, except in the case of an officer chosen by the Board, by any officer upon whom such power of removal may be conferred by the Board.</w:t>
      </w:r>
    </w:p>
    <w:p>
      <w:pPr>
        <w:spacing w:after="0" w:line="181" w:lineRule="exact"/>
        <w:rPr>
          <w:sz w:val="20"/>
          <w:szCs w:val="20"/>
          <w:color w:val="auto"/>
        </w:rPr>
      </w:pPr>
    </w:p>
    <w:p>
      <w:pPr>
        <w:jc w:val="both"/>
        <w:ind w:right="60" w:firstLine="441"/>
        <w:spacing w:after="0" w:line="259" w:lineRule="auto"/>
        <w:rPr>
          <w:sz w:val="20"/>
          <w:szCs w:val="20"/>
          <w:color w:val="auto"/>
        </w:rPr>
      </w:pPr>
      <w:r>
        <w:rPr>
          <w:rFonts w:ascii="Arial" w:cs="Arial" w:eastAsia="Arial" w:hAnsi="Arial"/>
          <w:sz w:val="18"/>
          <w:szCs w:val="18"/>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5.5 VACANCIES IN OFFICES.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vacancy occurring in any office of the Corporation shall be filled by the Board or as provided in Section 5.3 of these bylaws.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5.6 REPRESENTATION OF SHARES OF OTHER ENTITIES.</w:t>
      </w:r>
    </w:p>
    <w:p>
      <w:pPr>
        <w:spacing w:after="0" w:line="11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The chairperson of the Board, the president, any vice president, the treasurer, the secretary or assistant secretary of this Corporation, or any other person authorized by the Board or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5.7 AUTHORITY AND DUTIES OF OFFICERS.</w:t>
      </w:r>
    </w:p>
    <w:p>
      <w:pPr>
        <w:spacing w:after="0" w:line="117"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All officers of the Corporation shall respectively have such authority and perform such duties in the management of the business of the Corporation as may be designated from time to time by the Board and, to the extent not so provided, as generally pertain to their respective offices, subject to the control of the Board.</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 - RECORDS AND REPORTS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6.1 MAINTENANCE OF RECORDS.</w:t>
      </w:r>
    </w:p>
    <w:p>
      <w:pPr>
        <w:spacing w:after="0" w:line="11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Subject to applicable law, the Corporation shall, either at its principal executive office or at such place or places as designated by the Board, keep a record of its stockholders listing their names and addresses and the number and class of shares held by each stockholder, a copy of these bylaws as amended to date, accounting books and other records.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0"/>
          </w:cols>
          <w:pgMar w:left="440" w:top="274" w:right="559" w:bottom="1440" w:gutter="0" w:footer="0" w:header="0"/>
        </w:sectPr>
      </w:pPr>
    </w:p>
    <w:bookmarkStart w:id="35" w:name="page36"/>
    <w:bookmarkEnd w:id="35"/>
    <w:p>
      <w:pPr>
        <w:ind w:left="3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 - GENERAL MATTERS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7.1 EXECUTION OF CORPORATE CONTRACTS AND INSTRUMENTS.</w:t>
      </w:r>
    </w:p>
    <w:p>
      <w:pPr>
        <w:spacing w:after="0" w:line="117" w:lineRule="exact"/>
        <w:rPr>
          <w:sz w:val="20"/>
          <w:szCs w:val="20"/>
          <w:color w:val="auto"/>
        </w:rPr>
      </w:pPr>
    </w:p>
    <w:p>
      <w:pPr>
        <w:ind w:right="100" w:firstLine="441"/>
        <w:spacing w:after="0" w:line="302" w:lineRule="auto"/>
        <w:rPr>
          <w:sz w:val="20"/>
          <w:szCs w:val="20"/>
          <w:color w:val="auto"/>
        </w:rPr>
      </w:pPr>
      <w:r>
        <w:rPr>
          <w:rFonts w:ascii="Arial" w:cs="Arial" w:eastAsia="Arial" w:hAnsi="Arial"/>
          <w:sz w:val="16"/>
          <w:szCs w:val="16"/>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7.2 STOCK CERTIFICATES; PARTLY PAID SHARES.</w:t>
      </w:r>
    </w:p>
    <w:p>
      <w:pPr>
        <w:spacing w:after="0" w:line="11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shares of the Corporation shall be represented by certificates provided that the Board may provide by resolution or resolutions that some or all of any or all classes or series of stock shall be uncertificated shares.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authorized officers of the Corporation representing the number of shares registered in certificate form. Any or all of the signatures on the certificate may be a facsimile.</w:t>
      </w:r>
    </w:p>
    <w:p>
      <w:pPr>
        <w:spacing w:after="0" w:line="188"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w:t>
      </w:r>
    </w:p>
    <w:p>
      <w:pPr>
        <w:spacing w:after="0" w:line="18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7.3 MULTIPLES CLASSES OR SERIES OF STOCK.</w:t>
      </w:r>
    </w:p>
    <w:p>
      <w:pPr>
        <w:spacing w:after="0" w:line="11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8"/>
          <w:szCs w:val="18"/>
          <w:i w:val="1"/>
          <w:iCs w:val="1"/>
          <w:u w:val="single" w:color="auto"/>
          <w:color w:val="auto"/>
        </w:rPr>
        <w:t>provided, however</w:t>
      </w:r>
      <w:r>
        <w:rPr>
          <w:rFonts w:ascii="Arial" w:cs="Arial" w:eastAsia="Arial" w:hAnsi="Arial"/>
          <w:sz w:val="18"/>
          <w:szCs w:val="18"/>
          <w:color w:val="auto"/>
        </w:rPr>
        <w:t>, that, except as otherwise provided in Section 202 of the DGCL, in lieu of the foregoing requirements, there may be set forth on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0" w:right="439" w:bottom="1440" w:gutter="0" w:footer="0" w:header="0"/>
        </w:sectPr>
      </w:pPr>
    </w:p>
    <w:bookmarkStart w:id="36" w:name="page37"/>
    <w:bookmarkEnd w:id="36"/>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the DGCL or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7.4 LOST CERTIFICATES.</w:t>
      </w:r>
    </w:p>
    <w:p>
      <w:pPr>
        <w:spacing w:after="0" w:line="117"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Except as provided in this Section 7.4, no new certificates for shares shall be issued to replace a previously issued certificate unless the latter is surrendered to the Corporation in accordance with applicable law.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7.5 CONSTRUCTION; DEFINITIONS.</w:t>
      </w:r>
    </w:p>
    <w:p>
      <w:pPr>
        <w:spacing w:after="0" w:line="117"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7.6 DIVIDENDS.</w:t>
      </w:r>
    </w:p>
    <w:p>
      <w:pPr>
        <w:spacing w:after="0" w:line="117"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Board, subject to any restrictions contained in either (a) the DGCL or (b) the certificate of incorporation, may declare and pay dividends upon the shares of its capital stock. Dividends may be paid in cash, in property or in shares of the Corporation’s capital stock.</w:t>
      </w:r>
    </w:p>
    <w:p>
      <w:pPr>
        <w:spacing w:after="0" w:line="170"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37" w:name="page38"/>
    <w:bookmarkEnd w:id="3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7.7 FISCAL YEAR.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fiscal year of the Corporation shall be fixed by resolution of the Board and may be changed by the Board.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7.8 SEAL.</w:t>
      </w:r>
    </w:p>
    <w:p>
      <w:pPr>
        <w:spacing w:after="0" w:line="117" w:lineRule="exact"/>
        <w:rPr>
          <w:sz w:val="20"/>
          <w:szCs w:val="20"/>
          <w:color w:val="auto"/>
        </w:rPr>
      </w:pPr>
    </w:p>
    <w:p>
      <w:pPr>
        <w:ind w:right="580" w:firstLine="441"/>
        <w:spacing w:after="0" w:line="308" w:lineRule="auto"/>
        <w:rPr>
          <w:sz w:val="20"/>
          <w:szCs w:val="20"/>
          <w:color w:val="auto"/>
        </w:rPr>
      </w:pPr>
      <w:r>
        <w:rPr>
          <w:rFonts w:ascii="Arial" w:cs="Arial" w:eastAsia="Arial" w:hAnsi="Arial"/>
          <w:sz w:val="17"/>
          <w:szCs w:val="17"/>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7.9 TRANSFER OF STOCK.</w:t>
      </w:r>
    </w:p>
    <w:p>
      <w:pPr>
        <w:spacing w:after="0" w:line="117"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To the fullest extent permitted by law, no transfer of stock shall be valid as against the Corporation for any purpose until it shall have been entered in the stock records of the Corporation by an entry showing the names of the persons from and to whom it was transferred.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7.10 STOCK TRANSFER AGREEMENTS.</w:t>
      </w:r>
    </w:p>
    <w:p>
      <w:pPr>
        <w:spacing w:after="0" w:line="11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7.11 REGISTERED STOCKHOLDERS.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Corporation, to the fullest extent permitted by law,:</w:t>
      </w:r>
    </w:p>
    <w:p>
      <w:pPr>
        <w:spacing w:after="0" w:line="117" w:lineRule="exact"/>
        <w:rPr>
          <w:sz w:val="20"/>
          <w:szCs w:val="20"/>
          <w:color w:val="auto"/>
        </w:rPr>
      </w:pPr>
    </w:p>
    <w:p>
      <w:pPr>
        <w:ind w:right="180" w:firstLine="996"/>
        <w:spacing w:after="0" w:line="277" w:lineRule="auto"/>
        <w:tabs>
          <w:tab w:leader="none" w:pos="1237"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shall be entitled to recognize the exclusive right of a person registered on its books as the owner of shares to receive dividends and to vote as such owner;</w:t>
      </w:r>
    </w:p>
    <w:p>
      <w:pPr>
        <w:spacing w:after="0" w:line="62" w:lineRule="exact"/>
        <w:rPr>
          <w:rFonts w:ascii="Arial" w:cs="Arial" w:eastAsia="Arial" w:hAnsi="Arial"/>
          <w:sz w:val="18"/>
          <w:szCs w:val="18"/>
          <w:color w:val="auto"/>
        </w:rPr>
      </w:pPr>
    </w:p>
    <w:p>
      <w:pPr>
        <w:ind w:left="1260" w:hanging="264"/>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shall be entitled to hold liable for calls and assessments the person registered on its books as the owner of shares;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8" w:name="page39"/>
    <w:bookmarkEnd w:id="38"/>
    <w:p>
      <w:pPr>
        <w:ind w:right="20" w:firstLine="996"/>
        <w:spacing w:after="0" w:line="277" w:lineRule="auto"/>
        <w:tabs>
          <w:tab w:leader="none" w:pos="1237"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7.12 WAIVER OF NOTICE.</w:t>
      </w:r>
    </w:p>
    <w:p>
      <w:pPr>
        <w:spacing w:after="0" w:line="117" w:lineRule="exact"/>
        <w:rPr>
          <w:sz w:val="20"/>
          <w:szCs w:val="20"/>
          <w:color w:val="auto"/>
        </w:rPr>
      </w:pPr>
    </w:p>
    <w:p>
      <w:pPr>
        <w:ind w:right="200" w:firstLine="441"/>
        <w:spacing w:after="0" w:line="272" w:lineRule="auto"/>
        <w:rPr>
          <w:sz w:val="20"/>
          <w:szCs w:val="20"/>
          <w:color w:val="auto"/>
        </w:rPr>
      </w:pPr>
      <w:r>
        <w:rPr>
          <w:rFonts w:ascii="Arial" w:cs="Arial" w:eastAsia="Arial" w:hAnsi="Arial"/>
          <w:sz w:val="17"/>
          <w:szCs w:val="17"/>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9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ARTICLE VIII - NOTICE BY ELECTRONIC TRANSMISSION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8.1 NOTICE BY ELECTRONIC TRANSMISSION.</w:t>
      </w:r>
    </w:p>
    <w:p>
      <w:pPr>
        <w:spacing w:after="0" w:line="117" w:lineRule="exact"/>
        <w:rPr>
          <w:sz w:val="20"/>
          <w:szCs w:val="20"/>
          <w:color w:val="auto"/>
        </w:rPr>
      </w:pPr>
    </w:p>
    <w:p>
      <w:pPr>
        <w:ind w:right="80" w:firstLine="441"/>
        <w:spacing w:after="0" w:line="302" w:lineRule="auto"/>
        <w:rPr>
          <w:sz w:val="20"/>
          <w:szCs w:val="20"/>
          <w:color w:val="auto"/>
        </w:rPr>
      </w:pPr>
      <w:r>
        <w:rPr>
          <w:rFonts w:ascii="Arial" w:cs="Arial" w:eastAsia="Arial" w:hAnsi="Arial"/>
          <w:sz w:val="16"/>
          <w:szCs w:val="16"/>
          <w:color w:val="auto"/>
        </w:rPr>
        <w:t>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46" w:lineRule="exact"/>
        <w:rPr>
          <w:sz w:val="20"/>
          <w:szCs w:val="20"/>
          <w:color w:val="auto"/>
        </w:rPr>
      </w:pPr>
    </w:p>
    <w:p>
      <w:pPr>
        <w:ind w:firstLine="996"/>
        <w:spacing w:after="0" w:line="277" w:lineRule="auto"/>
        <w:tabs>
          <w:tab w:leader="none" w:pos="123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Corporation is unable to deliver by electronic transmission two (2) consecutive notices given by the Corporation in accordance with such consent; and</w:t>
      </w:r>
    </w:p>
    <w:p>
      <w:pPr>
        <w:spacing w:after="0" w:line="62" w:lineRule="exact"/>
        <w:rPr>
          <w:rFonts w:ascii="Arial" w:cs="Arial" w:eastAsia="Arial" w:hAnsi="Arial"/>
          <w:sz w:val="18"/>
          <w:szCs w:val="18"/>
          <w:color w:val="auto"/>
        </w:rPr>
      </w:pPr>
    </w:p>
    <w:p>
      <w:pPr>
        <w:ind w:right="440" w:firstLine="996"/>
        <w:spacing w:after="0" w:line="277" w:lineRule="auto"/>
        <w:tabs>
          <w:tab w:leader="none" w:pos="12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inability becomes known to the secretary or an assistant secretary of the Corporation or to the transfer agent, or other person responsible for the giving of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However, the inadvertent failure to treat such inability as a revocation shall not invalidate any meeting or other action.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131" w:lineRule="exact"/>
        <w:rPr>
          <w:sz w:val="20"/>
          <w:szCs w:val="20"/>
          <w:color w:val="auto"/>
        </w:rPr>
      </w:pPr>
    </w:p>
    <w:p>
      <w:pPr>
        <w:jc w:val="center"/>
        <w:ind w:left="5360" w:right="960" w:hanging="4370"/>
        <w:spacing w:after="0" w:line="449" w:lineRule="auto"/>
        <w:tabs>
          <w:tab w:leader="none" w:pos="1418"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 -26-</w:t>
      </w:r>
    </w:p>
    <w:p>
      <w:pPr>
        <w:sectPr>
          <w:pgSz w:w="11900" w:h="16838" w:orient="portrait"/>
          <w:cols w:equalWidth="0" w:num="1">
            <w:col w:w="11000"/>
          </w:cols>
          <w:pgMar w:left="440" w:top="274" w:right="459" w:bottom="1440" w:gutter="0" w:footer="0" w:header="0"/>
        </w:sectPr>
      </w:pPr>
    </w:p>
    <w:bookmarkStart w:id="39" w:name="page40"/>
    <w:bookmarkEnd w:id="39"/>
    <w:p>
      <w:pPr>
        <w:ind w:left="1420" w:hanging="430"/>
        <w:spacing w:after="0"/>
        <w:tabs>
          <w:tab w:leader="none" w:pos="1420" w:val="left"/>
        </w:tabs>
        <w:numPr>
          <w:ilvl w:val="0"/>
          <w:numId w:val="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by electronic mail, when directed to an electronic mail address at which the stockholder has consented to receive notice;</w:t>
      </w:r>
    </w:p>
    <w:p>
      <w:pPr>
        <w:spacing w:after="0" w:line="142" w:lineRule="exact"/>
        <w:rPr>
          <w:rFonts w:ascii="Arial" w:cs="Arial" w:eastAsia="Arial" w:hAnsi="Arial"/>
          <w:sz w:val="17"/>
          <w:szCs w:val="17"/>
          <w:color w:val="auto"/>
        </w:rPr>
      </w:pPr>
    </w:p>
    <w:p>
      <w:pPr>
        <w:ind w:left="1420" w:hanging="430"/>
        <w:spacing w:after="0"/>
        <w:tabs>
          <w:tab w:leader="none" w:pos="1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by a posting on an electronic network together with separate notice to the stockholder of such specific posting, upon the later of</w:t>
      </w:r>
    </w:p>
    <w:p>
      <w:pPr>
        <w:spacing w:after="0" w:line="46" w:lineRule="exact"/>
        <w:rPr>
          <w:rFonts w:ascii="Arial" w:cs="Arial" w:eastAsia="Arial" w:hAnsi="Arial"/>
          <w:sz w:val="16"/>
          <w:szCs w:val="16"/>
          <w:color w:val="auto"/>
        </w:rPr>
      </w:pPr>
    </w:p>
    <w:p>
      <w:pPr>
        <w:ind w:left="1420"/>
        <w:spacing w:after="0"/>
        <w:rPr>
          <w:rFonts w:ascii="Arial" w:cs="Arial" w:eastAsia="Arial" w:hAnsi="Arial"/>
          <w:sz w:val="16"/>
          <w:szCs w:val="16"/>
          <w:color w:val="auto"/>
        </w:rPr>
      </w:pPr>
      <w:r>
        <w:rPr>
          <w:rFonts w:ascii="Arial" w:cs="Arial" w:eastAsia="Arial" w:hAnsi="Arial"/>
          <w:sz w:val="18"/>
          <w:szCs w:val="18"/>
          <w:color w:val="auto"/>
        </w:rPr>
        <w:t>(i) such posting and (ii) the giving of such separate notice; and</w:t>
      </w:r>
    </w:p>
    <w:p>
      <w:pPr>
        <w:spacing w:after="0" w:line="116" w:lineRule="exact"/>
        <w:rPr>
          <w:rFonts w:ascii="Arial" w:cs="Arial" w:eastAsia="Arial" w:hAnsi="Arial"/>
          <w:sz w:val="16"/>
          <w:szCs w:val="16"/>
          <w:color w:val="auto"/>
        </w:rPr>
      </w:pPr>
    </w:p>
    <w:p>
      <w:pPr>
        <w:ind w:left="1420" w:hanging="430"/>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25" w:lineRule="exact"/>
        <w:rPr>
          <w:sz w:val="20"/>
          <w:szCs w:val="20"/>
          <w:color w:val="auto"/>
        </w:rPr>
      </w:pPr>
    </w:p>
    <w:p>
      <w:pPr>
        <w:ind w:right="240" w:firstLine="441"/>
        <w:spacing w:after="0" w:line="308" w:lineRule="auto"/>
        <w:rPr>
          <w:sz w:val="20"/>
          <w:szCs w:val="20"/>
          <w:color w:val="auto"/>
        </w:rPr>
      </w:pPr>
      <w:r>
        <w:rPr>
          <w:rFonts w:ascii="Arial" w:cs="Arial" w:eastAsia="Arial" w:hAnsi="Arial"/>
          <w:sz w:val="17"/>
          <w:szCs w:val="17"/>
          <w:color w:val="auto"/>
        </w:rPr>
        <w:t>An affidavit of the secretary or an assistant secretary of the Corporation or of the transfer agent or other agent of the Corporation that the notice has been given by a form of electronic transmission shall, in the absence of fraud, be prima facie evidence of the facts stated therein.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8.2 DEFINITION OF ELECTRONIC TRANSMISSION.</w:t>
      </w:r>
    </w:p>
    <w:p>
      <w:pPr>
        <w:spacing w:after="0" w:line="11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For the purposes of these bylaws,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 INDEMNIFICATION AND ADVANCEMENT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9.1 ACTIONS, SUITS AND PROCEEDINGS OTHER THAN BY OR IN THE RIGHT OF THE CORPORATION.</w:t>
      </w:r>
    </w:p>
    <w:p>
      <w:pPr>
        <w:spacing w:after="0" w:line="117"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The Corporation shall indemnify each person who was or is a party or threatened to be made a party to any threatened, pending or completed action, suit or proceeding, whether civil, criminal, administrative or investigative (other than an action by or in the right of the Corporation) by reason of the fact that he or she is or was, or has agreed to become, a director or officer of the Corporation, or, while a director or officer of the Corporation, is or was serving, or has agreed to serve, at the request of the Corporation, as a director, officer, partner, employee or trustee of, or in a similar capacity with, another corporation, partnership, joint venture, trust or other enterprise (including, without limitation, any employee benefit plan) (all such persons being referred to hereafter as an “</w:t>
      </w:r>
      <w:r>
        <w:rPr>
          <w:rFonts w:ascii="Arial" w:cs="Arial" w:eastAsia="Arial" w:hAnsi="Arial"/>
          <w:sz w:val="16"/>
          <w:szCs w:val="16"/>
          <w:u w:val="single" w:color="auto"/>
          <w:color w:val="auto"/>
        </w:rPr>
        <w:t>Indemnitee</w:t>
      </w:r>
      <w:r>
        <w:rPr>
          <w:rFonts w:ascii="Arial" w:cs="Arial" w:eastAsia="Arial" w:hAnsi="Arial"/>
          <w:sz w:val="16"/>
          <w:szCs w:val="16"/>
          <w:color w:val="auto"/>
        </w:rPr>
        <w:t>”), or by reason of any action alleged to have been taken or omitted in such capacity, against all expenses (including, without limitation, attorneys’ fees), liabilities, losses, judgments, fines (including, without limitation, excise taxes and penalties arising under the Employee Retirement Income Security Act of 1974),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and, with respect to any criminal action or proceeding, had no reasonable cause to believe his or her conduct was unlawful. The termination of any action, suit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40" w:name="page41"/>
    <w:bookmarkEnd w:id="40"/>
    <w:p>
      <w:pP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proceeding by judgment, order, settlement, conviction or upon a plea of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his or her conduct was unlawful.</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9.2 ACTIONS OR SUITS BY OR IN THE RIGHT OF THE CORPORATION.</w:t>
      </w:r>
    </w:p>
    <w:p>
      <w:pPr>
        <w:spacing w:after="0" w:line="117" w:lineRule="exact"/>
        <w:rPr>
          <w:sz w:val="20"/>
          <w:szCs w:val="20"/>
          <w:color w:val="auto"/>
        </w:rPr>
      </w:pPr>
    </w:p>
    <w:p>
      <w:pPr>
        <w:ind w:right="60" w:firstLine="441"/>
        <w:spacing w:after="0" w:line="287" w:lineRule="auto"/>
        <w:rPr>
          <w:sz w:val="20"/>
          <w:szCs w:val="20"/>
          <w:color w:val="auto"/>
        </w:rPr>
      </w:pPr>
      <w:r>
        <w:rPr>
          <w:rFonts w:ascii="Arial" w:cs="Arial" w:eastAsia="Arial" w:hAnsi="Arial"/>
          <w:sz w:val="16"/>
          <w:szCs w:val="16"/>
          <w:color w:val="auto"/>
        </w:rPr>
        <w:t>The Corporation shall indemnify any Indemnitee who was or is a party to or threatened to be made a party to any threatened, pending or completed action or suit by or in the right of the Corporation to procure a judgment in its favor by reason of the fact that Indemnitee is or was, or has agreed to become, a director or officer of the Corporation, or, while a director or officer of the Corporation, is or was serving, or has agreed to serve, at the request of the Corporation, as a director, officer, partner, employee or trustee of, or in a similar capacity with, another corporation, partnership, joint venture, trust or other enterprise (including, without limitation, any employee benefit plan), or by reason of any action alleged to have been taken or omitted in such capacity, against all expenses (including, without limitation, attorneys’ fees)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except that no indemnification shall be made under this Section 9.2 in respect of any claim, issue or matter as to which Indemnitee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expenses (including, without limitation, attorneys’ fees) which the Court of Chancery of Delaware or such other court shall deem proper.</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9.3 INDEMNIFICATION FOR EXPENSES OF SUCCESSFUL PARTY.</w:t>
      </w:r>
    </w:p>
    <w:p>
      <w:pPr>
        <w:spacing w:after="0" w:line="117" w:lineRule="exact"/>
        <w:rPr>
          <w:sz w:val="20"/>
          <w:szCs w:val="20"/>
          <w:color w:val="auto"/>
        </w:rPr>
      </w:pPr>
    </w:p>
    <w:p>
      <w:pPr>
        <w:ind w:right="180" w:firstLine="441"/>
        <w:spacing w:after="0" w:line="279" w:lineRule="auto"/>
        <w:rPr>
          <w:sz w:val="20"/>
          <w:szCs w:val="20"/>
          <w:color w:val="auto"/>
        </w:rPr>
      </w:pPr>
      <w:r>
        <w:rPr>
          <w:rFonts w:ascii="Arial" w:cs="Arial" w:eastAsia="Arial" w:hAnsi="Arial"/>
          <w:sz w:val="17"/>
          <w:szCs w:val="17"/>
          <w:color w:val="auto"/>
        </w:rPr>
        <w:t>Notwithstanding any other provisions of this Article IX, to the extent that an Indemnitee has been successful, on the merits or otherwise, in defense of any action, suit or proceeding referred to in Sections 9.1 and 9.2 of these bylaws, or in defense of any claim, issue or matter therein, or on appeal from any such action, suit or proceeding, Indemnitee shall be indemnified to the fullest extent permitted by law against all expenses (including, without limitation, attorneys’ fees) actually and reasonably incurred by or on behalf of Indemnitee in connection therewith.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41" w:name="page42"/>
    <w:bookmarkEnd w:id="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9.4 NOTIFICATION AND DEFENSE OF CLAIM.</w:t>
      </w:r>
    </w:p>
    <w:p>
      <w:pPr>
        <w:spacing w:after="0" w:line="117"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As a condition precedent to an Indemnitee’s right to be indemnified, such Indemnitee must notify the Corporation in writing as soon as practicable of any action, suit, proceeding or investigation involving such Indemnitee for which indemnity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Indemnitee. After notice from the Corporation to Indemnitee of its election so to assume such defense, the Corporation shall not be liable to Indemnitee for any legal or other expenses subsequently incurred by Indemnitee in connection with such action, suit, proceeding or investigation, other than as provided below in this Section 9.4. Indemnitee shall have the right to employ his or her own counsel in connection with such action, suit, proceeding or investigation, but the fees and expenses of such counsel incurred after notice from the Corporation of its assumption of the defense thereof shall be at the expense of Indemnitee unless (a) the employment of counsel by Indemnitee has been authorized by the Corporation, (b) counsel to Indemnitee shall have reasonably concluded that there may be a conflict of interest or position on any significant issue between the Corporation and Indemnitee in the conduct of the defense of such action, suit, proceeding or investigation or (c) the Corporation shall not in fact have employed counsel to assume the defense of such action, suit, proceeding or investigation, in each of which cases the fees and expenses of counsel for Indemnitee shall be at the expense of the Corporation, except as otherwise expressly provided by this Article IX. The Corporation shall not be entitled, without the consent of Indemnitee, to assume the defense of any claim brought by or in the right of the Corporation or as to which counsel for Indemnitee shall have reasonably made the conclusion provided for in clause (b) above. The Corporation shall not be required to indemnify Indemnitee under this Article IX for any amounts paid in settlement of any action, suit, proceeding or investigation effected without its written consent. The Corporation shall not settle any action, suit, proceeding or investigation in any manner which would impose any penalty or limitation on Indemnitee without Indemnitee’s written consent. Neither the Corporation nor Indemnitee will unreasonably withhold or delay its consent to any proposed settlement.</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9.5 ADVANCE OF EXPENSES.</w:t>
      </w:r>
    </w:p>
    <w:p>
      <w:pPr>
        <w:spacing w:after="0" w:line="117" w:lineRule="exact"/>
        <w:rPr>
          <w:sz w:val="20"/>
          <w:szCs w:val="20"/>
          <w:color w:val="auto"/>
        </w:rPr>
      </w:pPr>
    </w:p>
    <w:p>
      <w:pPr>
        <w:ind w:right="60" w:firstLine="441"/>
        <w:spacing w:after="0" w:line="287" w:lineRule="auto"/>
        <w:rPr>
          <w:sz w:val="20"/>
          <w:szCs w:val="20"/>
          <w:color w:val="auto"/>
        </w:rPr>
      </w:pPr>
      <w:r>
        <w:rPr>
          <w:rFonts w:ascii="Arial" w:cs="Arial" w:eastAsia="Arial" w:hAnsi="Arial"/>
          <w:sz w:val="16"/>
          <w:szCs w:val="16"/>
          <w:color w:val="auto"/>
        </w:rPr>
        <w:t xml:space="preserve">Subject to the provisions of Sections 9.4 and 9.6 of these bylaws, in the event of any threatened or pending action, suit, proceeding or investigation of which the Corporation receives notice under this Article IX, any expenses (including, without limitation, attorneys’ fees) incurred by or on behalf of Indemnitee in defending an action, suit, proceeding or investigation or any appeal therefrom shall be paid by the Corporation in advance of the final disposition of such matter to the fullest extent permitted by law; </w:t>
      </w:r>
      <w:r>
        <w:rPr>
          <w:rFonts w:ascii="Arial" w:cs="Arial" w:eastAsia="Arial" w:hAnsi="Arial"/>
          <w:sz w:val="16"/>
          <w:szCs w:val="16"/>
          <w:i w:val="1"/>
          <w:iCs w:val="1"/>
          <w:u w:val="single" w:color="auto"/>
          <w:color w:val="auto"/>
        </w:rPr>
        <w:t>provided</w:t>
      </w:r>
      <w:r>
        <w:rPr>
          <w:rFonts w:ascii="Arial" w:cs="Arial" w:eastAsia="Arial" w:hAnsi="Arial"/>
          <w:sz w:val="16"/>
          <w:szCs w:val="16"/>
          <w:u w:val="single" w:color="auto"/>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to the extent required by law, the payment of such expenses incurred by or on behalf of Indemnitee in advance of the final disposition of such matter shall be made only upon receipt of an undertaking by or on behalf of Indemnitee to repay all amounts so advanced in the event that it shall ultimately be determined by final judicial decision from which there is no further right to appeal that Indemnitee is not entitled to be indemnified by the Corporation as authorized in this Article IX or otherwise; and </w:t>
      </w:r>
      <w:r>
        <w:rPr>
          <w:rFonts w:ascii="Arial" w:cs="Arial" w:eastAsia="Arial" w:hAnsi="Arial"/>
          <w:sz w:val="16"/>
          <w:szCs w:val="16"/>
          <w:i w:val="1"/>
          <w:iCs w:val="1"/>
          <w:u w:val="single" w:color="auto"/>
          <w:color w:val="auto"/>
        </w:rPr>
        <w:t>provided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that no such advancement of expenses shall be made under this Article IX if it is determined (in the manner described in Section 9.6 of</w:t>
      </w:r>
      <w:r>
        <w:rPr>
          <w:rFonts w:ascii="Arial" w:cs="Arial" w:eastAsia="Arial" w:hAnsi="Arial"/>
          <w:sz w:val="16"/>
          <w:szCs w:val="16"/>
          <w:i w:val="1"/>
          <w:iCs w:val="1"/>
          <w:color w:val="auto"/>
        </w:rPr>
        <w:t xml:space="preserve"> </w:t>
      </w:r>
      <w:r>
        <w:rPr>
          <w:rFonts w:ascii="Arial" w:cs="Arial" w:eastAsia="Arial" w:hAnsi="Arial"/>
          <w:sz w:val="16"/>
          <w:szCs w:val="16"/>
          <w:color w:val="auto"/>
        </w:rPr>
        <w:t>these bylaws) that (a) Indemnitee did not act in good faith and in a manner he or she reasonably believed to be in, or not opposed to, the best interests of the Corporation, or (b) with respect to any criminal action or proceeding, Indemnitee had reasonable cause to believe his or her conduct was unlawful. Such undertaking shall be accepted without reference to the financial ability of Indemnitee to make such repayment.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42" w:name="page43"/>
    <w:bookmarkEnd w:id="4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9.6 PROCEDURE FOR INDEMNIFICATION AND ADVANCEMENT OF EXPENSES.</w:t>
      </w:r>
    </w:p>
    <w:p>
      <w:pPr>
        <w:spacing w:after="0" w:line="117"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In order to obtain indemnification or advancement of expenses pursuant to Section 9.1, 9.2, 9.3 or 9.5 of these bylaws, an Indemnitee shall submit to the Corporation a written request. Any such advancement of expenses shall be made promptly, and in any event within 60 days after receipt by the Corporation of the written request of Indemnitee, unless (a) the Corporation has assumed the defense pursuant to Section 9.4 of these bylaws (and none of the circumstances described in Section 9.4 of these bylaws that would nonetheless entitle the Indemnitee to indemnification for the fees and expenses of separate counsel have occurred) or (b) the Corporation determines within such 60-day period that Indemnitee did not meet the applicable standard of conduct set forth in Section 9.1, 9.2 or 9.5 of these bylaws, as the case may be. Any such indemnification, unless ordered by a court, shall be made with respect to requests under Section 9.1 or 9.2 of these bylaws only as authorized in the specific case upon a determination by the Corporation that the indemnification of Indemnitee is proper because Indemnitee has met the applicable standard of conduct set forth in Section 9.1 or 9.2 of these bylaws, as the case may be. Such determination shall be made in each instance (a) by a majority vote of the directors of the Corporation consisting of persons who are not at that time parties to the action, suit or proceeding in question (“</w:t>
      </w:r>
      <w:r>
        <w:rPr>
          <w:rFonts w:ascii="Arial" w:cs="Arial" w:eastAsia="Arial" w:hAnsi="Arial"/>
          <w:sz w:val="16"/>
          <w:szCs w:val="16"/>
          <w:u w:val="single" w:color="auto"/>
          <w:color w:val="auto"/>
        </w:rPr>
        <w:t>disinterested directors</w:t>
      </w:r>
      <w:r>
        <w:rPr>
          <w:rFonts w:ascii="Arial" w:cs="Arial" w:eastAsia="Arial" w:hAnsi="Arial"/>
          <w:sz w:val="16"/>
          <w:szCs w:val="16"/>
          <w:color w:val="auto"/>
        </w:rPr>
        <w:t>”),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 (d) by the stockholders of the Corporation.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9.7 REMEDIES.</w:t>
      </w:r>
    </w:p>
    <w:p>
      <w:pPr>
        <w:spacing w:after="0" w:line="117"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To the fullest extent permitted by law, the right to indemnification or advancement of expenses as granted by this Article IX shall be enforceable by Indemnitee in any court of competent jurisdiction. Neither the failure of the Corporation to have made a determination prior to the commencement of such action that indemnification is proper in the circumstances because Indemnitee has met the applicable standard of conduct, nor an actual determination by the Corporation pursuant to Section 9.6 of these bylaws that Indemnitee has not met such applicable standard of conduct, shall be a defense to the action or create a presumption that Indemnitee has not met the applicable standard of conduct. In any suit brought by Indemnitee to enforce a right to indemnification or advancement, or brought by the Corporation to recover an advancement of expenses pursuant to the terms of an undertaking, the Corporation shall have the burden of proving that Indemnitee is not entitled to be indemnified, or to such advancement of expenses,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3" w:name="page44"/>
    <w:bookmarkEnd w:id="43"/>
    <w:p>
      <w:pPr>
        <w:ind w:right="4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this Article IX. Indemnitee’s expenses (including, without limitation, attorneys’ fees) reasonably incurred in connection with successfully establishing Indemnitee’s right to indemnification or advancement, in whole or in part, in any such proceeding shall also be indemnified by the Corporation to the fullest extent permitted by law. Notwithstanding the foregoing, in any suit brought by Indemnitee to enforce a right to indemnification hereunder it shall be a defense that the Indemnitee has not met any applicable standard for indemnification set forth in the DGCL.</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9.8 LIMITATIONS.</w:t>
      </w:r>
    </w:p>
    <w:p>
      <w:pPr>
        <w:spacing w:after="0" w:line="117"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Notwithstanding anything to the contrary in this Article IX, except as set forth in Section 9.7 of these bylaws, the Corporation shall not indemnify an Indemnitee pursuant to this Article IX in connection with a proceeding (or part thereof) initiated by such Indemnitee unless the initiation thereof was approved by the Board. Notwithstanding anything to the contrary in this Article IX, the Corporation shall not indemnify (or advance expenses to) an Indemnitee to the extent such Indemnitee is reimbursed (or advanced expenses) from the proceeds of insurance, and in the event the Corporation makes any indemnification (or advancement) payments to an Indemnitee and such Indemnitee is subsequently reimbursed from the proceeds of insurance, such Indemnitee shall promptly refund indemnification (or advancement) payments to the Corporation to the extent of such insurance reimbursement.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9.9 SUBSEQUENT AMENDMENT.</w:t>
      </w:r>
    </w:p>
    <w:p>
      <w:pPr>
        <w:spacing w:after="0" w:line="117" w:lineRule="exact"/>
        <w:rPr>
          <w:sz w:val="20"/>
          <w:szCs w:val="20"/>
          <w:color w:val="auto"/>
        </w:rPr>
      </w:pPr>
    </w:p>
    <w:p>
      <w:pPr>
        <w:jc w:val="both"/>
        <w:ind w:right="220" w:firstLine="441"/>
        <w:spacing w:after="0" w:line="259" w:lineRule="auto"/>
        <w:rPr>
          <w:sz w:val="20"/>
          <w:szCs w:val="20"/>
          <w:color w:val="auto"/>
        </w:rPr>
      </w:pPr>
      <w:r>
        <w:rPr>
          <w:rFonts w:ascii="Arial" w:cs="Arial" w:eastAsia="Arial" w:hAnsi="Arial"/>
          <w:sz w:val="18"/>
          <w:szCs w:val="18"/>
          <w:color w:val="auto"/>
        </w:rPr>
        <w:t>No amendment, termination or repeal of this Article IX or of the relevant provisions of the DGCL or any other applicable laws shall adversely affect or diminish in any way the rights of any Indemnitee to indemnification or advancement of expenses under the provisions hereof with respect to any action, suit, proceeding or investigation arising out of or relating to any actions, transactions or facts occurring prior to the final adoption of such amendment, termination or repeal.</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9.10 OTHER RIGHTS.</w:t>
      </w:r>
    </w:p>
    <w:p>
      <w:pPr>
        <w:spacing w:after="0" w:line="117"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The indemnification and advancement of expenses provided by this Article IX shall not be deemed exclusive of any other rights to which an Indemnitee seeking indemnification or advancement of expenses may be entitled under any law (common or statutory), agreement or vote of stockholders or disinterested directors or otherwise, both as to action in Indemnitee’s official capacity and as to action in any other capacity while holding office for the Corporation, and shall continue as to an Indemnitee who has ceased to be a director or officer, and shall inure to the benefit of the estate, heirs, executors and administrators of Indemnitee. Nothing contained in this Article IX shall be deemed to prohibit, and the Corporation is specifically authorized to enter into, agreements with officers and directors providing indemnification and advancement rights and procedures different from those set forth in this Article IX. In addition, the Corporation may, to the extent authorized from time to time by the Board, grant indemnification and advancement rights to other employees or agents of the Corporation or other persons serving the Corporation and such rights may be equivalent to, or greater or less than, those set forth in this Article IX.</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44" w:name="page45"/>
    <w:bookmarkEnd w:id="4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9.11 PARTIAL INDEMNIFICATION.</w:t>
      </w:r>
    </w:p>
    <w:p>
      <w:pPr>
        <w:spacing w:after="0" w:line="11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If an Indemnitee is entitled under any provision of this Article IX to indemnification by the Corporation for some or a portion of the expenses (including, without limitation, attorneys’ fees), liabilities, losses, judgments, fines (including, without limitation, excise taxes and penalties arising under the Employee Retirement Income Security Act of 1974, as amended) or amounts paid in settlement actually and reasonably incurred by or on behalf of Indemnitee in connection with any action, suit, proceeding or investigation and any appeal therefrom but not, however, for the total amount thereof, the Corporation shall nevertheless indemnify Indemnitee for the portion of such expenses (including, without limitation, attorneys’ fees), liabilities, losses, judgments, fines (including, without limitation, excise taxes and penalties arising under the Employee Retirement Income Security Act of 1974, as amended) or amounts paid in settlement to which Indemnitee is entitled.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9.12 INSURANCE.</w:t>
      </w:r>
    </w:p>
    <w:p>
      <w:pPr>
        <w:spacing w:after="0" w:line="117"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The Corporation may purchase and maintain insurance, at its expense, to protect itself and any director, officer, employee or agent of the Corporation or another corporation, partnership, joint venture, trust or other enterprise (including, without limitation, any employee benefit plan) against any expense, liability or loss incurred by him or her in any such capacity, or arising out of his or her status as such, whether or not the Corporation would have the power to indemnify such person against such expense, liability or loss under the DGCL.</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9.13 SAVINGS CLAUSE.</w:t>
      </w:r>
    </w:p>
    <w:p>
      <w:pPr>
        <w:spacing w:after="0" w:line="117"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If this Article IX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 Income Security Act of 1974, as amended) and amounts paid in settlement in connection with any action, suit, proceeding or investigation, whether civil, criminal or administrative, including, without limitation, an action by or in the right of the Corporation, to the fullest extent permitted by any applicable portion of this Article IX that shall not have been invalidated and to the fullest extent permitted by applicable law.</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9.14 DEFINITIONS.</w:t>
      </w:r>
    </w:p>
    <w:p>
      <w:pPr>
        <w:spacing w:after="0" w:line="117"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Terms used in this Article IX and defined in Section 145(h) and Section 145(i) of the DGCL shall have the respective meanings assigned to such terms in such Section 145(h) and Section 145(i).</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 - AMENDMENTS.</w:t>
      </w:r>
    </w:p>
    <w:p>
      <w:pPr>
        <w:spacing w:after="0" w:line="229"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Subject to the limitations set forth in Section 9.9 of these bylaws or the provisions of the certificate of incorporation, the Board is expressly empowered to adopt, amend or repeal the bylaws of the Corporation. The stockholders also shall have power to adopt, amend or repeal the bylaws of the Corporation;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in addition to any vote of the holders of any class or series of stock of the Corporation required by law or by the certificate of incorporation, such action by stockholders shall require the affirmative vote of the holders of at least two-thirds in voting power of the outstanding shares of capital stock of the Corporation entitled to vote thereon.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upperLetter"/>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3"/>
    </w:lvl>
  </w:abstractNum>
  <w:abstractNum w:abstractNumId="4">
    <w:nsid w:val="721DA317"/>
    <w:multiLevelType w:val="hybridMultilevel"/>
    <w:lvl w:ilvl="0">
      <w:lvlJc w:val="left"/>
      <w:lvlText w:val="%1."/>
      <w:numFmt w:val="upperLetter"/>
      <w:start w:val="2"/>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3"/>
    </w:lvl>
  </w:abstractNum>
  <w:abstractNum w:abstractNumId="7">
    <w:nsid w:val="6763845E"/>
    <w:multiLevelType w:val="hybridMultilevel"/>
    <w:lvl w:ilvl="0">
      <w:lvlJc w:val="left"/>
      <w:lvlText w:val="%1."/>
      <w:numFmt w:val="decimal"/>
      <w:start w:val="9"/>
    </w:lvl>
  </w:abstractNum>
  <w:abstractNum w:abstractNumId="8">
    <w:nsid w:val="75A2A8D4"/>
    <w:multiLevelType w:val="hybridMultilevel"/>
    <w:lvl w:ilvl="0">
      <w:lvlJc w:val="left"/>
      <w:lvlText w:val="%1"/>
      <w:numFmt w:val="lowerLetter"/>
      <w:start w:val="1"/>
    </w:lvl>
    <w:lvl w:ilvl="1">
      <w:lvlJc w:val="left"/>
      <w:lvlText w:val="(%2)"/>
      <w:numFmt w:val="lowerLetter"/>
      <w:start w:val="1"/>
    </w:lvl>
  </w:abstractNum>
  <w:abstractNum w:abstractNumId="9">
    <w:nsid w:val="8EDBDAB"/>
    <w:multiLevelType w:val="hybridMultilevel"/>
    <w:lvl w:ilvl="0">
      <w:lvlJc w:val="left"/>
      <w:lvlText w:val="(%1)"/>
      <w:numFmt w:val="lowerLetter"/>
      <w:start w:val="61"/>
    </w:lvl>
    <w:lvl w:ilvl="1">
      <w:lvlJc w:val="left"/>
      <w:lvlText w:val="(%2)"/>
      <w:numFmt w:val="lowerLetter"/>
      <w:start w:val="2"/>
    </w:lvl>
  </w:abstractNum>
  <w:abstractNum w:abstractNumId="10">
    <w:nsid w:val="79838CB2"/>
    <w:multiLevelType w:val="hybridMultilevel"/>
    <w:lvl w:ilvl="0">
      <w:lvlJc w:val="left"/>
      <w:lvlText w:val="(%1)"/>
      <w:numFmt w:val="lowerLetter"/>
      <w:start w:val="3"/>
    </w:lvl>
    <w:lvl w:ilvl="1">
      <w:lvlJc w:val="left"/>
      <w:lvlText w:val="(%2)"/>
      <w:numFmt w:val="lowerRoman"/>
      <w:start w:val="1"/>
    </w:lvl>
  </w:abstractNum>
  <w:abstractNum w:abstractNumId="11">
    <w:nsid w:val="4353D0CD"/>
    <w:multiLevelType w:val="hybridMultilevel"/>
    <w:lvl w:ilvl="0">
      <w:lvlJc w:val="left"/>
      <w:lvlText w:val="(%1)"/>
      <w:numFmt w:val="lowerLetter"/>
      <w:start w:val="25"/>
    </w:lvl>
    <w:lvl w:ilvl="1">
      <w:lvlJc w:val="left"/>
      <w:lvlText w:val="%2"/>
      <w:numFmt w:val="lowerRoman"/>
      <w:start w:val="1"/>
    </w:lvl>
  </w:abstractNum>
  <w:abstractNum w:abstractNumId="12">
    <w:nsid w:val="B03E0C6"/>
    <w:multiLevelType w:val="hybridMultilevel"/>
    <w:lvl w:ilvl="0">
      <w:lvlJc w:val="left"/>
      <w:lvlText w:val="(%1)"/>
      <w:numFmt w:val="lowerLetter"/>
      <w:start w:val="25"/>
    </w:lvl>
  </w:abstractNum>
  <w:abstractNum w:abstractNumId="13">
    <w:nsid w:val="189A769B"/>
    <w:multiLevelType w:val="hybridMultilevel"/>
    <w:lvl w:ilvl="0">
      <w:lvlJc w:val="left"/>
      <w:lvlText w:val="(%1)"/>
      <w:numFmt w:val="lowerRoman"/>
      <w:start w:val="3"/>
    </w:lvl>
  </w:abstractNum>
  <w:abstractNum w:abstractNumId="14">
    <w:nsid w:val="54E49EB4"/>
    <w:multiLevelType w:val="hybridMultilevel"/>
    <w:lvl w:ilvl="0">
      <w:lvlJc w:val="left"/>
      <w:lvlText w:val="%1"/>
      <w:numFmt w:val="decimal"/>
      <w:start w:val="1"/>
    </w:lvl>
    <w:lvl w:ilvl="1">
      <w:lvlJc w:val="left"/>
      <w:lvlText w:val="(%2)"/>
      <w:numFmt w:val="lowerLetter"/>
      <w:start w:val="4"/>
    </w:lvl>
  </w:abstractNum>
  <w:abstractNum w:abstractNumId="15">
    <w:nsid w:val="71F32454"/>
    <w:multiLevelType w:val="hybridMultilevel"/>
    <w:lvl w:ilvl="0">
      <w:lvlJc w:val="left"/>
      <w:lvlText w:val="(%1)"/>
      <w:numFmt w:val="decimal"/>
      <w:start w:val="8"/>
    </w:lvl>
    <w:lvl w:ilvl="1">
      <w:lvlJc w:val="left"/>
      <w:lvlText w:val="%2"/>
      <w:numFmt w:val="lowerLetter"/>
      <w:start w:val="1"/>
    </w:lvl>
  </w:abstractNum>
  <w:abstractNum w:abstractNumId="16">
    <w:nsid w:val="2CA88611"/>
    <w:multiLevelType w:val="hybridMultilevel"/>
    <w:lvl w:ilvl="0">
      <w:lvlJc w:val="left"/>
      <w:lvlText w:val="%1"/>
      <w:numFmt w:val="lowerLetter"/>
      <w:start w:val="1"/>
    </w:lvl>
    <w:lvl w:ilvl="1">
      <w:lvlJc w:val="left"/>
      <w:lvlText w:val="(%2)"/>
      <w:numFmt w:val="lowerLetter"/>
      <w:start w:val="7"/>
    </w:lvl>
  </w:abstractNum>
  <w:abstractNum w:abstractNumId="17">
    <w:nsid w:val="836C40E"/>
    <w:multiLevelType w:val="hybridMultilevel"/>
    <w:lvl w:ilvl="0">
      <w:lvlJc w:val="left"/>
      <w:lvlText w:val="(%1)"/>
      <w:numFmt w:val="lowerLetter"/>
      <w:start w:val="2"/>
    </w:lvl>
    <w:lvl w:ilvl="1">
      <w:lvlJc w:val="left"/>
      <w:lvlText w:val="(%2)"/>
      <w:numFmt w:val="lowerLetter"/>
      <w:start w:val="8"/>
    </w:lvl>
  </w:abstractNum>
  <w:abstractNum w:abstractNumId="18">
    <w:nsid w:val="2901D82"/>
    <w:multiLevelType w:val="hybridMultilevel"/>
    <w:lvl w:ilvl="0">
      <w:lvlJc w:val="left"/>
      <w:lvlText w:val="(%1)"/>
      <w:numFmt w:val="lowerLetter"/>
      <w:start w:val="11"/>
    </w:lvl>
  </w:abstractNum>
  <w:abstractNum w:abstractNumId="19">
    <w:nsid w:val="3A95F874"/>
    <w:multiLevelType w:val="hybridMultilevel"/>
    <w:lvl w:ilvl="0">
      <w:lvlJc w:val="left"/>
      <w:lvlText w:val="%1"/>
      <w:numFmt w:val="lowerLetter"/>
      <w:start w:val="1"/>
    </w:lvl>
    <w:lvl w:ilvl="1">
      <w:lvlJc w:val="left"/>
      <w:lvlText w:val="(%2)"/>
      <w:numFmt w:val="lowerLetter"/>
      <w:start w:val="1"/>
    </w:lvl>
  </w:abstractNum>
  <w:abstractNum w:abstractNumId="20">
    <w:nsid w:val="8138641"/>
    <w:multiLevelType w:val="hybridMultilevel"/>
    <w:lvl w:ilvl="0">
      <w:lvlJc w:val="left"/>
      <w:lvlText w:val="(%1)"/>
      <w:numFmt w:val="lowerLetter"/>
      <w:start w:val="35"/>
    </w:lvl>
    <w:lvl w:ilvl="1">
      <w:lvlJc w:val="left"/>
      <w:lvlText w:val="(%2)"/>
      <w:numFmt w:val="lowerLetter"/>
      <w:start w:val="2"/>
    </w:lvl>
  </w:abstractNum>
  <w:abstractNum w:abstractNumId="21">
    <w:nsid w:val="1E7FF521"/>
    <w:multiLevelType w:val="hybridMultilevel"/>
    <w:lvl w:ilvl="0">
      <w:lvlJc w:val="left"/>
      <w:lvlText w:val="(%1)"/>
      <w:numFmt w:val="lowerLetter"/>
      <w:start w:val="9"/>
    </w:lvl>
    <w:lvl w:ilvl="1">
      <w:lvlJc w:val="left"/>
      <w:lvlText w:val="%2"/>
      <w:numFmt w:val="lowerLetter"/>
      <w:start w:val="1"/>
    </w:lvl>
  </w:abstractNum>
  <w:abstractNum w:abstractNumId="22">
    <w:nsid w:val="7C3DBD3D"/>
    <w:multiLevelType w:val="hybridMultilevel"/>
    <w:lvl w:ilvl="0">
      <w:lvlJc w:val="left"/>
      <w:lvlText w:val="(%1)"/>
      <w:numFmt w:val="lowerLetter"/>
      <w:start w:val="3"/>
    </w:lvl>
    <w:lvl w:ilvl="1">
      <w:lvlJc w:val="left"/>
      <w:lvlText w:val="(%2)"/>
      <w:numFmt w:val="lowerRoman"/>
      <w:start w:val="1"/>
    </w:lvl>
  </w:abstractNum>
  <w:abstractNum w:abstractNumId="23">
    <w:nsid w:val="737B8DDC"/>
    <w:multiLevelType w:val="hybridMultilevel"/>
    <w:lvl w:ilvl="0">
      <w:lvlJc w:val="left"/>
      <w:lvlText w:val="(%1)"/>
      <w:numFmt w:val="upperLetter"/>
      <w:start w:val="4"/>
    </w:lvl>
    <w:lvl w:ilvl="1">
      <w:lvlJc w:val="left"/>
      <w:lvlText w:val="(%2)"/>
      <w:numFmt w:val="lowerRoman"/>
      <w:start w:val="4"/>
    </w:lvl>
  </w:abstractNum>
  <w:abstractNum w:abstractNumId="24">
    <w:nsid w:val="6CEAF087"/>
    <w:multiLevelType w:val="hybridMultilevel"/>
    <w:lvl w:ilvl="0">
      <w:lvlJc w:val="left"/>
      <w:lvlText w:val="(%1)"/>
      <w:numFmt w:val="lowerLetter"/>
      <w:start w:val="4"/>
    </w:lvl>
  </w:abstractNum>
  <w:abstractNum w:abstractNumId="25">
    <w:nsid w:val="22221A70"/>
    <w:multiLevelType w:val="hybridMultilevel"/>
    <w:lvl w:ilvl="0">
      <w:lvlJc w:val="left"/>
      <w:lvlText w:val="%1"/>
      <w:numFmt w:val="lowerLetter"/>
      <w:start w:val="1"/>
    </w:lvl>
    <w:lvl w:ilvl="1">
      <w:lvlJc w:val="left"/>
      <w:lvlText w:val="(%2)"/>
      <w:numFmt w:val="lowerLetter"/>
      <w:start w:val="6"/>
    </w:lvl>
  </w:abstractNum>
  <w:abstractNum w:abstractNumId="26">
    <w:nsid w:val="4516DDE9"/>
    <w:multiLevelType w:val="hybridMultilevel"/>
    <w:lvl w:ilvl="0">
      <w:lvlJc w:val="left"/>
      <w:lvlText w:val="(%1)"/>
      <w:numFmt w:val="lowerLetter"/>
      <w:start w:val="35"/>
    </w:lvl>
    <w:lvl w:ilvl="1">
      <w:lvlJc w:val="left"/>
      <w:lvlText w:val="%2"/>
      <w:numFmt w:val="lowerLetter"/>
      <w:start w:val="1"/>
    </w:lvl>
  </w:abstractNum>
  <w:abstractNum w:abstractNumId="27">
    <w:nsid w:val="3006C83E"/>
    <w:multiLevelType w:val="hybridMultilevel"/>
    <w:lvl w:ilvl="0">
      <w:lvlJc w:val="left"/>
      <w:lvlText w:val="(%1)"/>
      <w:numFmt w:val="lowerLetter"/>
      <w:start w:val="8"/>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2"/>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lowerRoman"/>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lowerLetter"/>
      <w:start w:val="3"/>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lowerLetter"/>
      <w:start w:val="1"/>
    </w:lvl>
  </w:abstractNum>
  <w:abstractNum w:abstractNumId="38">
    <w:nsid w:val="5E884AD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2019-12-28T06:01:21Z</dcterms:created>
  <dcterms:modified xsi:type="dcterms:W3CDTF">2019-12-28T06:01:21Z</dcterms:modified>
</cp:coreProperties>
</file>