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12, 2024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96"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0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001-39049</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8"/>
              </w:rPr>
              <w:t>20-0434866</w:t>
            </w:r>
          </w:p>
        </w:tc>
      </w:tr>
      <w:tr>
        <w:trPr>
          <w:trHeight w:val="191"/>
        </w:trPr>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2000" w:type="dxa"/>
            <w:vAlign w:val="bottom"/>
          </w:tcPr>
          <w:p>
            <w:pPr>
              <w:spacing w:after="0"/>
              <w:rPr>
                <w:sz w:val="24"/>
                <w:szCs w:val="24"/>
                <w:color w:val="auto"/>
              </w:rPr>
            </w:pPr>
          </w:p>
        </w:tc>
        <w:tc>
          <w:tcPr>
            <w:tcW w:w="49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1261 Liberty Way</w:t>
            </w:r>
          </w:p>
        </w:tc>
        <w:tc>
          <w:tcPr>
            <w:tcW w:w="162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Vista, CA 92081</w:t>
            </w:r>
          </w:p>
        </w:tc>
        <w:tc>
          <w:tcPr>
            <w:tcW w:w="162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20" w:type="dxa"/>
            <w:vAlign w:val="bottom"/>
          </w:tcPr>
          <w:p>
            <w:pPr>
              <w:spacing w:after="0"/>
              <w:rPr>
                <w:sz w:val="16"/>
                <w:szCs w:val="16"/>
                <w:color w:val="auto"/>
              </w:rPr>
            </w:pPr>
          </w:p>
        </w:tc>
      </w:tr>
      <w:tr>
        <w:trPr>
          <w:trHeight w:val="377"/>
        </w:trPr>
        <w:tc>
          <w:tcPr>
            <w:tcW w:w="2000" w:type="dxa"/>
            <w:vAlign w:val="bottom"/>
          </w:tcPr>
          <w:p>
            <w:pPr>
              <w:spacing w:after="0"/>
              <w:rPr>
                <w:sz w:val="24"/>
                <w:szCs w:val="24"/>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(760) 560-1501</w:t>
            </w:r>
          </w:p>
        </w:tc>
        <w:tc>
          <w:tcPr>
            <w:tcW w:w="162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20" w:type="dxa"/>
            <w:vAlign w:val="bottom"/>
          </w:tcPr>
          <w:p>
            <w:pPr>
              <w:spacing w:after="0"/>
              <w:rPr>
                <w:sz w:val="16"/>
                <w:szCs w:val="16"/>
                <w:color w:val="auto"/>
              </w:rPr>
            </w:pPr>
          </w:p>
        </w:tc>
      </w:tr>
      <w:tr>
        <w:trPr>
          <w:trHeight w:val="390"/>
        </w:trPr>
        <w:tc>
          <w:tcPr>
            <w:tcW w:w="2000" w:type="dxa"/>
            <w:vAlign w:val="bottom"/>
          </w:tcPr>
          <w:p>
            <w:pPr>
              <w:spacing w:after="0"/>
              <w:rPr>
                <w:sz w:val="24"/>
                <w:szCs w:val="24"/>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62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20" w:type="dxa"/>
            <w:vAlign w:val="bottom"/>
          </w:tcPr>
          <w:p>
            <w:pPr>
              <w:spacing w:after="0"/>
              <w:rPr>
                <w:sz w:val="16"/>
                <w:szCs w:val="16"/>
                <w:color w:val="auto"/>
              </w:rPr>
            </w:pPr>
          </w:p>
        </w:tc>
      </w:tr>
    </w:tbl>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November 12, 2024, the Company reported its financial results for the three and nine months ended September 30, 2024. A copy of the press release issued by the Company is furnished as Exhibit 99.1 to this report.</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290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99"/>
              </w:rPr>
              <w:t>Press Release dated November 12, 2024</w:t>
            </w:r>
          </w:p>
        </w:tc>
        <w:tc>
          <w:tcPr>
            <w:tcW w:w="6880" w:type="dxa"/>
            <w:vAlign w:val="bottom"/>
          </w:tcPr>
          <w:p>
            <w:pPr>
              <w:spacing w:after="0"/>
              <w:rPr>
                <w:sz w:val="24"/>
                <w:szCs w:val="24"/>
                <w:color w:val="auto"/>
              </w:rPr>
            </w:pPr>
          </w:p>
        </w:tc>
      </w:tr>
      <w:tr>
        <w:trPr>
          <w:trHeight w:val="52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Jeffrey G. Black</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61988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198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Exagen Inc. Reports Third Quarter 2024 Results</w:t>
      </w:r>
    </w:p>
    <w:p>
      <w:pPr>
        <w:spacing w:after="0" w:line="397" w:lineRule="exact"/>
        <w:rPr>
          <w:sz w:val="20"/>
          <w:szCs w:val="20"/>
          <w:color w:val="auto"/>
        </w:rPr>
      </w:pPr>
    </w:p>
    <w:p>
      <w:pPr>
        <w:ind w:left="2240"/>
        <w:spacing w:after="0"/>
        <w:rPr>
          <w:sz w:val="20"/>
          <w:szCs w:val="20"/>
          <w:color w:val="auto"/>
        </w:rPr>
      </w:pPr>
      <w:r>
        <w:rPr>
          <w:rFonts w:ascii="Calibri" w:cs="Calibri" w:eastAsia="Calibri" w:hAnsi="Calibri"/>
          <w:sz w:val="25"/>
          <w:szCs w:val="25"/>
          <w:i w:val="1"/>
          <w:iCs w:val="1"/>
          <w:color w:val="auto"/>
        </w:rPr>
        <w:t>Expanded AVISE® CTD trailing twelve-month average selling price</w:t>
      </w:r>
    </w:p>
    <w:p>
      <w:pPr>
        <w:spacing w:after="0" w:line="5" w:lineRule="exact"/>
        <w:rPr>
          <w:sz w:val="20"/>
          <w:szCs w:val="20"/>
          <w:color w:val="auto"/>
        </w:rPr>
      </w:pPr>
    </w:p>
    <w:p>
      <w:pPr>
        <w:ind w:left="2780"/>
        <w:spacing w:after="0"/>
        <w:rPr>
          <w:sz w:val="20"/>
          <w:szCs w:val="20"/>
          <w:color w:val="auto"/>
        </w:rPr>
      </w:pPr>
      <w:r>
        <w:rPr>
          <w:rFonts w:ascii="Calibri" w:cs="Calibri" w:eastAsia="Calibri" w:hAnsi="Calibri"/>
          <w:sz w:val="25"/>
          <w:szCs w:val="25"/>
          <w:i w:val="1"/>
          <w:iCs w:val="1"/>
          <w:color w:val="auto"/>
        </w:rPr>
        <w:t>Reduced Adjusted EBITDA loss for frst three quarters of 2024</w:t>
      </w:r>
    </w:p>
    <w:p>
      <w:pPr>
        <w:spacing w:after="0" w:line="19" w:lineRule="exact"/>
        <w:rPr>
          <w:sz w:val="20"/>
          <w:szCs w:val="20"/>
          <w:color w:val="auto"/>
        </w:rPr>
      </w:pPr>
    </w:p>
    <w:p>
      <w:pPr>
        <w:ind w:left="2520"/>
        <w:spacing w:after="0"/>
        <w:rPr>
          <w:sz w:val="20"/>
          <w:szCs w:val="20"/>
          <w:color w:val="auto"/>
        </w:rPr>
      </w:pPr>
      <w:r>
        <w:rPr>
          <w:rFonts w:ascii="Calibri" w:cs="Calibri" w:eastAsia="Calibri" w:hAnsi="Calibri"/>
          <w:sz w:val="25"/>
          <w:szCs w:val="25"/>
          <w:i w:val="1"/>
          <w:iCs w:val="1"/>
          <w:color w:val="auto"/>
        </w:rPr>
        <w:t>Revenue in line with expectatons, excluding one-tme adjustments</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color w:val="auto"/>
        </w:rPr>
        <w:t>November 12, 2024</w:t>
      </w:r>
    </w:p>
    <w:p>
      <w:pPr>
        <w:spacing w:after="0" w:line="238" w:lineRule="exact"/>
        <w:rPr>
          <w:sz w:val="20"/>
          <w:szCs w:val="20"/>
          <w:color w:val="auto"/>
        </w:rPr>
      </w:pPr>
    </w:p>
    <w:p>
      <w:pPr>
        <w:ind w:right="60"/>
        <w:spacing w:after="0" w:line="228" w:lineRule="auto"/>
        <w:rPr>
          <w:sz w:val="20"/>
          <w:szCs w:val="20"/>
          <w:color w:val="auto"/>
        </w:rPr>
      </w:pPr>
      <w:r>
        <w:rPr>
          <w:rFonts w:ascii="Calibri" w:cs="Calibri" w:eastAsia="Calibri" w:hAnsi="Calibri"/>
          <w:sz w:val="20"/>
          <w:szCs w:val="20"/>
          <w:color w:val="auto"/>
        </w:rPr>
        <w:t>Carlsbad, Calif., – Exagen Inc. (Nasdaq: XGN), a leading provider of autoimmune testng solutons, today reported fnancial results for the quarter ended September 30, 2024 and recent corporate updates.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80" w:type="dxa"/>
            <w:vAlign w:val="bottom"/>
          </w:tcPr>
          <w:p>
            <w:pPr>
              <w:spacing w:after="0"/>
              <w:rPr>
                <w:sz w:val="17"/>
                <w:szCs w:val="17"/>
                <w:color w:val="auto"/>
              </w:rPr>
            </w:pPr>
          </w:p>
        </w:tc>
        <w:tc>
          <w:tcPr>
            <w:tcW w:w="35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16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95"/>
        </w:trPr>
        <w:tc>
          <w:tcPr>
            <w:tcW w:w="418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r>
      <w:tr>
        <w:trPr>
          <w:trHeight w:val="181"/>
        </w:trPr>
        <w:tc>
          <w:tcPr>
            <w:tcW w:w="41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ASP data)</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12,507</w:t>
            </w:r>
          </w:p>
        </w:tc>
        <w:tc>
          <w:tcPr>
            <w:tcW w:w="4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13,416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41,986</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38,783</w:t>
            </w:r>
          </w:p>
        </w:tc>
      </w:tr>
      <w:tr>
        <w:trPr>
          <w:trHeight w:val="199"/>
        </w:trPr>
        <w:tc>
          <w:tcPr>
            <w:tcW w:w="4180" w:type="dxa"/>
            <w:vAlign w:val="bottom"/>
          </w:tcPr>
          <w:p>
            <w:pPr>
              <w:ind w:left="20"/>
              <w:spacing w:after="0"/>
              <w:rPr>
                <w:sz w:val="20"/>
                <w:szCs w:val="20"/>
                <w:color w:val="auto"/>
              </w:rPr>
            </w:pPr>
            <w:r>
              <w:rPr>
                <w:rFonts w:ascii="Arial" w:cs="Arial" w:eastAsia="Arial" w:hAnsi="Arial"/>
                <w:sz w:val="14"/>
                <w:szCs w:val="14"/>
                <w:color w:val="auto"/>
              </w:rPr>
              <w:t>Gross margin</w:t>
            </w:r>
          </w:p>
        </w:tc>
        <w:tc>
          <w:tcPr>
            <w:tcW w:w="10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55.8 %</w:t>
            </w:r>
          </w:p>
        </w:tc>
        <w:tc>
          <w:tcPr>
            <w:tcW w:w="4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57.4 %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58.7 %</w:t>
            </w:r>
          </w:p>
        </w:tc>
        <w:tc>
          <w:tcPr>
            <w:tcW w:w="4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54.9 %</w:t>
            </w:r>
          </w:p>
        </w:tc>
      </w:tr>
      <w:tr>
        <w:trPr>
          <w:trHeight w:val="20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 (including COGS)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17,170</w:t>
            </w:r>
          </w:p>
        </w:tc>
        <w:tc>
          <w:tcPr>
            <w:tcW w:w="4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18,485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52,239</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56,473</w:t>
            </w: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(4,663)</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(5,069)</w:t>
            </w:r>
          </w:p>
        </w:tc>
        <w:tc>
          <w:tcPr>
            <w:tcW w:w="12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(10,253)</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(17,690)</w:t>
            </w: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(5,028)</w:t>
            </w:r>
          </w:p>
        </w:tc>
        <w:tc>
          <w:tcPr>
            <w:tcW w:w="4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(5,415)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(11,354)</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(18,116)</w:t>
            </w: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(4,024)</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(3,574)</w:t>
            </w:r>
          </w:p>
        </w:tc>
        <w:tc>
          <w:tcPr>
            <w:tcW w:w="12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(7,614)</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(13,176)</w:t>
            </w: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22,035</w:t>
            </w:r>
          </w:p>
        </w:tc>
        <w:tc>
          <w:tcPr>
            <w:tcW w:w="4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28,448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22,035</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28,448</w:t>
            </w:r>
          </w:p>
        </w:tc>
      </w:tr>
      <w:tr>
        <w:trPr>
          <w:trHeight w:val="194"/>
        </w:trPr>
        <w:tc>
          <w:tcPr>
            <w:tcW w:w="4180" w:type="dxa"/>
            <w:vAlign w:val="bottom"/>
          </w:tcPr>
          <w:p>
            <w:pPr>
              <w:ind w:left="20"/>
              <w:spacing w:after="0"/>
              <w:rPr>
                <w:sz w:val="20"/>
                <w:szCs w:val="20"/>
                <w:color w:val="auto"/>
              </w:rPr>
            </w:pPr>
            <w:r>
              <w:rPr>
                <w:rFonts w:ascii="Arial" w:cs="Arial" w:eastAsia="Arial" w:hAnsi="Arial"/>
                <w:sz w:val="14"/>
                <w:szCs w:val="14"/>
                <w:color w:val="auto"/>
              </w:rPr>
              <w:t>Trailing-twelve-month average selling price (ASP)</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404</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404</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320</w:t>
            </w:r>
          </w:p>
        </w:tc>
      </w:tr>
    </w:tbl>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Q3 2024 Highlights and Recent Corporate Updates:</w:t>
      </w:r>
    </w:p>
    <w:p>
      <w:pPr>
        <w:spacing w:after="0" w:line="306" w:lineRule="exact"/>
        <w:rPr>
          <w:sz w:val="20"/>
          <w:szCs w:val="20"/>
          <w:color w:val="auto"/>
        </w:rPr>
      </w:pPr>
    </w:p>
    <w:p>
      <w:pPr>
        <w:ind w:left="980" w:right="520" w:hanging="324"/>
        <w:spacing w:after="0" w:line="196" w:lineRule="auto"/>
        <w:tabs>
          <w:tab w:leader="none" w:pos="974" w:val="left"/>
        </w:tabs>
        <w:numPr>
          <w:ilvl w:val="0"/>
          <w:numId w:val="2"/>
        </w:numPr>
        <w:rPr>
          <w:rFonts w:ascii="Arial" w:cs="Arial" w:eastAsia="Arial" w:hAnsi="Arial"/>
          <w:sz w:val="25"/>
          <w:szCs w:val="25"/>
          <w:color w:val="auto"/>
        </w:rPr>
      </w:pPr>
      <w:r>
        <w:rPr>
          <w:rFonts w:ascii="Calibri" w:cs="Calibri" w:eastAsia="Calibri" w:hAnsi="Calibri"/>
          <w:sz w:val="20"/>
          <w:szCs w:val="20"/>
          <w:color w:val="auto"/>
        </w:rPr>
        <w:t>Total revenue of $12.5 million in the third quarter of 2024, included the net negatve impact of $1.2 million in one-tme adjustments. Prior to these adjustments, revenue was in line with expectatons.</w:t>
      </w:r>
    </w:p>
    <w:p>
      <w:pPr>
        <w:spacing w:after="0" w:line="226" w:lineRule="exact"/>
        <w:rPr>
          <w:rFonts w:ascii="Arial" w:cs="Arial" w:eastAsia="Arial" w:hAnsi="Arial"/>
          <w:sz w:val="25"/>
          <w:szCs w:val="25"/>
          <w:color w:val="auto"/>
        </w:rPr>
      </w:pPr>
    </w:p>
    <w:p>
      <w:pPr>
        <w:ind w:left="980" w:right="200" w:hanging="324"/>
        <w:spacing w:after="0" w:line="221" w:lineRule="auto"/>
        <w:tabs>
          <w:tab w:leader="none" w:pos="973"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AVISE® CTD trailing twelve-month average selling price (ASP) of $404, a 26% increase over the trailing twelve-month ASP in the third quarter of 2023.</w:t>
      </w:r>
    </w:p>
    <w:p>
      <w:pPr>
        <w:spacing w:after="0" w:line="229"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Net Loss for the frst three quarters of 2024 improved $6.8 million or 37% over the same period in 2023.</w:t>
      </w:r>
    </w:p>
    <w:p>
      <w:pPr>
        <w:spacing w:after="0" w:line="228"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Adjusted EBITDA loss for the frst three quarters of 2024 improved $5.6 million or 42% over the same period in 2023.</w:t>
      </w:r>
    </w:p>
    <w:p>
      <w:pPr>
        <w:sectPr>
          <w:pgSz w:w="11900" w:h="16838" w:orient="portrait"/>
          <w:cols w:equalWidth="0" w:num="1">
            <w:col w:w="11240"/>
          </w:cols>
          <w:pgMar w:left="320" w:top="1440" w:right="339" w:bottom="1440" w:gutter="0" w:footer="0" w:header="0"/>
        </w:sectPr>
      </w:pPr>
    </w:p>
    <w:bookmarkStart w:id="4" w:name="page5"/>
    <w:bookmarkEnd w:id="4"/>
    <w:p>
      <w:pPr>
        <w:ind w:left="980" w:hanging="324"/>
        <w:spacing w:after="0"/>
        <w:tabs>
          <w:tab w:leader="none" w:pos="98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Cash and cash equivalents were $22.0 million as of September 30, 2024, with net cash burn for the quarter of $2.5 million.</w:t>
      </w:r>
    </w:p>
    <w:p>
      <w:pPr>
        <w:spacing w:after="0" w:line="238" w:lineRule="exact"/>
        <w:rPr>
          <w:rFonts w:ascii="Calibri" w:cs="Calibri" w:eastAsia="Calibri" w:hAnsi="Calibri"/>
          <w:sz w:val="20"/>
          <w:szCs w:val="20"/>
          <w:color w:val="auto"/>
        </w:rPr>
      </w:pPr>
    </w:p>
    <w:p>
      <w:pPr>
        <w:ind w:left="980" w:right="460" w:hanging="324"/>
        <w:spacing w:after="0" w:line="217" w:lineRule="auto"/>
        <w:tabs>
          <w:tab w:leader="none" w:pos="980" w:val="left"/>
        </w:tabs>
        <w:numPr>
          <w:ilvl w:val="0"/>
          <w:numId w:val="3"/>
        </w:numPr>
        <w:rPr>
          <w:rFonts w:ascii="Calibri" w:cs="Calibri" w:eastAsia="Calibri" w:hAnsi="Calibri"/>
          <w:sz w:val="22"/>
          <w:szCs w:val="22"/>
          <w:color w:val="auto"/>
        </w:rPr>
      </w:pPr>
      <w:r>
        <w:rPr>
          <w:rFonts w:ascii="Calibri" w:cs="Calibri" w:eastAsia="Calibri" w:hAnsi="Calibri"/>
          <w:sz w:val="20"/>
          <w:szCs w:val="20"/>
          <w:color w:val="auto"/>
        </w:rPr>
        <w:t>Analytcal validaton completed for novel biomarkers to enhance AVISE® CTD and submited to NY State Department of Health for approval.</w:t>
      </w:r>
    </w:p>
    <w:p>
      <w:pPr>
        <w:spacing w:after="0" w:line="217" w:lineRule="exact"/>
        <w:rPr>
          <w:rFonts w:ascii="Calibri" w:cs="Calibri" w:eastAsia="Calibri" w:hAnsi="Calibri"/>
          <w:sz w:val="22"/>
          <w:szCs w:val="22"/>
          <w:color w:val="auto"/>
        </w:rPr>
      </w:pPr>
    </w:p>
    <w:p>
      <w:pPr>
        <w:ind w:left="980" w:hanging="324"/>
        <w:spacing w:after="0"/>
        <w:tabs>
          <w:tab w:leader="none" w:pos="980" w:val="left"/>
        </w:tabs>
        <w:numPr>
          <w:ilvl w:val="0"/>
          <w:numId w:val="3"/>
        </w:numPr>
        <w:rPr>
          <w:rFonts w:ascii="Calibri" w:cs="Calibri" w:eastAsia="Calibri" w:hAnsi="Calibri"/>
          <w:sz w:val="22"/>
          <w:szCs w:val="22"/>
          <w:color w:val="auto"/>
        </w:rPr>
      </w:pPr>
      <w:r>
        <w:rPr>
          <w:rFonts w:ascii="Calibri" w:cs="Calibri" w:eastAsia="Calibri" w:hAnsi="Calibri"/>
          <w:sz w:val="20"/>
          <w:szCs w:val="20"/>
          <w:color w:val="auto"/>
        </w:rPr>
        <w:t>Welcomed Jef Black as Chief Financial Ofcer efectve as of September 1, 2024.</w:t>
      </w:r>
    </w:p>
    <w:p>
      <w:pPr>
        <w:spacing w:after="0" w:line="238" w:lineRule="exact"/>
        <w:rPr>
          <w:sz w:val="20"/>
          <w:szCs w:val="20"/>
          <w:color w:val="auto"/>
        </w:rPr>
      </w:pPr>
    </w:p>
    <w:p>
      <w:pPr>
        <w:ind w:right="60"/>
        <w:spacing w:after="0" w:line="223" w:lineRule="auto"/>
        <w:rPr>
          <w:sz w:val="20"/>
          <w:szCs w:val="20"/>
          <w:color w:val="auto"/>
        </w:rPr>
      </w:pPr>
      <w:r>
        <w:rPr>
          <w:rFonts w:ascii="Calibri" w:cs="Calibri" w:eastAsia="Calibri" w:hAnsi="Calibri"/>
          <w:sz w:val="20"/>
          <w:szCs w:val="20"/>
          <w:color w:val="auto"/>
        </w:rPr>
        <w:t>"We've positoned ourselves for a strong fnish to 2024 and laid the groundwork for an excitng 2025, as we look to add new proprietary biomarkers to enhance our fagship product, AVISE® CTD. We remain prudent with our cash as we drive towards proftable growth and contnue to shape Exagen as an industry leader in novel autoimmune testng. This is the perfect tme to have Jef join our leadership team and I welcome him as we deliver on the potental that lies ahead,” said John Aballi, President and Chief Executve Ofcer.</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2024 Selected Unaudited Interim Financial Results (in thousands)</w:t>
      </w:r>
    </w:p>
    <w:p>
      <w:pPr>
        <w:spacing w:after="0" w:line="144" w:lineRule="exact"/>
        <w:rPr>
          <w:sz w:val="20"/>
          <w:szCs w:val="20"/>
          <w:color w:val="auto"/>
        </w:rPr>
      </w:pPr>
    </w:p>
    <w:p>
      <w:pPr>
        <w:ind w:right="140"/>
        <w:spacing w:after="0" w:line="223" w:lineRule="auto"/>
        <w:rPr>
          <w:sz w:val="20"/>
          <w:szCs w:val="20"/>
          <w:color w:val="auto"/>
        </w:rPr>
      </w:pPr>
      <w:r>
        <w:rPr>
          <w:rFonts w:ascii="Calibri" w:cs="Calibri" w:eastAsia="Calibri" w:hAnsi="Calibri"/>
          <w:sz w:val="20"/>
          <w:szCs w:val="20"/>
          <w:color w:val="auto"/>
        </w:rPr>
        <w:t>Total revenue was $12.5 million (including the impact of $1.2 million in one-tme adjustments) in the third quarter of 2024, and $42.0 million for the frst three quarters of 2024, compared to $13.4 million in the third quarter of 2023 and $38.8 million for the frst three quarters of 2023. Gross margin was 55.8% (including approximately 400 bps impact from one-tme adjustments) in the third quarter of 2024, compared to 57.4% in the third quarter of 2023.</w:t>
      </w:r>
    </w:p>
    <w:p>
      <w:pPr>
        <w:spacing w:after="0" w:line="227" w:lineRule="exact"/>
        <w:rPr>
          <w:sz w:val="20"/>
          <w:szCs w:val="20"/>
          <w:color w:val="auto"/>
        </w:rPr>
      </w:pPr>
    </w:p>
    <w:p>
      <w:pPr>
        <w:ind w:right="20"/>
        <w:spacing w:after="0" w:line="221" w:lineRule="auto"/>
        <w:rPr>
          <w:sz w:val="20"/>
          <w:szCs w:val="20"/>
          <w:color w:val="auto"/>
        </w:rPr>
      </w:pPr>
      <w:r>
        <w:rPr>
          <w:rFonts w:ascii="Calibri" w:cs="Calibri" w:eastAsia="Calibri" w:hAnsi="Calibri"/>
          <w:sz w:val="20"/>
          <w:szCs w:val="20"/>
          <w:color w:val="auto"/>
        </w:rPr>
        <w:t>Operatng expenses were $17.2 million in the third quarter of 2024, compared with $18.5 million in the third quarter of 2023. Operatng expenses were $52.2 million in the frst three quarters of 2024, compared to $56.5 million in the frst three quarters of 2023.</w:t>
      </w:r>
    </w:p>
    <w:p>
      <w:pPr>
        <w:spacing w:after="0" w:line="252"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Net loss was $5.0 million in the third quarter of 2024, compared to a net loss of $5.4 million in the third quarter of 2023. Net loss for the frst three quarters of 2024 was $11.4 million compared, to $18.1 million in the frst three quarters of 2023.</w:t>
      </w:r>
    </w:p>
    <w:p>
      <w:pPr>
        <w:spacing w:after="0" w:line="145" w:lineRule="exact"/>
        <w:rPr>
          <w:sz w:val="20"/>
          <w:szCs w:val="20"/>
          <w:color w:val="auto"/>
        </w:rPr>
      </w:pPr>
    </w:p>
    <w:p>
      <w:pPr>
        <w:jc w:val="both"/>
        <w:spacing w:after="0" w:line="222" w:lineRule="auto"/>
        <w:rPr>
          <w:sz w:val="20"/>
          <w:szCs w:val="20"/>
          <w:color w:val="auto"/>
        </w:rPr>
      </w:pPr>
      <w:r>
        <w:rPr>
          <w:rFonts w:ascii="Calibri" w:cs="Calibri" w:eastAsia="Calibri" w:hAnsi="Calibri"/>
          <w:sz w:val="20"/>
          <w:szCs w:val="20"/>
          <w:color w:val="auto"/>
        </w:rPr>
        <w:t>Adjusted EBITDA loss was $4.0 million in the third quarter of 2024, compared to a $3.6 million loss in the third quarter of 2023. Adjusted EBITDA loss through the frst three quarters of 2024 was $7.6 million compared to a $13.2 million loss through the frst three quarters of 2023.</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color w:val="auto"/>
        </w:rPr>
        <w:t>As of September 30, 2024 cash and cash equivalents were $22.0 million and our accounts receivable balance was $9.4 million.</w:t>
      </w:r>
    </w:p>
    <w:p>
      <w:pPr>
        <w:spacing w:after="0" w:line="238" w:lineRule="exact"/>
        <w:rPr>
          <w:sz w:val="20"/>
          <w:szCs w:val="20"/>
          <w:color w:val="auto"/>
        </w:rPr>
      </w:pPr>
    </w:p>
    <w:p>
      <w:pPr>
        <w:ind w:right="380"/>
        <w:spacing w:after="0" w:line="222" w:lineRule="auto"/>
        <w:rPr>
          <w:sz w:val="20"/>
          <w:szCs w:val="20"/>
          <w:color w:val="auto"/>
        </w:rPr>
      </w:pPr>
      <w:r>
        <w:rPr>
          <w:rFonts w:ascii="Calibri" w:cs="Calibri" w:eastAsia="Calibri" w:hAnsi="Calibri"/>
          <w:sz w:val="20"/>
          <w:szCs w:val="20"/>
          <w:color w:val="auto"/>
        </w:rPr>
        <w:t>Reconciliatons of non-GAAP adjusted EBITDA to GAAP net loss, the closest GAAP fnancial measures, are provided in the fnancial schedules that are part of this press release. An explanaton of these non-GAAP fnancial measures is also included below under the heading “Use of Non-GAAP Financial Measures (unaudited).”</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2024 Guidance</w:t>
      </w:r>
    </w:p>
    <w:p>
      <w:pPr>
        <w:spacing w:after="0" w:line="144" w:lineRule="exact"/>
        <w:rPr>
          <w:sz w:val="20"/>
          <w:szCs w:val="20"/>
          <w:color w:val="auto"/>
        </w:rPr>
      </w:pPr>
    </w:p>
    <w:p>
      <w:pPr>
        <w:ind w:right="60"/>
        <w:spacing w:after="0" w:line="221" w:lineRule="auto"/>
        <w:rPr>
          <w:sz w:val="20"/>
          <w:szCs w:val="20"/>
          <w:color w:val="auto"/>
        </w:rPr>
      </w:pPr>
      <w:r>
        <w:rPr>
          <w:rFonts w:ascii="Calibri" w:cs="Calibri" w:eastAsia="Calibri" w:hAnsi="Calibri"/>
          <w:sz w:val="20"/>
          <w:szCs w:val="20"/>
          <w:color w:val="auto"/>
        </w:rPr>
        <w:t>The Company now expects 2024 full-year revenue of $55 million to $56 million, primarily refectng the impact of one-tme adjustments in the third quarter, and reiterates adjusted EBITDA loss expectatons of beter than $12 million.</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Conference Call</w:t>
      </w:r>
    </w:p>
    <w:p>
      <w:pPr>
        <w:sectPr>
          <w:pgSz w:w="11900" w:h="16838" w:orient="portrait"/>
          <w:cols w:equalWidth="0" w:num="1">
            <w:col w:w="11180"/>
          </w:cols>
          <w:pgMar w:left="320" w:top="1388" w:right="399" w:bottom="1440" w:gutter="0" w:footer="0" w:header="0"/>
        </w:sectPr>
      </w:pPr>
    </w:p>
    <w:bookmarkStart w:id="5" w:name="page6"/>
    <w:bookmarkEnd w:id="5"/>
    <w:p>
      <w:pPr>
        <w:ind w:right="100"/>
        <w:spacing w:after="0"/>
        <w:rPr>
          <w:sz w:val="20"/>
          <w:szCs w:val="20"/>
          <w:color w:val="auto"/>
        </w:rPr>
      </w:pPr>
      <w:r>
        <w:rPr>
          <w:rFonts w:ascii="Calibri" w:cs="Calibri" w:eastAsia="Calibri" w:hAnsi="Calibri"/>
          <w:sz w:val="20"/>
          <w:szCs w:val="20"/>
          <w:color w:val="auto"/>
        </w:rPr>
        <w:t>A conference call to review third quarter 2024 fnancial results and to provide a business update is scheduled for today, November 12, 2024 at 8:30 AM Eastern Time (5:30 AM Pacifc Time). Interested partes may access the conference call by dialing (201) 389-0918 (U.S.) or (877) 407-0890 (internatonal). Additonally, a link to a live webcast of the call will be available in the Investor Relatons secton of Exagen's website at investors.exagen.com.</w:t>
      </w:r>
    </w:p>
    <w:p>
      <w:pPr>
        <w:spacing w:after="0" w:line="157"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Partcipants are asked to join a few minutes prior to the call to register for the event. A replay of the conference call will be available untl Tuesday, November 26, 2024, at 11:59 PM Eastern Time (8:59 PM Pacifc Time). Interested partes may access the replay by dialing (201) 612-7415 (U.S.) or (877) 660-6853 (internatonal) using passcode 13749452. A link to the replay of the webcast will also be available in the Investor Relatons secton of Exagen's website.</w:t>
      </w:r>
    </w:p>
    <w:p>
      <w:pPr>
        <w:spacing w:after="0" w:line="37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Use of Non-GAAP Financial Measures (UNAUDITED)</w:t>
      </w:r>
    </w:p>
    <w:p>
      <w:pPr>
        <w:spacing w:after="0" w:line="157" w:lineRule="exact"/>
        <w:rPr>
          <w:sz w:val="20"/>
          <w:szCs w:val="20"/>
          <w:color w:val="auto"/>
        </w:rPr>
      </w:pPr>
    </w:p>
    <w:p>
      <w:pPr>
        <w:ind w:right="720"/>
        <w:spacing w:after="0" w:line="231" w:lineRule="auto"/>
        <w:rPr>
          <w:sz w:val="20"/>
          <w:szCs w:val="20"/>
          <w:color w:val="auto"/>
        </w:rPr>
      </w:pPr>
      <w:r>
        <w:rPr>
          <w:rFonts w:ascii="Calibri" w:cs="Calibri" w:eastAsia="Calibri" w:hAnsi="Calibri"/>
          <w:sz w:val="20"/>
          <w:szCs w:val="20"/>
          <w:color w:val="auto"/>
        </w:rPr>
        <w:t>In this release, we use the metrics of adjusted EBITDA, which is not calculated in accordance with generally accepted accountng principles in the United States (GAAP) and is a non-GAAP fnancial measure. Adjusted EBITDA excludes net loss interest income (expense), depreciaton and amortzaton expense, and stock-based compensaton expense.</w:t>
      </w:r>
    </w:p>
    <w:p>
      <w:pPr>
        <w:spacing w:after="0" w:line="254" w:lineRule="exact"/>
        <w:rPr>
          <w:sz w:val="20"/>
          <w:szCs w:val="20"/>
          <w:color w:val="auto"/>
        </w:rPr>
      </w:pPr>
    </w:p>
    <w:p>
      <w:pPr>
        <w:ind w:right="20"/>
        <w:spacing w:after="0" w:line="233" w:lineRule="auto"/>
        <w:rPr>
          <w:sz w:val="20"/>
          <w:szCs w:val="20"/>
          <w:color w:val="auto"/>
        </w:rPr>
      </w:pPr>
      <w:r>
        <w:rPr>
          <w:rFonts w:ascii="Calibri" w:cs="Calibri" w:eastAsia="Calibri" w:hAnsi="Calibri"/>
          <w:sz w:val="20"/>
          <w:szCs w:val="20"/>
          <w:color w:val="auto"/>
        </w:rPr>
        <w:t>We use adjusted EBITDA internally because we believe these metrics provide useful supplemental informaton in assessing our operatng performance reported in accordance with GAAP. We believe adjusted EBITDA may enhance an evaluaton of our operatng performance because it excludes the impact of prior decisions made about capital investment, fnancing, investng and certain expenses we believe are not indicatve of our ongoing performance. However, this non-GAAP fnancial measure may be diferent from non-GAAP fnancial measures used by other companies, even when the same or similarly ttled terms are used to identfy such measures, limitng their usefulness for comparatve purposes.</w:t>
      </w:r>
    </w:p>
    <w:p>
      <w:pPr>
        <w:spacing w:after="0" w:line="238" w:lineRule="exact"/>
        <w:rPr>
          <w:sz w:val="20"/>
          <w:szCs w:val="20"/>
          <w:color w:val="auto"/>
        </w:rPr>
      </w:pPr>
    </w:p>
    <w:p>
      <w:pPr>
        <w:ind w:right="60"/>
        <w:spacing w:after="0" w:line="234" w:lineRule="auto"/>
        <w:rPr>
          <w:sz w:val="20"/>
          <w:szCs w:val="20"/>
          <w:color w:val="auto"/>
        </w:rPr>
      </w:pPr>
      <w:r>
        <w:rPr>
          <w:rFonts w:ascii="Calibri" w:cs="Calibri" w:eastAsia="Calibri" w:hAnsi="Calibri"/>
          <w:sz w:val="20"/>
          <w:szCs w:val="20"/>
          <w:color w:val="auto"/>
        </w:rPr>
        <w:t>This non-GAAP fnancial measure is not meant to be considered in isolaton or used as a substtute for net loss reported in accordance with GAAP, should be considered in conjuncton with our fnancial informaton presented in accordance with GAAP, has no standardized meaning prescribed by GAAP, is unaudited, and is not prepared under any comprehensive set of accountng rules or principles. In additon, from tme to tme in the future, there may be other items that we may exclude for purposes of these non-GAAP fnancial measures, and we may in the future cease to exclude items that we have historically excluded for purposes of these non-GAAP fnancial measures. Likewise, we may determine to modify the nature of adjustments to arrive at these non-GAAP fnancial measures. Because of the non-standardized defnitons of non-GAAP fnancial measures, the non-GAAP fnancial measure as used by us in this press release and the accompanying reconciliaton table have limits in their usefulness to investors and may be calculated diferently from, and therefore may not be directly comparable to, similarly ttled measures used by other companies. Accordingly, investors should not place undue reliance on non-GAAP fnancial measures.</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Exagen</w:t>
      </w:r>
    </w:p>
    <w:p>
      <w:pPr>
        <w:spacing w:after="0" w:line="157" w:lineRule="exact"/>
        <w:rPr>
          <w:sz w:val="20"/>
          <w:szCs w:val="20"/>
          <w:color w:val="auto"/>
        </w:rPr>
      </w:pPr>
    </w:p>
    <w:p>
      <w:pPr>
        <w:ind w:right="100"/>
        <w:spacing w:after="0" w:line="233" w:lineRule="auto"/>
        <w:rPr>
          <w:sz w:val="20"/>
          <w:szCs w:val="20"/>
          <w:color w:val="auto"/>
        </w:rPr>
      </w:pPr>
      <w:r>
        <w:rPr>
          <w:rFonts w:ascii="Calibri" w:cs="Calibri" w:eastAsia="Calibri" w:hAnsi="Calibri"/>
          <w:sz w:val="20"/>
          <w:szCs w:val="20"/>
          <w:color w:val="auto"/>
        </w:rPr>
        <w:t>Exagen Inc. (Nasdaq: XGN) is a leading provider of autoimmune diagnostcs, commited to transforming care for patents with chronic and debilitatng autoimmune conditons. Based in San Diego County, California, Exagen’s mission is to provide clarity in autoimmune disease decision making and improve clinical outcomes through its innovatve testng portolio. The Company’s fagship product, AVISE® CTD, enables clinicians to more efectvely diagnose complex autoimmune conditons such as lupus,</w:t>
      </w:r>
    </w:p>
    <w:p>
      <w:pPr>
        <w:sectPr>
          <w:pgSz w:w="11900" w:h="16838" w:orient="portrait"/>
          <w:cols w:equalWidth="0" w:num="1">
            <w:col w:w="11220"/>
          </w:cols>
          <w:pgMar w:left="320" w:top="1411" w:right="359" w:bottom="1440" w:gutter="0" w:footer="0" w:header="0"/>
        </w:sectPr>
      </w:pPr>
    </w:p>
    <w:bookmarkStart w:id="6" w:name="page7"/>
    <w:bookmarkEnd w:id="6"/>
    <w:p>
      <w:pPr>
        <w:ind w:right="700"/>
        <w:spacing w:after="0" w:line="233" w:lineRule="auto"/>
        <w:rPr>
          <w:sz w:val="20"/>
          <w:szCs w:val="20"/>
          <w:color w:val="auto"/>
        </w:rPr>
      </w:pPr>
      <w:r>
        <w:rPr>
          <w:rFonts w:ascii="Calibri" w:cs="Calibri" w:eastAsia="Calibri" w:hAnsi="Calibri"/>
          <w:sz w:val="20"/>
          <w:szCs w:val="20"/>
          <w:color w:val="auto"/>
        </w:rPr>
        <w:t>rheumatoid arthrits, and Sjögren’s syndrome earlier and with greater accuracy. Exagen’s laboratory specializes in the testng of rheumatc diseases, delivering precise and tmely results, supported by a full suite of AVISE®-branded tests for disease diagnosis, prognosis, and monitoring. With a focus on research, innovaton, educaton, and patent-centered care, Exagen is dedicated to addressing the ongoing challenges of autoimmune disease management.</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color w:val="auto"/>
        </w:rPr>
        <w:t>For more informaton, please visit Exagen.com or follow @ExagenInc on X (formally known as Twiter).</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 Looking Statements</w:t>
      </w:r>
    </w:p>
    <w:p>
      <w:pPr>
        <w:spacing w:after="0" w:line="144" w:lineRule="exact"/>
        <w:rPr>
          <w:sz w:val="20"/>
          <w:szCs w:val="20"/>
          <w:color w:val="auto"/>
        </w:rPr>
      </w:pPr>
    </w:p>
    <w:p>
      <w:pPr>
        <w:spacing w:after="0" w:line="218" w:lineRule="auto"/>
        <w:rPr>
          <w:sz w:val="20"/>
          <w:szCs w:val="20"/>
          <w:color w:val="auto"/>
        </w:rPr>
      </w:pPr>
      <w:r>
        <w:rPr>
          <w:rFonts w:ascii="Calibri" w:cs="Calibri" w:eastAsia="Calibri" w:hAnsi="Calibri"/>
          <w:sz w:val="20"/>
          <w:szCs w:val="20"/>
          <w:color w:val="auto"/>
        </w:rPr>
        <w:t>Exagen cautons you that statements contained in this press release regarding maters that are not historical facts are forward-looking statements. These statements are based on Exagen’s current beliefs and expectatons. Such forward-looking statements include, but are not limited to, statements regarding: Exagen’s goals, strategies and ambitons; potental future fnancial and business performance; the potental utlity and efectveness of Exagen’s services and testng solutons; updates to be made to AVISE® CTD; potental shareholder value and growth and full-year 2024 guidance. The inclusion of forward-looking statements should not be regarded as a representaton by Exagen that any of its plans will be achieved. Actual results may difer from those set forth in this press release due to the risks and uncertaintes inherent in Exagen’s business, including, without limitaton: delays in reimbursement and coverage decisions from Medicare and third-party payors and in interactons with regulatory authorites, and delays in ongoing and planned clinical trials involving its tests; changes in laws and regulatons related to Exagen’s regulatory requirements; Exagen’s commercial success depends upon ataining and maintaining signifcant market acceptance of its testng products among rheumatologists, patents, third-party payors and others in the medical community; Exagen’s ability to successfully execute on its business strategies; third-party payors not providing coverage and adequate reimbursement for Exagen’s testng products, including Exagen’s ability to collect on funds due; Exagen’s ability to obtain and maintain intellectual property protecton for its testng products; regulatory developments afectng Exagen’s business; and other risks described in Exagen’s prior press releases and Exagen’s flings with the Securites and Exchange Commission (“SEC”), including under the heading “Risk Factors” in Exagen’s Annual Report on Form 10-K for the year ended December 31, 2023, fled with the SEC on March 18, 2024, its Quarterly Report on Form 10-Q for the quarter ended September 30, 2024, fled with the SEC on November 12, 2024 and any subsequent flings with the SEC. You are cautoned not to place undue reliance on these forward-looking statements, which speak only as of the date hereof, and Exagen undertakes no obligaton to update such statements to refect events that occur or circumstances that exist afer the date hereof. All forward-looking statements are qualifed in their entrety by this cautonary statement, which is made under the safe harbor provisions of the Private Securites Litgaton Reform Act of 1995.</w:t>
      </w:r>
    </w:p>
    <w:p>
      <w:pPr>
        <w:spacing w:after="0" w:line="22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w:t>
      </w:r>
    </w:p>
    <w:p>
      <w:pPr>
        <w:spacing w:after="0" w:line="238" w:lineRule="auto"/>
        <w:rPr>
          <w:sz w:val="20"/>
          <w:szCs w:val="20"/>
          <w:color w:val="auto"/>
        </w:rPr>
      </w:pPr>
      <w:r>
        <w:rPr>
          <w:rFonts w:ascii="Calibri" w:cs="Calibri" w:eastAsia="Calibri" w:hAnsi="Calibri"/>
          <w:sz w:val="20"/>
          <w:szCs w:val="20"/>
          <w:color w:val="auto"/>
        </w:rPr>
        <w:t>Ryan Douglas</w:t>
      </w:r>
    </w:p>
    <w:p>
      <w:pPr>
        <w:spacing w:after="0"/>
        <w:rPr>
          <w:sz w:val="20"/>
          <w:szCs w:val="20"/>
          <w:color w:val="auto"/>
        </w:rPr>
      </w:pPr>
      <w:r>
        <w:rPr>
          <w:rFonts w:ascii="Calibri" w:cs="Calibri" w:eastAsia="Calibri" w:hAnsi="Calibri"/>
          <w:sz w:val="20"/>
          <w:szCs w:val="20"/>
          <w:color w:val="auto"/>
        </w:rPr>
        <w:t>Exagen Inc.</w:t>
      </w:r>
    </w:p>
    <w:p>
      <w:pPr>
        <w:spacing w:after="0" w:line="225" w:lineRule="auto"/>
        <w:rPr>
          <w:sz w:val="20"/>
          <w:szCs w:val="20"/>
          <w:color w:val="auto"/>
        </w:rPr>
      </w:pPr>
      <w:r>
        <w:rPr>
          <w:rFonts w:ascii="Calibri" w:cs="Calibri" w:eastAsia="Calibri" w:hAnsi="Calibri"/>
          <w:sz w:val="20"/>
          <w:szCs w:val="20"/>
          <w:color w:val="auto"/>
        </w:rPr>
        <w:t>ir@exagen.com</w:t>
      </w:r>
    </w:p>
    <w:p>
      <w:pPr>
        <w:spacing w:after="0"/>
        <w:rPr>
          <w:sz w:val="20"/>
          <w:szCs w:val="20"/>
          <w:color w:val="auto"/>
        </w:rPr>
      </w:pPr>
      <w:r>
        <w:rPr>
          <w:rFonts w:ascii="Calibri" w:cs="Calibri" w:eastAsia="Calibri" w:hAnsi="Calibri"/>
          <w:sz w:val="20"/>
          <w:szCs w:val="20"/>
          <w:color w:val="auto"/>
        </w:rPr>
        <w:t>760.560.1525</w:t>
      </w:r>
    </w:p>
    <w:p>
      <w:pPr>
        <w:sectPr>
          <w:pgSz w:w="11900" w:h="16838" w:orient="portrait"/>
          <w:cols w:equalWidth="0" w:num="1">
            <w:col w:w="11220"/>
          </w:cols>
          <w:pgMar w:left="320" w:top="1411" w:right="359" w:bottom="1440" w:gutter="0" w:footer="0" w:header="0"/>
        </w:sectPr>
      </w:pPr>
    </w:p>
    <w:bookmarkStart w:id="7" w:name="page8"/>
    <w:bookmarkEnd w:id="7"/>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306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38,783</w:t>
            </w:r>
          </w:p>
        </w:tc>
        <w:tc>
          <w:tcPr>
            <w:tcW w:w="0" w:type="dxa"/>
            <w:vAlign w:val="bottom"/>
          </w:tcPr>
          <w:p>
            <w:pPr>
              <w:spacing w:after="0"/>
              <w:rPr>
                <w:sz w:val="1"/>
                <w:szCs w:val="1"/>
                <w:color w:val="auto"/>
              </w:rPr>
            </w:pPr>
          </w:p>
        </w:tc>
      </w:tr>
      <w:tr>
        <w:trPr>
          <w:trHeight w:val="198"/>
        </w:trPr>
        <w:tc>
          <w:tcPr>
            <w:tcW w:w="44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17,472</w:t>
            </w:r>
          </w:p>
        </w:tc>
        <w:tc>
          <w:tcPr>
            <w:tcW w:w="0" w:type="dxa"/>
            <w:vAlign w:val="bottom"/>
          </w:tcPr>
          <w:p>
            <w:pPr>
              <w:spacing w:after="0"/>
              <w:rPr>
                <w:sz w:val="1"/>
                <w:szCs w:val="1"/>
                <w:color w:val="auto"/>
              </w:rPr>
            </w:pPr>
          </w:p>
        </w:tc>
      </w:tr>
      <w:tr>
        <w:trPr>
          <w:trHeight w:val="198"/>
        </w:trPr>
        <w:tc>
          <w:tcPr>
            <w:tcW w:w="442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10,163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11,375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31,169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35,212</w:t>
            </w: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2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3,789</w:t>
            </w:r>
          </w:p>
        </w:tc>
        <w:tc>
          <w:tcPr>
            <w:tcW w:w="0" w:type="dxa"/>
            <w:vAlign w:val="bottom"/>
          </w:tcPr>
          <w:p>
            <w:pPr>
              <w:spacing w:after="0"/>
              <w:rPr>
                <w:sz w:val="1"/>
                <w:szCs w:val="1"/>
                <w:color w:val="auto"/>
              </w:rPr>
            </w:pPr>
          </w:p>
        </w:tc>
      </w:tr>
      <w:tr>
        <w:trPr>
          <w:trHeight w:val="192"/>
        </w:trPr>
        <w:tc>
          <w:tcPr>
            <w:tcW w:w="44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17,170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18,485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52,239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56,473</w:t>
            </w:r>
          </w:p>
        </w:tc>
        <w:tc>
          <w:tcPr>
            <w:tcW w:w="0" w:type="dxa"/>
            <w:vAlign w:val="bottom"/>
          </w:tcPr>
          <w:p>
            <w:pPr>
              <w:spacing w:after="0"/>
              <w:rPr>
                <w:sz w:val="1"/>
                <w:szCs w:val="1"/>
                <w:color w:val="auto"/>
              </w:rPr>
            </w:pPr>
          </w:p>
        </w:tc>
      </w:tr>
      <w:tr>
        <w:trPr>
          <w:trHeight w:val="200"/>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(17,690)</w:t>
            </w:r>
          </w:p>
        </w:tc>
        <w:tc>
          <w:tcPr>
            <w:tcW w:w="0" w:type="dxa"/>
            <w:vAlign w:val="bottom"/>
          </w:tcPr>
          <w:p>
            <w:pPr>
              <w:spacing w:after="0"/>
              <w:rPr>
                <w:sz w:val="1"/>
                <w:szCs w:val="1"/>
                <w:color w:val="auto"/>
              </w:rPr>
            </w:pPr>
          </w:p>
        </w:tc>
      </w:tr>
      <w:tr>
        <w:trPr>
          <w:trHeight w:val="198"/>
        </w:trPr>
        <w:tc>
          <w:tcPr>
            <w:tcW w:w="44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(1,769)</w:t>
            </w: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0" w:type="dxa"/>
            <w:vAlign w:val="bottom"/>
          </w:tcPr>
          <w:p>
            <w:pPr>
              <w:spacing w:after="0"/>
              <w:rPr>
                <w:sz w:val="1"/>
                <w:szCs w:val="1"/>
                <w:color w:val="auto"/>
              </w:rPr>
            </w:pPr>
          </w:p>
        </w:tc>
      </w:tr>
      <w:tr>
        <w:trPr>
          <w:trHeight w:val="192"/>
        </w:trPr>
        <w:tc>
          <w:tcPr>
            <w:tcW w:w="4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(5,028)</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(5,415)</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(11,354)</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(18,116)</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line="144" w:lineRule="exact"/>
              <w:rPr>
                <w:sz w:val="20"/>
                <w:szCs w:val="20"/>
                <w:color w:val="auto"/>
              </w:rPr>
            </w:pPr>
            <w:r>
              <w:rPr>
                <w:rFonts w:ascii="Arial" w:cs="Arial" w:eastAsia="Arial" w:hAnsi="Arial"/>
                <w:sz w:val="14"/>
                <w:szCs w:val="14"/>
                <w:color w:val="auto"/>
              </w:rPr>
              <w:t>Weighted-average number of shares used to compute net loss per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4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18,254,937</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17,692,603</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18,127,549</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17,626,686</w:t>
            </w:r>
          </w:p>
        </w:tc>
        <w:tc>
          <w:tcPr>
            <w:tcW w:w="0" w:type="dxa"/>
            <w:vAlign w:val="bottom"/>
          </w:tcPr>
          <w:p>
            <w:pPr>
              <w:spacing w:after="0"/>
              <w:rPr>
                <w:sz w:val="1"/>
                <w:szCs w:val="1"/>
                <w:color w:val="auto"/>
              </w:rPr>
            </w:pPr>
          </w:p>
        </w:tc>
      </w:tr>
      <w:tr>
        <w:trPr>
          <w:trHeight w:val="158"/>
        </w:trPr>
        <w:tc>
          <w:tcPr>
            <w:tcW w:w="4420" w:type="dxa"/>
            <w:vAlign w:val="bottom"/>
          </w:tcPr>
          <w:p>
            <w:pPr>
              <w:ind w:left="20"/>
              <w:spacing w:after="0" w:line="158" w:lineRule="exact"/>
              <w:rPr>
                <w:sz w:val="20"/>
                <w:szCs w:val="20"/>
                <w:color w:val="auto"/>
              </w:rPr>
            </w:pPr>
            <w:r>
              <w:rPr>
                <w:rFonts w:ascii="Arial" w:cs="Arial" w:eastAsia="Arial" w:hAnsi="Arial"/>
                <w:sz w:val="14"/>
                <w:szCs w:val="14"/>
                <w:color w:val="auto"/>
              </w:rPr>
              <w:t>share, basic and diluted</w:t>
            </w:r>
          </w:p>
        </w:tc>
        <w:tc>
          <w:tcPr>
            <w:tcW w:w="2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8" w:name="page9"/>
    <w:bookmarkEnd w:id="8"/>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36,493</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6,551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35,557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47,841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5,201</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43,605</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56,944</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7,531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Borrowings-current portion</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11,902</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19,823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19,231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operating lease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2,760</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34,250</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10,000,000 shares authorized, no shares issued or outstanding as of September 30, 2024 and</w:t>
            </w:r>
          </w:p>
        </w:tc>
        <w:tc>
          <w:tcPr>
            <w:tcW w:w="120" w:type="dxa"/>
            <w:vAlign w:val="bottom"/>
          </w:tcPr>
          <w:p>
            <w:pPr>
              <w:spacing w:after="0"/>
              <w:rPr>
                <w:sz w:val="13"/>
                <w:szCs w:val="13"/>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December 31, 2023</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as of September 30, 2024 and December 31, 2023;</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17,520,335 and 17,045,954 shares issued and outstanding as of September 30, 2024 and December 31, 2023, respectively</w:t>
            </w: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303,420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301,893</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(290,570)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(279,216)</w:t>
            </w:r>
          </w:p>
        </w:tc>
        <w:tc>
          <w:tcPr>
            <w:tcW w:w="0" w:type="dxa"/>
            <w:vAlign w:val="bottom"/>
          </w:tcPr>
          <w:p>
            <w:pPr>
              <w:spacing w:after="0"/>
              <w:rPr>
                <w:sz w:val="1"/>
                <w:szCs w:val="1"/>
                <w:color w:val="auto"/>
              </w:rPr>
            </w:pPr>
          </w:p>
        </w:tc>
      </w:tr>
      <w:tr>
        <w:trPr>
          <w:trHeight w:val="192"/>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12,868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43,605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165" w:lineRule="exact"/>
        <w:rPr>
          <w:sz w:val="20"/>
          <w:szCs w:val="20"/>
          <w:color w:val="auto"/>
        </w:rPr>
      </w:pPr>
    </w:p>
    <w:p>
      <w:pPr>
        <w:ind w:right="40"/>
        <w:spacing w:after="0" w:line="234" w:lineRule="auto"/>
        <w:rPr>
          <w:sz w:val="20"/>
          <w:szCs w:val="20"/>
          <w:color w:val="auto"/>
        </w:rPr>
      </w:pPr>
      <w:r>
        <w:rPr>
          <w:rFonts w:ascii="Calibri" w:cs="Calibri" w:eastAsia="Calibri" w:hAnsi="Calibri"/>
          <w:sz w:val="20"/>
          <w:szCs w:val="20"/>
          <w:color w:val="auto"/>
        </w:rPr>
        <w:t>The table below presents the reconciliaton of adjusted EBITDA, which is a non-GAAP fnancial measure. See "Use of Non-GAAP Financial Measures (UNAUDITED)" above for further informaton regarding the Company's use of non-GAAP fnancial measures.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2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9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Nine Months Ended September 30,</w:t>
            </w:r>
          </w:p>
        </w:tc>
      </w:tr>
      <w:tr>
        <w:trPr>
          <w:trHeight w:val="19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r>
      <w:tr>
        <w:trPr>
          <w:trHeight w:val="181"/>
        </w:trPr>
        <w:tc>
          <w:tcPr>
            <w:tcW w:w="20" w:type="dxa"/>
            <w:vAlign w:val="bottom"/>
          </w:tcPr>
          <w:p>
            <w:pPr>
              <w:spacing w:after="0"/>
              <w:rPr>
                <w:sz w:val="15"/>
                <w:szCs w:val="15"/>
                <w:color w:val="auto"/>
              </w:rPr>
            </w:pPr>
          </w:p>
        </w:tc>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35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(5,028)</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(5,415)</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(11,354)</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(18,116)</w:t>
            </w:r>
          </w:p>
        </w:tc>
      </w:tr>
      <w:tr>
        <w:trPr>
          <w:trHeight w:val="206"/>
        </w:trPr>
        <w:tc>
          <w:tcPr>
            <w:tcW w:w="2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 Expense</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left="72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r>
      <w:tr>
        <w:trPr>
          <w:trHeight w:val="199"/>
        </w:trPr>
        <w:tc>
          <w:tcPr>
            <w:tcW w:w="20" w:type="dxa"/>
            <w:vAlign w:val="bottom"/>
          </w:tcPr>
          <w:p>
            <w:pPr>
              <w:spacing w:after="0"/>
              <w:rPr>
                <w:sz w:val="17"/>
                <w:szCs w:val="17"/>
                <w:color w:val="auto"/>
              </w:rPr>
            </w:pPr>
          </w:p>
        </w:tc>
        <w:tc>
          <w:tcPr>
            <w:tcW w:w="4780" w:type="dxa"/>
            <w:vAlign w:val="bottom"/>
            <w:gridSpan w:val="2"/>
          </w:tcPr>
          <w:p>
            <w:pPr>
              <w:ind w:left="340"/>
              <w:spacing w:after="0"/>
              <w:rPr>
                <w:sz w:val="20"/>
                <w:szCs w:val="20"/>
                <w:color w:val="auto"/>
              </w:rPr>
            </w:pPr>
            <w:r>
              <w:rPr>
                <w:rFonts w:ascii="Arial" w:cs="Arial" w:eastAsia="Arial" w:hAnsi="Arial"/>
                <w:sz w:val="14"/>
                <w:szCs w:val="14"/>
                <w:color w:val="auto"/>
              </w:rPr>
              <w:t>Interest Expense</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center"/>
              <w:ind w:left="748"/>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1,671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1,769</w:t>
            </w:r>
          </w:p>
        </w:tc>
      </w:tr>
      <w:tr>
        <w:trPr>
          <w:trHeight w:val="206"/>
        </w:trPr>
        <w:tc>
          <w:tcPr>
            <w:tcW w:w="2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Depreciation and amortization expense</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left="748"/>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w:t>
            </w:r>
          </w:p>
        </w:tc>
      </w:tr>
      <w:tr>
        <w:trPr>
          <w:trHeight w:val="199"/>
        </w:trPr>
        <w:tc>
          <w:tcPr>
            <w:tcW w:w="20" w:type="dxa"/>
            <w:vAlign w:val="bottom"/>
            <w:tcBorders>
              <w:bottom w:val="single" w:sz="8" w:color="CCEEFF"/>
            </w:tcBorders>
          </w:tcPr>
          <w:p>
            <w:pPr>
              <w:spacing w:after="0"/>
              <w:rPr>
                <w:sz w:val="17"/>
                <w:szCs w:val="17"/>
                <w:color w:val="auto"/>
              </w:rPr>
            </w:pPr>
          </w:p>
        </w:tc>
        <w:tc>
          <w:tcPr>
            <w:tcW w:w="478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Stock-based compensation expense</w:t>
            </w: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color w:val="auto"/>
              </w:rPr>
              <w:t>891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2,854</w:t>
            </w: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EBITDA (Non-GAAP)</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2024-11-12T08:54:47Z</dcterms:created>
  <dcterms:modified xsi:type="dcterms:W3CDTF">2024-11-12T08:54:47Z</dcterms:modified>
</cp:coreProperties>
</file>