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ABALLI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EXAGEN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1261 LIBERTY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EXAGEN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12/08/2022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1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7"/>
                <w:szCs w:val="17"/>
                <w:color w:val="0000FF"/>
              </w:rPr>
              <w:t>VISTA</w:t>
            </w:r>
          </w:p>
        </w:tc>
        <w:tc>
          <w:tcPr>
            <w:tcW w:w="11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92081</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12/08/2022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90,000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2.68</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440,000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$2.34 to $2.75, inclusive. The reporting person undertakes to provide Exagen Inc., any security holder of Exagen Inc., or the staff of the Securities and Exchange Commission, upon request, full information regarding the number of shares sold at each separate price within the ranges set forth in footnote (1) to this form 4.</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Kamal Adawi,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6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43113" TargetMode="External"/><Relationship Id="rId13"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2022-12-09T08:02:48Z</dcterms:created>
  <dcterms:modified xsi:type="dcterms:W3CDTF">2022-12-09T08:02:48Z</dcterms:modified>
</cp:coreProperties>
</file>