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440" w:hanging="317"/>
        <w:spacing w:after="0"/>
        <w:tabs>
          <w:tab w:leader="none" w:pos="4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77" w:lineRule="exact"/>
        <w:rPr>
          <w:rFonts w:ascii="MS PGothic" w:cs="MS PGothic" w:eastAsia="MS PGothic" w:hAnsi="MS PGothic"/>
          <w:sz w:val="22"/>
          <w:szCs w:val="22"/>
          <w:color w:val="auto"/>
          <w:highlight w:val="black"/>
        </w:rPr>
      </w:pPr>
    </w:p>
    <w:p>
      <w:pPr>
        <w:ind w:left="3560"/>
        <w:spacing w:after="0"/>
        <w:rPr>
          <w:rFonts w:ascii="MS PGothic" w:cs="MS PGothic" w:eastAsia="MS PGothic" w:hAnsi="MS PGothic"/>
          <w:sz w:val="22"/>
          <w:szCs w:val="22"/>
          <w:color w:val="auto"/>
          <w:highlight w:val="black"/>
        </w:rPr>
      </w:pPr>
      <w:r>
        <w:rPr>
          <w:rFonts w:ascii="Arial" w:cs="Arial" w:eastAsia="Arial" w:hAnsi="Arial"/>
          <w:sz w:val="16"/>
          <w:szCs w:val="16"/>
          <w:b w:val="1"/>
          <w:bCs w:val="1"/>
          <w:color w:val="auto"/>
        </w:rPr>
        <w:t>For the quarterly period ended September 30, 2025</w:t>
      </w:r>
    </w:p>
    <w:p>
      <w:pPr>
        <w:spacing w:after="0" w:line="52" w:lineRule="exact"/>
        <w:rPr>
          <w:sz w:val="24"/>
          <w:szCs w:val="24"/>
          <w:color w:val="auto"/>
        </w:rPr>
      </w:pPr>
    </w:p>
    <w:p>
      <w:pPr>
        <w:ind w:left="440" w:hanging="317"/>
        <w:spacing w:after="0"/>
        <w:tabs>
          <w:tab w:leader="none" w:pos="4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2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001-39049</w:t>
            </w:r>
          </w:p>
        </w:tc>
        <w:tc>
          <w:tcPr>
            <w:tcW w:w="3680" w:type="dxa"/>
            <w:vAlign w:val="bottom"/>
          </w:tcPr>
          <w:p>
            <w:pPr>
              <w:spacing w:after="0"/>
              <w:rPr>
                <w:sz w:val="21"/>
                <w:szCs w:val="21"/>
                <w:color w:val="auto"/>
              </w:rPr>
            </w:pPr>
          </w:p>
        </w:tc>
      </w:tr>
      <w:tr>
        <w:trPr>
          <w:trHeight w:val="694"/>
        </w:trPr>
        <w:tc>
          <w:tcPr>
            <w:tcW w:w="2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80" w:type="dxa"/>
            <w:vAlign w:val="bottom"/>
            <w:gridSpan w:val="4"/>
          </w:tcPr>
          <w:p>
            <w:pPr>
              <w:jc w:val="center"/>
              <w:ind w:right="580"/>
              <w:spacing w:after="0"/>
              <w:rPr>
                <w:sz w:val="20"/>
                <w:szCs w:val="20"/>
                <w:color w:val="auto"/>
              </w:rPr>
            </w:pPr>
            <w:r>
              <w:rPr>
                <w:rFonts w:ascii="Arial" w:cs="Arial" w:eastAsia="Arial" w:hAnsi="Arial"/>
                <w:sz w:val="40"/>
                <w:szCs w:val="40"/>
                <w:b w:val="1"/>
                <w:bCs w:val="1"/>
                <w:color w:val="auto"/>
                <w:w w:val="99"/>
              </w:rPr>
              <w:t>EXAGEN INC.</w:t>
            </w:r>
          </w:p>
        </w:tc>
        <w:tc>
          <w:tcPr>
            <w:tcW w:w="3680" w:type="dxa"/>
            <w:vAlign w:val="bottom"/>
          </w:tcPr>
          <w:p>
            <w:pPr>
              <w:spacing w:after="0"/>
              <w:rPr>
                <w:sz w:val="24"/>
                <w:szCs w:val="24"/>
                <w:color w:val="auto"/>
              </w:rPr>
            </w:pPr>
          </w:p>
        </w:tc>
      </w:tr>
      <w:tr>
        <w:trPr>
          <w:trHeight w:val="196"/>
        </w:trPr>
        <w:tc>
          <w:tcPr>
            <w:tcW w:w="2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680" w:type="dxa"/>
            <w:vAlign w:val="bottom"/>
          </w:tcPr>
          <w:p>
            <w:pPr>
              <w:spacing w:after="0"/>
              <w:rPr>
                <w:sz w:val="17"/>
                <w:szCs w:val="17"/>
                <w:color w:val="auto"/>
              </w:rPr>
            </w:pPr>
          </w:p>
        </w:tc>
      </w:tr>
      <w:tr>
        <w:trPr>
          <w:trHeight w:val="216"/>
        </w:trPr>
        <w:tc>
          <w:tcPr>
            <w:tcW w:w="2200" w:type="dxa"/>
            <w:vAlign w:val="bottom"/>
          </w:tcPr>
          <w:p>
            <w:pPr>
              <w:spacing w:after="0"/>
              <w:rPr>
                <w:sz w:val="18"/>
                <w:szCs w:val="18"/>
                <w:color w:val="auto"/>
              </w:rPr>
            </w:pPr>
          </w:p>
        </w:tc>
        <w:tc>
          <w:tcPr>
            <w:tcW w:w="1540" w:type="dxa"/>
            <w:vAlign w:val="bottom"/>
          </w:tcPr>
          <w:p>
            <w:pPr>
              <w:jc w:val="center"/>
              <w:ind w:right="528"/>
              <w:spacing w:after="0"/>
              <w:rPr>
                <w:sz w:val="20"/>
                <w:szCs w:val="20"/>
                <w:color w:val="auto"/>
              </w:rPr>
            </w:pPr>
            <w:r>
              <w:rPr>
                <w:rFonts w:ascii="Arial" w:cs="Arial" w:eastAsia="Arial" w:hAnsi="Arial"/>
                <w:sz w:val="14"/>
                <w:szCs w:val="14"/>
                <w:b w:val="1"/>
                <w:bCs w:val="1"/>
                <w:color w:val="auto"/>
              </w:rPr>
              <w:t>Delaware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80" w:type="dxa"/>
            <w:vAlign w:val="bottom"/>
          </w:tcPr>
          <w:p>
            <w:pPr>
              <w:jc w:val="right"/>
              <w:ind w:right="1828"/>
              <w:spacing w:after="0"/>
              <w:rPr>
                <w:sz w:val="20"/>
                <w:szCs w:val="20"/>
                <w:color w:val="auto"/>
              </w:rPr>
            </w:pPr>
            <w:r>
              <w:rPr>
                <w:rFonts w:ascii="Arial" w:cs="Arial" w:eastAsia="Arial" w:hAnsi="Arial"/>
                <w:sz w:val="14"/>
                <w:szCs w:val="14"/>
                <w:b w:val="1"/>
                <w:bCs w:val="1"/>
                <w:color w:val="auto"/>
              </w:rPr>
              <w:t>20-0434866</w:t>
            </w:r>
          </w:p>
        </w:tc>
      </w:tr>
      <w:tr>
        <w:trPr>
          <w:trHeight w:val="155"/>
        </w:trPr>
        <w:tc>
          <w:tcPr>
            <w:tcW w:w="3740" w:type="dxa"/>
            <w:vAlign w:val="bottom"/>
            <w:gridSpan w:val="2"/>
          </w:tcPr>
          <w:p>
            <w:pPr>
              <w:jc w:val="center"/>
              <w:ind w:left="1508"/>
              <w:spacing w:after="0" w:line="155" w:lineRule="exact"/>
              <w:rPr>
                <w:sz w:val="20"/>
                <w:szCs w:val="20"/>
                <w:color w:val="auto"/>
              </w:rPr>
            </w:pPr>
            <w:r>
              <w:rPr>
                <w:rFonts w:ascii="Arial" w:cs="Arial" w:eastAsia="Arial" w:hAnsi="Arial"/>
                <w:sz w:val="14"/>
                <w:szCs w:val="14"/>
                <w:b w:val="1"/>
                <w:bCs w:val="1"/>
                <w:color w:val="auto"/>
              </w:rPr>
              <w:t>(State or Other Jurisdiction of</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80" w:type="dxa"/>
            <w:vAlign w:val="bottom"/>
          </w:tcPr>
          <w:p>
            <w:pPr>
              <w:jc w:val="center"/>
              <w:ind w:right="788"/>
              <w:spacing w:after="0" w:line="155"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3740" w:type="dxa"/>
            <w:vAlign w:val="bottom"/>
            <w:gridSpan w:val="2"/>
          </w:tcPr>
          <w:p>
            <w:pPr>
              <w:jc w:val="center"/>
              <w:ind w:left="1508"/>
              <w:spacing w:after="0"/>
              <w:rPr>
                <w:sz w:val="20"/>
                <w:szCs w:val="20"/>
                <w:color w:val="auto"/>
              </w:rPr>
            </w:pPr>
            <w:r>
              <w:rPr>
                <w:rFonts w:ascii="Arial" w:cs="Arial" w:eastAsia="Arial" w:hAnsi="Arial"/>
                <w:sz w:val="14"/>
                <w:szCs w:val="14"/>
                <w:b w:val="1"/>
                <w:bCs w:val="1"/>
                <w:color w:val="auto"/>
              </w:rPr>
              <w:t>Incorporation or Organization)</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jc w:val="center"/>
              <w:ind w:right="788"/>
              <w:spacing w:after="0"/>
              <w:rPr>
                <w:sz w:val="20"/>
                <w:szCs w:val="20"/>
                <w:color w:val="auto"/>
              </w:rPr>
            </w:pPr>
            <w:r>
              <w:rPr>
                <w:rFonts w:ascii="Arial" w:cs="Arial" w:eastAsia="Arial" w:hAnsi="Arial"/>
                <w:sz w:val="14"/>
                <w:szCs w:val="14"/>
                <w:b w:val="1"/>
                <w:bCs w:val="1"/>
                <w:color w:val="auto"/>
              </w:rPr>
              <w:t>Identification No.)</w:t>
            </w:r>
          </w:p>
        </w:tc>
      </w:tr>
      <w:tr>
        <w:trPr>
          <w:trHeight w:val="297"/>
        </w:trPr>
        <w:tc>
          <w:tcPr>
            <w:tcW w:w="3740" w:type="dxa"/>
            <w:vAlign w:val="bottom"/>
            <w:gridSpan w:val="2"/>
          </w:tcPr>
          <w:p>
            <w:pPr>
              <w:ind w:left="1840"/>
              <w:spacing w:after="0"/>
              <w:rPr>
                <w:sz w:val="20"/>
                <w:szCs w:val="20"/>
                <w:color w:val="auto"/>
              </w:rPr>
            </w:pPr>
            <w:r>
              <w:rPr>
                <w:rFonts w:ascii="Arial" w:cs="Arial" w:eastAsia="Arial" w:hAnsi="Arial"/>
                <w:sz w:val="14"/>
                <w:szCs w:val="14"/>
                <w:b w:val="1"/>
                <w:bCs w:val="1"/>
                <w:color w:val="auto"/>
              </w:rPr>
              <w:t>1261 Liberty Way</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2200" w:type="dxa"/>
            <w:vAlign w:val="bottom"/>
          </w:tcPr>
          <w:p>
            <w:pPr>
              <w:jc w:val="center"/>
              <w:ind w:left="1468"/>
              <w:spacing w:after="0"/>
              <w:rPr>
                <w:sz w:val="20"/>
                <w:szCs w:val="20"/>
                <w:color w:val="auto"/>
              </w:rPr>
            </w:pPr>
            <w:r>
              <w:rPr>
                <w:rFonts w:ascii="Arial" w:cs="Arial" w:eastAsia="Arial" w:hAnsi="Arial"/>
                <w:sz w:val="14"/>
                <w:szCs w:val="14"/>
                <w:b w:val="1"/>
                <w:bCs w:val="1"/>
                <w:color w:val="auto"/>
              </w:rPr>
              <w:t>Vista,</w:t>
            </w:r>
          </w:p>
        </w:tc>
        <w:tc>
          <w:tcPr>
            <w:tcW w:w="1540" w:type="dxa"/>
            <w:vAlign w:val="bottom"/>
          </w:tcPr>
          <w:p>
            <w:pPr>
              <w:ind w:left="620"/>
              <w:spacing w:after="0"/>
              <w:rPr>
                <w:sz w:val="20"/>
                <w:szCs w:val="20"/>
                <w:color w:val="auto"/>
              </w:rPr>
            </w:pPr>
            <w:r>
              <w:rPr>
                <w:rFonts w:ascii="Arial" w:cs="Arial" w:eastAsia="Arial" w:hAnsi="Arial"/>
                <w:sz w:val="14"/>
                <w:szCs w:val="14"/>
                <w:b w:val="1"/>
                <w:bCs w:val="1"/>
                <w:color w:val="auto"/>
              </w:rPr>
              <w:t>CA</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jc w:val="right"/>
              <w:ind w:right="2008"/>
              <w:spacing w:after="0"/>
              <w:rPr>
                <w:sz w:val="20"/>
                <w:szCs w:val="20"/>
                <w:color w:val="auto"/>
              </w:rPr>
            </w:pPr>
            <w:r>
              <w:rPr>
                <w:rFonts w:ascii="Arial" w:cs="Arial" w:eastAsia="Arial" w:hAnsi="Arial"/>
                <w:sz w:val="14"/>
                <w:szCs w:val="14"/>
                <w:b w:val="1"/>
                <w:bCs w:val="1"/>
                <w:color w:val="auto"/>
              </w:rPr>
              <w:t>92081</w:t>
            </w:r>
          </w:p>
        </w:tc>
      </w:tr>
      <w:tr>
        <w:trPr>
          <w:trHeight w:val="203"/>
        </w:trPr>
        <w:tc>
          <w:tcPr>
            <w:tcW w:w="7560" w:type="dxa"/>
            <w:vAlign w:val="bottom"/>
            <w:gridSpan w:val="7"/>
          </w:tcPr>
          <w:p>
            <w:pPr>
              <w:jc w:val="center"/>
              <w:ind w:right="2220"/>
              <w:spacing w:after="0"/>
              <w:rPr>
                <w:sz w:val="20"/>
                <w:szCs w:val="20"/>
                <w:color w:val="auto"/>
              </w:rPr>
            </w:pPr>
            <w:r>
              <w:rPr>
                <w:rFonts w:ascii="Arial" w:cs="Arial" w:eastAsia="Arial" w:hAnsi="Arial"/>
                <w:sz w:val="14"/>
                <w:szCs w:val="14"/>
                <w:b w:val="1"/>
                <w:bCs w:val="1"/>
                <w:color w:val="auto"/>
              </w:rPr>
              <w:t>(Address of Principal Executive Offices)</w:t>
            </w:r>
          </w:p>
        </w:tc>
        <w:tc>
          <w:tcPr>
            <w:tcW w:w="3680" w:type="dxa"/>
            <w:vAlign w:val="bottom"/>
          </w:tcPr>
          <w:p>
            <w:pPr>
              <w:jc w:val="center"/>
              <w:ind w:right="808"/>
              <w:spacing w:after="0"/>
              <w:rPr>
                <w:sz w:val="20"/>
                <w:szCs w:val="20"/>
                <w:color w:val="auto"/>
              </w:rPr>
            </w:pPr>
            <w:r>
              <w:rPr>
                <w:rFonts w:ascii="Arial" w:cs="Arial" w:eastAsia="Arial" w:hAnsi="Arial"/>
                <w:sz w:val="14"/>
                <w:szCs w:val="14"/>
                <w:b w:val="1"/>
                <w:bCs w:val="1"/>
                <w:color w:val="auto"/>
              </w:rPr>
              <w:t>(Zip Code)</w:t>
            </w:r>
          </w:p>
        </w:tc>
      </w:tr>
      <w:tr>
        <w:trPr>
          <w:trHeight w:val="324"/>
        </w:trPr>
        <w:tc>
          <w:tcPr>
            <w:tcW w:w="2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2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(760) 560-1501</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2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680" w:type="dxa"/>
            <w:vAlign w:val="bottom"/>
          </w:tcPr>
          <w:p>
            <w:pPr>
              <w:spacing w:after="0"/>
              <w:rPr>
                <w:sz w:val="17"/>
                <w:szCs w:val="17"/>
                <w:color w:val="auto"/>
              </w:rPr>
            </w:pPr>
          </w:p>
        </w:tc>
      </w:tr>
      <w:tr>
        <w:trPr>
          <w:trHeight w:val="291"/>
        </w:trPr>
        <w:tc>
          <w:tcPr>
            <w:tcW w:w="3740" w:type="dxa"/>
            <w:vAlign w:val="bottom"/>
            <w:gridSpan w:val="2"/>
          </w:tcPr>
          <w:p>
            <w:pPr>
              <w:jc w:val="center"/>
              <w:spacing w:after="0"/>
              <w:rPr>
                <w:sz w:val="20"/>
                <w:szCs w:val="20"/>
                <w:color w:val="auto"/>
              </w:rPr>
            </w:pPr>
            <w:r>
              <w:rPr>
                <w:rFonts w:ascii="Arial" w:cs="Arial" w:eastAsia="Arial" w:hAnsi="Arial"/>
                <w:sz w:val="14"/>
                <w:szCs w:val="14"/>
                <w:color w:val="auto"/>
              </w:rPr>
              <w:t>Securities registered pursuant to Section 12(b) of the Act: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37"/>
        </w:trPr>
        <w:tc>
          <w:tcPr>
            <w:tcW w:w="3740" w:type="dxa"/>
            <w:vAlign w:val="bottom"/>
            <w:tcBorders>
              <w:bottom w:val="single" w:sz="8" w:color="auto"/>
            </w:tcBorders>
            <w:gridSpan w:val="2"/>
          </w:tcPr>
          <w:p>
            <w:pPr>
              <w:jc w:val="center"/>
              <w:ind w:left="468"/>
              <w:spacing w:after="0"/>
              <w:rPr>
                <w:sz w:val="20"/>
                <w:szCs w:val="20"/>
                <w:color w:val="auto"/>
              </w:rPr>
            </w:pPr>
            <w:r>
              <w:rPr>
                <w:rFonts w:ascii="Arial" w:cs="Arial" w:eastAsia="Arial" w:hAnsi="Arial"/>
                <w:sz w:val="14"/>
                <w:szCs w:val="14"/>
                <w:b w:val="1"/>
                <w:bCs w:val="1"/>
                <w:color w:val="auto"/>
              </w:rPr>
              <w:t>Title of each class</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5"/>
        </w:trPr>
        <w:tc>
          <w:tcPr>
            <w:tcW w:w="374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rPr>
              <w:t>Common Stock, par value $0.001 per share</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XGN</w:t>
            </w:r>
          </w:p>
        </w:tc>
        <w:tc>
          <w:tcPr>
            <w:tcW w:w="3680" w:type="dxa"/>
            <w:vAlign w:val="bottom"/>
          </w:tcPr>
          <w:p>
            <w:pPr>
              <w:jc w:val="center"/>
              <w:ind w:right="388"/>
              <w:spacing w:after="0"/>
              <w:rPr>
                <w:sz w:val="20"/>
                <w:szCs w:val="20"/>
                <w:color w:val="auto"/>
              </w:rPr>
            </w:pPr>
            <w:r>
              <w:rPr>
                <w:rFonts w:ascii="Arial" w:cs="Arial" w:eastAsia="Arial" w:hAnsi="Arial"/>
                <w:sz w:val="14"/>
                <w:szCs w:val="14"/>
                <w:b w:val="1"/>
                <w:bCs w:val="1"/>
                <w:color w:val="auto"/>
              </w:rPr>
              <w:t>The Nasdaq Global Market</w:t>
            </w:r>
          </w:p>
        </w:tc>
      </w:tr>
    </w:tbl>
    <w:p>
      <w:pPr>
        <w:spacing w:after="0" w:line="249" w:lineRule="exact"/>
        <w:rPr>
          <w:sz w:val="24"/>
          <w:szCs w:val="24"/>
          <w:color w:val="auto"/>
        </w:rPr>
      </w:pPr>
    </w:p>
    <w:p>
      <w:pPr>
        <w:ind w:right="6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260"/>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2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05"/>
        </w:trPr>
        <w:tc>
          <w:tcPr>
            <w:tcW w:w="2000" w:type="dxa"/>
            <w:vAlign w:val="bottom"/>
          </w:tcPr>
          <w:p>
            <w:pPr>
              <w:spacing w:after="0"/>
              <w:rPr>
                <w:sz w:val="20"/>
                <w:szCs w:val="20"/>
                <w:color w:val="auto"/>
              </w:rPr>
            </w:pPr>
            <w:r>
              <w:rPr>
                <w:rFonts w:ascii="Arial" w:cs="Arial" w:eastAsia="Arial" w:hAnsi="Arial"/>
                <w:sz w:val="14"/>
                <w:szCs w:val="14"/>
                <w:color w:val="auto"/>
              </w:rPr>
              <w:t>Non-accelerated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0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4"/>
          <w:szCs w:val="24"/>
          <w:color w:val="auto"/>
        </w:rPr>
      </w:pPr>
    </w:p>
    <w:p>
      <w:pPr>
        <w:spacing w:after="0" w:line="265" w:lineRule="exact"/>
        <w:rPr>
          <w:sz w:val="24"/>
          <w:szCs w:val="24"/>
          <w:color w:val="auto"/>
        </w:rPr>
      </w:pPr>
    </w:p>
    <w:p>
      <w:pPr>
        <w:ind w:right="30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4"/>
          <w:szCs w:val="14"/>
          <w:color w:val="auto"/>
        </w:rPr>
        <w:t>☐</w:t>
      </w:r>
    </w:p>
    <w:p>
      <w:pPr>
        <w:spacing w:after="0" w:line="56" w:lineRule="exact"/>
        <w:rPr>
          <w:sz w:val="24"/>
          <w:szCs w:val="24"/>
          <w:color w:val="auto"/>
        </w:rPr>
      </w:pPr>
    </w:p>
    <w:p>
      <w:pPr>
        <w:ind w:right="3200"/>
        <w:spacing w:after="0" w:line="259"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Total shares of common stock outstanding as of the close of business on October 31, 2025 was 22,663,099.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1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60" w:type="dxa"/>
            <w:vAlign w:val="bottom"/>
            <w:gridSpan w:val="8"/>
          </w:tcPr>
          <w:p>
            <w:pPr>
              <w:ind w:left="1380"/>
              <w:spacing w:after="0"/>
              <w:rPr>
                <w:sz w:val="20"/>
                <w:szCs w:val="20"/>
                <w:color w:val="auto"/>
              </w:rPr>
            </w:pPr>
            <w:r>
              <w:rPr>
                <w:rFonts w:ascii="Arial" w:cs="Arial" w:eastAsia="Arial" w:hAnsi="Arial"/>
                <w:sz w:val="18"/>
                <w:szCs w:val="18"/>
                <w:b w:val="1"/>
                <w:bCs w:val="1"/>
                <w:color w:val="auto"/>
              </w:rPr>
              <w:t>TABLE OF CONTENTS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1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64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2"/>
        </w:trPr>
        <w:tc>
          <w:tcPr>
            <w:tcW w:w="1300" w:type="dxa"/>
            <w:vAlign w:val="bottom"/>
            <w:vMerge w:val="continue"/>
          </w:tcPr>
          <w:p>
            <w:pPr>
              <w:spacing w:after="0"/>
              <w:rPr>
                <w:sz w:val="18"/>
                <w:szCs w:val="18"/>
                <w:color w:val="auto"/>
              </w:rPr>
            </w:pPr>
          </w:p>
        </w:tc>
        <w:tc>
          <w:tcPr>
            <w:tcW w:w="8640" w:type="dxa"/>
            <w:vAlign w:val="bottom"/>
            <w:gridSpan w:val="17"/>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1680" w:type="dxa"/>
            <w:vAlign w:val="bottom"/>
            <w:gridSpan w:val="8"/>
          </w:tcPr>
          <w:p>
            <w:pPr>
              <w:spacing w:after="0" w:line="195" w:lineRule="exact"/>
              <w:rPr>
                <w:sz w:val="20"/>
                <w:szCs w:val="20"/>
                <w:color w:val="auto"/>
              </w:rPr>
            </w:pPr>
            <w:r>
              <w:rPr>
                <w:rFonts w:ascii="Arial" w:cs="Arial" w:eastAsia="Arial" w:hAnsi="Arial"/>
                <w:sz w:val="18"/>
                <w:szCs w:val="18"/>
                <w:color w:val="0000FF"/>
                <w:w w:val="98"/>
              </w:rPr>
              <w:t>Financial Statements</w:t>
            </w:r>
          </w:p>
        </w:tc>
        <w:tc>
          <w:tcPr>
            <w:tcW w:w="6960" w:type="dxa"/>
            <w:vAlign w:val="bottom"/>
            <w:gridSpan w:val="9"/>
          </w:tcPr>
          <w:p>
            <w:pPr>
              <w:spacing w:after="0"/>
              <w:rPr>
                <w:sz w:val="16"/>
                <w:szCs w:val="16"/>
                <w:color w:val="auto"/>
              </w:rPr>
            </w:pPr>
          </w:p>
        </w:tc>
        <w:tc>
          <w:tcPr>
            <w:tcW w:w="140" w:type="dxa"/>
            <w:vAlign w:val="bottom"/>
            <w:gridSpan w:val="2"/>
          </w:tcPr>
          <w:p>
            <w:pPr>
              <w:ind w:left="40"/>
              <w:spacing w:after="0" w:line="195" w:lineRule="exact"/>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7200" w:type="dxa"/>
            <w:vAlign w:val="bottom"/>
            <w:gridSpan w:val="13"/>
          </w:tcPr>
          <w:p>
            <w:pPr>
              <w:spacing w:after="0"/>
              <w:rPr>
                <w:sz w:val="20"/>
                <w:szCs w:val="20"/>
                <w:color w:val="auto"/>
              </w:rPr>
            </w:pPr>
            <w:r>
              <w:rPr>
                <w:rFonts w:ascii="Arial" w:cs="Arial" w:eastAsia="Arial" w:hAnsi="Arial"/>
                <w:sz w:val="18"/>
                <w:szCs w:val="18"/>
                <w:color w:val="0000FF"/>
                <w:w w:val="99"/>
              </w:rPr>
              <w:t>Unaudited Condensed Balance Sheets as of September 30, 2025 and December 31, 2024</w:t>
            </w:r>
          </w:p>
        </w:tc>
        <w:tc>
          <w:tcPr>
            <w:tcW w:w="1440" w:type="dxa"/>
            <w:vAlign w:val="bottom"/>
            <w:gridSpan w:val="4"/>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640" w:type="dxa"/>
            <w:vAlign w:val="bottom"/>
            <w:gridSpan w:val="17"/>
          </w:tcPr>
          <w:p>
            <w:pPr>
              <w:spacing w:after="0"/>
              <w:rPr>
                <w:sz w:val="20"/>
                <w:szCs w:val="20"/>
                <w:color w:val="auto"/>
              </w:rPr>
            </w:pPr>
            <w:r>
              <w:rPr>
                <w:rFonts w:ascii="Arial" w:cs="Arial" w:eastAsia="Arial" w:hAnsi="Arial"/>
                <w:sz w:val="18"/>
                <w:szCs w:val="18"/>
                <w:color w:val="0000FF"/>
              </w:rPr>
              <w:t>Unaudited Condensed Statements of Operations for the Three and Nine Months ended September 30, 2025</w:t>
            </w:r>
          </w:p>
        </w:tc>
        <w:tc>
          <w:tcPr>
            <w:tcW w:w="140" w:type="dxa"/>
            <w:vAlign w:val="bottom"/>
            <w:gridSpan w:val="2"/>
            <w:vMerge w:val="restart"/>
          </w:tcPr>
          <w:p>
            <w:pPr>
              <w:ind w:left="40"/>
              <w:spacing w:after="0"/>
              <w:rPr>
                <w:sz w:val="20"/>
                <w:szCs w:val="20"/>
                <w:color w:val="auto"/>
              </w:rPr>
            </w:pPr>
            <w:r>
              <w:rPr>
                <w:rFonts w:ascii="Arial" w:cs="Arial" w:eastAsia="Arial" w:hAnsi="Arial"/>
                <w:sz w:val="18"/>
                <w:szCs w:val="18"/>
                <w:color w:val="0000FF"/>
                <w:w w:val="79"/>
              </w:rPr>
              <w:t>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8620" w:type="dxa"/>
            <w:vAlign w:val="bottom"/>
            <w:tcBorders>
              <w:top w:val="single" w:sz="8" w:color="0000FF"/>
            </w:tcBorders>
            <w:gridSpan w:val="16"/>
          </w:tcPr>
          <w:p>
            <w:pPr>
              <w:spacing w:after="0" w:line="142" w:lineRule="exact"/>
              <w:rPr>
                <w:sz w:val="20"/>
                <w:szCs w:val="20"/>
                <w:color w:val="auto"/>
              </w:rPr>
            </w:pPr>
            <w:r>
              <w:rPr>
                <w:rFonts w:ascii="Arial" w:cs="Arial" w:eastAsia="Arial" w:hAnsi="Arial"/>
                <w:sz w:val="16"/>
                <w:szCs w:val="16"/>
                <w:color w:val="0000FF"/>
              </w:rPr>
              <w:t>and 2024</w:t>
            </w:r>
          </w:p>
        </w:tc>
        <w:tc>
          <w:tcPr>
            <w:tcW w:w="20" w:type="dxa"/>
            <w:vAlign w:val="bottom"/>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00" w:type="dxa"/>
            <w:vAlign w:val="bottom"/>
          </w:tcPr>
          <w:p>
            <w:pPr>
              <w:spacing w:after="0"/>
              <w:rPr>
                <w:sz w:val="17"/>
                <w:szCs w:val="17"/>
                <w:color w:val="auto"/>
              </w:rPr>
            </w:pPr>
          </w:p>
        </w:tc>
        <w:tc>
          <w:tcPr>
            <w:tcW w:w="8640" w:type="dxa"/>
            <w:vAlign w:val="bottom"/>
            <w:gridSpan w:val="17"/>
          </w:tcPr>
          <w:p>
            <w:pPr>
              <w:spacing w:after="0" w:line="203" w:lineRule="exact"/>
              <w:rPr>
                <w:sz w:val="20"/>
                <w:szCs w:val="20"/>
                <w:color w:val="auto"/>
              </w:rPr>
            </w:pPr>
            <w:r>
              <w:rPr>
                <w:rFonts w:ascii="Arial" w:cs="Arial" w:eastAsia="Arial" w:hAnsi="Arial"/>
                <w:sz w:val="18"/>
                <w:szCs w:val="18"/>
                <w:color w:val="0000FF"/>
              </w:rPr>
              <w:t>Unaudited Condensed Statements of Stockholders' Equity for the Three and Nine Months ended September</w:t>
            </w:r>
          </w:p>
        </w:tc>
        <w:tc>
          <w:tcPr>
            <w:tcW w:w="140" w:type="dxa"/>
            <w:vAlign w:val="bottom"/>
            <w:gridSpan w:val="2"/>
            <w:vMerge w:val="restart"/>
          </w:tcPr>
          <w:p>
            <w:pPr>
              <w:ind w:left="40"/>
              <w:spacing w:after="0"/>
              <w:rPr>
                <w:sz w:val="20"/>
                <w:szCs w:val="20"/>
                <w:color w:val="auto"/>
              </w:rPr>
            </w:pPr>
            <w:r>
              <w:rPr>
                <w:rFonts w:ascii="Arial" w:cs="Arial" w:eastAsia="Arial" w:hAnsi="Arial"/>
                <w:sz w:val="18"/>
                <w:szCs w:val="18"/>
                <w:color w:val="0000FF"/>
                <w:w w:val="79"/>
              </w:rPr>
              <w:t>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50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30, 2025 and 2024</w:t>
            </w:r>
          </w:p>
        </w:tc>
        <w:tc>
          <w:tcPr>
            <w:tcW w:w="480" w:type="dxa"/>
            <w:vAlign w:val="bottom"/>
            <w:tcBorders>
              <w:top w:val="single" w:sz="8" w:color="0000FF"/>
            </w:tcBorders>
            <w:gridSpan w:val="2"/>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38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40" w:type="dxa"/>
            <w:vAlign w:val="bottom"/>
            <w:gridSpan w:val="2"/>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00" w:type="dxa"/>
            <w:vAlign w:val="bottom"/>
            <w:gridSpan w:val="3"/>
            <w:shd w:val="clear" w:color="auto" w:fill="0000FF"/>
          </w:tcPr>
          <w:p>
            <w:pPr>
              <w:spacing w:after="0"/>
              <w:rPr>
                <w:sz w:val="2"/>
                <w:szCs w:val="2"/>
                <w:color w:val="auto"/>
              </w:rPr>
            </w:pPr>
          </w:p>
        </w:tc>
        <w:tc>
          <w:tcPr>
            <w:tcW w:w="2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00" w:type="dxa"/>
            <w:vAlign w:val="bottom"/>
            <w:gridSpan w:val="4"/>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tcPr>
          <w:p>
            <w:pPr>
              <w:spacing w:after="0"/>
              <w:rPr>
                <w:sz w:val="18"/>
                <w:szCs w:val="18"/>
                <w:color w:val="auto"/>
              </w:rPr>
            </w:pPr>
          </w:p>
        </w:tc>
        <w:tc>
          <w:tcPr>
            <w:tcW w:w="9940" w:type="dxa"/>
            <w:vAlign w:val="bottom"/>
            <w:gridSpan w:val="21"/>
          </w:tcPr>
          <w:p>
            <w:pPr>
              <w:spacing w:after="0"/>
              <w:rPr>
                <w:sz w:val="20"/>
                <w:szCs w:val="20"/>
                <w:color w:val="auto"/>
              </w:rPr>
            </w:pPr>
            <w:r>
              <w:rPr>
                <w:rFonts w:ascii="Arial" w:cs="Arial" w:eastAsia="Arial" w:hAnsi="Arial"/>
                <w:sz w:val="18"/>
                <w:szCs w:val="18"/>
                <w:color w:val="0000FF"/>
              </w:rPr>
              <w:t>Unaudited Condensed Statements of Cash Flows for the Nine Months ended September 30, 2025 and 2024 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4240" w:type="dxa"/>
            <w:vAlign w:val="bottom"/>
            <w:gridSpan w:val="10"/>
          </w:tcPr>
          <w:p>
            <w:pPr>
              <w:spacing w:after="0"/>
              <w:rPr>
                <w:sz w:val="20"/>
                <w:szCs w:val="20"/>
                <w:color w:val="auto"/>
              </w:rPr>
            </w:pPr>
            <w:r>
              <w:rPr>
                <w:rFonts w:ascii="Arial" w:cs="Arial" w:eastAsia="Arial" w:hAnsi="Arial"/>
                <w:sz w:val="18"/>
                <w:szCs w:val="18"/>
                <w:color w:val="0000FF"/>
                <w:w w:val="99"/>
              </w:rPr>
              <w:t>Notes to Unaudited Condensed Financial Statements</w:t>
            </w:r>
          </w:p>
        </w:tc>
        <w:tc>
          <w:tcPr>
            <w:tcW w:w="4340" w:type="dxa"/>
            <w:vAlign w:val="bottom"/>
            <w:gridSpan w:val="4"/>
          </w:tcPr>
          <w:p>
            <w:pPr>
              <w:spacing w:after="0"/>
              <w:rPr>
                <w:sz w:val="18"/>
                <w:szCs w:val="18"/>
                <w:color w:val="auto"/>
              </w:rPr>
            </w:pPr>
          </w:p>
        </w:tc>
        <w:tc>
          <w:tcPr>
            <w:tcW w:w="60" w:type="dxa"/>
            <w:vAlign w:val="bottom"/>
            <w:gridSpan w:val="3"/>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7080" w:type="dxa"/>
            <w:vAlign w:val="bottom"/>
            <w:gridSpan w:val="12"/>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560" w:type="dxa"/>
            <w:vAlign w:val="bottom"/>
            <w:gridSpan w:val="5"/>
          </w:tcPr>
          <w:p>
            <w:pPr>
              <w:spacing w:after="0"/>
              <w:rPr>
                <w:sz w:val="18"/>
                <w:szCs w:val="18"/>
                <w:color w:val="auto"/>
              </w:rPr>
            </w:pP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7080" w:type="dxa"/>
            <w:vAlign w:val="bottom"/>
            <w:gridSpan w:val="1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560" w:type="dxa"/>
            <w:vAlign w:val="bottom"/>
            <w:gridSpan w:val="5"/>
          </w:tcPr>
          <w:p>
            <w:pPr>
              <w:spacing w:after="0"/>
              <w:rPr>
                <w:sz w:val="18"/>
                <w:szCs w:val="18"/>
                <w:color w:val="auto"/>
              </w:rPr>
            </w:pP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34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39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4700" w:type="dxa"/>
            <w:vAlign w:val="bottom"/>
            <w:gridSpan w:val="11"/>
          </w:tcPr>
          <w:p>
            <w:pPr>
              <w:spacing w:after="0"/>
              <w:rPr>
                <w:sz w:val="20"/>
                <w:szCs w:val="20"/>
                <w:color w:val="auto"/>
              </w:rPr>
            </w:pPr>
            <w:r>
              <w:rPr>
                <w:rFonts w:ascii="Arial" w:cs="Arial" w:eastAsia="Arial" w:hAnsi="Arial"/>
                <w:sz w:val="18"/>
                <w:szCs w:val="18"/>
                <w:color w:val="0000FF"/>
              </w:rPr>
              <w:t>Controls and Procedures</w:t>
            </w:r>
          </w:p>
        </w:tc>
        <w:tc>
          <w:tcPr>
            <w:tcW w:w="3940" w:type="dxa"/>
            <w:vAlign w:val="bottom"/>
            <w:gridSpan w:val="6"/>
          </w:tcPr>
          <w:p>
            <w:pPr>
              <w:spacing w:after="0"/>
              <w:rPr>
                <w:sz w:val="18"/>
                <w:szCs w:val="18"/>
                <w:color w:val="auto"/>
              </w:rPr>
            </w:pP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501"/>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FF"/>
            </w:tcBorders>
            <w:gridSpan w:val="9"/>
          </w:tcPr>
          <w:p>
            <w:pPr>
              <w:spacing w:after="0"/>
              <w:rPr>
                <w:sz w:val="20"/>
                <w:szCs w:val="20"/>
                <w:color w:val="auto"/>
              </w:rPr>
            </w:pPr>
            <w:r>
              <w:rPr>
                <w:rFonts w:ascii="Arial" w:cs="Arial" w:eastAsia="Arial" w:hAnsi="Arial"/>
                <w:sz w:val="18"/>
                <w:szCs w:val="18"/>
                <w:b w:val="1"/>
                <w:bCs w:val="1"/>
                <w:color w:val="auto"/>
              </w:rPr>
              <w:t>Other Information</w:t>
            </w:r>
          </w:p>
        </w:tc>
        <w:tc>
          <w:tcPr>
            <w:tcW w:w="6660" w:type="dxa"/>
            <w:vAlign w:val="bottom"/>
            <w:gridSpan w:val="8"/>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8640" w:type="dxa"/>
            <w:vAlign w:val="bottom"/>
            <w:gridSpan w:val="17"/>
          </w:tcPr>
          <w:p>
            <w:pPr>
              <w:spacing w:after="0" w:line="195" w:lineRule="exact"/>
              <w:rPr>
                <w:sz w:val="20"/>
                <w:szCs w:val="20"/>
                <w:color w:val="auto"/>
              </w:rPr>
            </w:pPr>
            <w:r>
              <w:rPr>
                <w:rFonts w:ascii="Arial" w:cs="Arial" w:eastAsia="Arial" w:hAnsi="Arial"/>
                <w:sz w:val="18"/>
                <w:szCs w:val="18"/>
                <w:color w:val="0000FF"/>
              </w:rPr>
              <w:t>Legal Proceedings</w:t>
            </w:r>
          </w:p>
        </w:tc>
        <w:tc>
          <w:tcPr>
            <w:tcW w:w="1300" w:type="dxa"/>
            <w:vAlign w:val="bottom"/>
            <w:gridSpan w:val="4"/>
          </w:tcPr>
          <w:p>
            <w:pPr>
              <w:ind w:left="40"/>
              <w:spacing w:after="0" w:line="195" w:lineRule="exact"/>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1A.</w:t>
            </w:r>
          </w:p>
        </w:tc>
        <w:tc>
          <w:tcPr>
            <w:tcW w:w="1000" w:type="dxa"/>
            <w:vAlign w:val="bottom"/>
            <w:gridSpan w:val="4"/>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gridSpan w:val="2"/>
          </w:tcPr>
          <w:p>
            <w:pPr>
              <w:spacing w:after="0"/>
              <w:rPr>
                <w:sz w:val="18"/>
                <w:szCs w:val="18"/>
                <w:color w:val="auto"/>
              </w:rPr>
            </w:pPr>
          </w:p>
        </w:tc>
        <w:tc>
          <w:tcPr>
            <w:tcW w:w="7160" w:type="dxa"/>
            <w:vAlign w:val="bottom"/>
            <w:gridSpan w:val="11"/>
          </w:tcPr>
          <w:p>
            <w:pPr>
              <w:spacing w:after="0"/>
              <w:rPr>
                <w:sz w:val="18"/>
                <w:szCs w:val="18"/>
                <w:color w:val="auto"/>
              </w:rPr>
            </w:pP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4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5.</w:t>
            </w:r>
          </w:p>
        </w:tc>
        <w:tc>
          <w:tcPr>
            <w:tcW w:w="1400" w:type="dxa"/>
            <w:vAlign w:val="bottom"/>
            <w:gridSpan w:val="5"/>
          </w:tcPr>
          <w:p>
            <w:pPr>
              <w:spacing w:after="0"/>
              <w:rPr>
                <w:sz w:val="20"/>
                <w:szCs w:val="20"/>
                <w:color w:val="auto"/>
              </w:rPr>
            </w:pPr>
            <w:r>
              <w:rPr>
                <w:rFonts w:ascii="Arial" w:cs="Arial" w:eastAsia="Arial" w:hAnsi="Arial"/>
                <w:sz w:val="18"/>
                <w:szCs w:val="18"/>
                <w:color w:val="0000FF"/>
                <w:w w:val="98"/>
              </w:rPr>
              <w:t>Other Information</w:t>
            </w:r>
          </w:p>
        </w:tc>
        <w:tc>
          <w:tcPr>
            <w:tcW w:w="7240" w:type="dxa"/>
            <w:vAlign w:val="bottom"/>
            <w:gridSpan w:val="12"/>
          </w:tcPr>
          <w:p>
            <w:pPr>
              <w:spacing w:after="0"/>
              <w:rPr>
                <w:sz w:val="18"/>
                <w:szCs w:val="18"/>
                <w:color w:val="auto"/>
              </w:rPr>
            </w:pP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24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6.</w:t>
            </w:r>
          </w:p>
        </w:tc>
        <w:tc>
          <w:tcPr>
            <w:tcW w:w="1400" w:type="dxa"/>
            <w:vAlign w:val="bottom"/>
            <w:gridSpan w:val="5"/>
          </w:tcPr>
          <w:p>
            <w:pPr>
              <w:spacing w:after="0"/>
              <w:rPr>
                <w:sz w:val="20"/>
                <w:szCs w:val="20"/>
                <w:color w:val="auto"/>
              </w:rPr>
            </w:pPr>
            <w:r>
              <w:rPr>
                <w:rFonts w:ascii="Arial" w:cs="Arial" w:eastAsia="Arial" w:hAnsi="Arial"/>
                <w:sz w:val="18"/>
                <w:szCs w:val="18"/>
                <w:color w:val="0000FF"/>
              </w:rPr>
              <w:t>Exhibits</w:t>
            </w:r>
          </w:p>
        </w:tc>
        <w:tc>
          <w:tcPr>
            <w:tcW w:w="7240" w:type="dxa"/>
            <w:vAlign w:val="bottom"/>
            <w:gridSpan w:val="12"/>
          </w:tcPr>
          <w:p>
            <w:pPr>
              <w:spacing w:after="0"/>
              <w:rPr>
                <w:sz w:val="18"/>
                <w:szCs w:val="18"/>
                <w:color w:val="auto"/>
              </w:rPr>
            </w:pP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38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78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640" w:type="dxa"/>
            <w:vAlign w:val="bottom"/>
            <w:gridSpan w:val="17"/>
          </w:tcPr>
          <w:p>
            <w:pPr>
              <w:spacing w:after="0"/>
              <w:rPr>
                <w:sz w:val="20"/>
                <w:szCs w:val="20"/>
                <w:color w:val="auto"/>
              </w:rPr>
            </w:pPr>
            <w:r>
              <w:rPr>
                <w:rFonts w:ascii="Arial" w:cs="Arial" w:eastAsia="Arial" w:hAnsi="Arial"/>
                <w:sz w:val="18"/>
                <w:szCs w:val="18"/>
                <w:color w:val="0000FF"/>
              </w:rPr>
              <w:t>Signatures</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093"/>
        </w:trPr>
        <w:tc>
          <w:tcPr>
            <w:tcW w:w="130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8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35,652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22,036</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11,092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7,835</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6,584</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52,589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36,455</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5,283</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2,401</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00"/>
        </w:trPr>
        <w:tc>
          <w:tcPr>
            <w:tcW w:w="86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62,823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44,689</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4,137</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Accrued and other current liabilities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6,916</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Finance lease liabilities, current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Operating lease liabilities, current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Borrowings, current</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13,506</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Borrowings, non-current, net of discounts and debt issuance costs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22,261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19,822</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liabilities, non-current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liabilities, non-current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 liability</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44,685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35,149</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5)</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68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Preferred stock, $0.001 par value per share; 10,000,000 shares authorized, no shares issued or outstanding as of September 30,</w:t>
            </w:r>
          </w:p>
        </w:tc>
        <w:tc>
          <w:tcPr>
            <w:tcW w:w="12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2025 and December 31, 2024</w:t>
            </w:r>
          </w:p>
        </w:tc>
        <w:tc>
          <w:tcPr>
            <w:tcW w:w="12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80" w:type="dxa"/>
            <w:vAlign w:val="bottom"/>
          </w:tcPr>
          <w:p>
            <w:pPr>
              <w:ind w:left="360"/>
              <w:spacing w:after="0" w:line="153" w:lineRule="exact"/>
              <w:rPr>
                <w:sz w:val="20"/>
                <w:szCs w:val="20"/>
                <w:color w:val="auto"/>
              </w:rPr>
            </w:pPr>
            <w:r>
              <w:rPr>
                <w:rFonts w:ascii="Arial" w:cs="Arial" w:eastAsia="Arial" w:hAnsi="Arial"/>
                <w:sz w:val="14"/>
                <w:szCs w:val="14"/>
                <w:color w:val="auto"/>
              </w:rPr>
              <w:t>Common stock, $0.001 par value per share; 200,000,000 shares authorized as of September 30, 2025 and December 31, 2024;</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5"/>
        </w:trPr>
        <w:tc>
          <w:tcPr>
            <w:tcW w:w="8680" w:type="dxa"/>
            <w:vAlign w:val="bottom"/>
          </w:tcPr>
          <w:p>
            <w:pPr>
              <w:ind w:left="360"/>
              <w:spacing w:after="0"/>
              <w:rPr>
                <w:sz w:val="20"/>
                <w:szCs w:val="20"/>
                <w:color w:val="auto"/>
              </w:rPr>
            </w:pPr>
            <w:r>
              <w:rPr>
                <w:rFonts w:ascii="Arial" w:cs="Arial" w:eastAsia="Arial" w:hAnsi="Arial"/>
                <w:sz w:val="14"/>
                <w:szCs w:val="14"/>
                <w:color w:val="auto"/>
              </w:rPr>
              <w:t>22,510,313 and 17,640,328 shares issued and outstanding as of September 30, 2025 and December 31, 2024, respectively</w:t>
            </w: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327,724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303,853</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Accumulated deficit</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(309,609)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(294,331)</w:t>
            </w: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18,138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9,540</w:t>
            </w:r>
          </w:p>
        </w:tc>
        <w:tc>
          <w:tcPr>
            <w:tcW w:w="0" w:type="dxa"/>
            <w:vAlign w:val="bottom"/>
          </w:tcPr>
          <w:p>
            <w:pPr>
              <w:spacing w:after="0"/>
              <w:rPr>
                <w:sz w:val="1"/>
                <w:szCs w:val="1"/>
                <w:color w:val="auto"/>
              </w:rPr>
            </w:pPr>
          </w:p>
        </w:tc>
      </w:tr>
      <w:tr>
        <w:trPr>
          <w:trHeight w:val="200"/>
        </w:trPr>
        <w:tc>
          <w:tcPr>
            <w:tcW w:w="868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62,823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44,689</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98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6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98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8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r>
      <w:tr>
        <w:trPr>
          <w:trHeight w:val="238"/>
        </w:trPr>
        <w:tc>
          <w:tcPr>
            <w:tcW w:w="6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41,986</w:t>
            </w:r>
          </w:p>
        </w:tc>
      </w:tr>
      <w:tr>
        <w:trPr>
          <w:trHeight w:val="198"/>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20,351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17,351</w:t>
            </w:r>
          </w:p>
        </w:tc>
      </w:tr>
      <w:tr>
        <w:trPr>
          <w:trHeight w:val="200"/>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10,075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29,593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24,635</w:t>
            </w:r>
          </w:p>
        </w:tc>
      </w:tr>
      <w:tr>
        <w:trPr>
          <w:trHeight w:val="178"/>
        </w:trPr>
        <w:tc>
          <w:tcPr>
            <w:tcW w:w="68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7"/>
        </w:trPr>
        <w:tc>
          <w:tcPr>
            <w:tcW w:w="6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31,169</w:t>
            </w:r>
          </w:p>
        </w:tc>
      </w:tr>
      <w:tr>
        <w:trPr>
          <w:trHeight w:val="198"/>
        </w:trPr>
        <w:tc>
          <w:tcPr>
            <w:tcW w:w="68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Research and development expenses</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3,719</w:t>
            </w:r>
          </w:p>
        </w:tc>
      </w:tr>
      <w:tr>
        <w:trPr>
          <w:trHeight w:val="200"/>
        </w:trPr>
        <w:tc>
          <w:tcPr>
            <w:tcW w:w="68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13,175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38,688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34,888</w:t>
            </w:r>
          </w:p>
        </w:tc>
      </w:tr>
      <w:tr>
        <w:trPr>
          <w:trHeight w:val="192"/>
        </w:trPr>
        <w:tc>
          <w:tcPr>
            <w:tcW w:w="686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(10,253)</w:t>
            </w:r>
          </w:p>
        </w:tc>
      </w:tr>
      <w:tr>
        <w:trPr>
          <w:trHeight w:val="207"/>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w:t>
            </w:r>
          </w:p>
        </w:tc>
      </w:tr>
      <w:tr>
        <w:trPr>
          <w:trHeight w:val="198"/>
        </w:trPr>
        <w:tc>
          <w:tcPr>
            <w:tcW w:w="686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warrant liability</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w:t>
            </w:r>
          </w:p>
        </w:tc>
      </w:tr>
      <w:tr>
        <w:trPr>
          <w:trHeight w:val="200"/>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(11,354)</w:t>
            </w:r>
          </w:p>
        </w:tc>
      </w:tr>
      <w:tr>
        <w:trPr>
          <w:trHeight w:val="198"/>
        </w:trPr>
        <w:tc>
          <w:tcPr>
            <w:tcW w:w="686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6860" w:type="dxa"/>
            <w:vAlign w:val="bottom"/>
          </w:tcPr>
          <w:p>
            <w:pPr>
              <w:ind w:left="20"/>
              <w:spacing w:after="0"/>
              <w:rPr>
                <w:sz w:val="20"/>
                <w:szCs w:val="20"/>
                <w:color w:val="auto"/>
              </w:rPr>
            </w:pPr>
            <w:r>
              <w:rPr>
                <w:rFonts w:ascii="Arial" w:cs="Arial" w:eastAsia="Arial" w:hAnsi="Arial"/>
                <w:sz w:val="14"/>
                <w:szCs w:val="14"/>
                <w:color w:val="auto"/>
              </w:rPr>
              <w:t>Net loss per share, 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(0.28)</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(0.73)</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(0.63)</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1"/>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number of shares used to compute net loss per share, basic and diluted</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22,940,412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18,254,937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20,878,373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18,127,549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gridSpan w:val="2"/>
            <w:vMerge w:val="restart"/>
          </w:tcPr>
          <w:p>
            <w:pPr>
              <w:jc w:val="center"/>
              <w:ind w:right="320"/>
              <w:spacing w:after="0" w:line="122" w:lineRule="exact"/>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4"/>
                <w:szCs w:val="4"/>
                <w:color w:val="auto"/>
              </w:rPr>
            </w:pPr>
          </w:p>
        </w:tc>
        <w:tc>
          <w:tcPr>
            <w:tcW w:w="1560" w:type="dxa"/>
            <w:vAlign w:val="bottom"/>
            <w:gridSpan w:val="2"/>
            <w:vMerge w:val="restart"/>
          </w:tcPr>
          <w:p>
            <w:pPr>
              <w:ind w:left="140"/>
              <w:spacing w:after="0" w:line="12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4"/>
                <w:szCs w:val="4"/>
                <w:color w:val="auto"/>
              </w:rPr>
            </w:pPr>
          </w:p>
        </w:tc>
        <w:tc>
          <w:tcPr>
            <w:tcW w:w="1420" w:type="dxa"/>
            <w:vAlign w:val="bottom"/>
            <w:vMerge w:val="restart"/>
          </w:tcPr>
          <w:p>
            <w:pPr>
              <w:jc w:val="center"/>
              <w:ind w:right="128"/>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3740" w:type="dxa"/>
            <w:vAlign w:val="bottom"/>
          </w:tcPr>
          <w:p>
            <w:pPr>
              <w:spacing w:after="0"/>
              <w:rPr>
                <w:sz w:val="4"/>
                <w:szCs w:val="4"/>
                <w:color w:val="auto"/>
              </w:rPr>
            </w:pPr>
          </w:p>
        </w:tc>
        <w:tc>
          <w:tcPr>
            <w:tcW w:w="15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6"/>
                <w:szCs w:val="16"/>
                <w:color w:val="auto"/>
              </w:rPr>
            </w:pPr>
          </w:p>
        </w:tc>
        <w:tc>
          <w:tcPr>
            <w:tcW w:w="1560" w:type="dxa"/>
            <w:vAlign w:val="bottom"/>
            <w:gridSpan w:val="2"/>
          </w:tcPr>
          <w:p>
            <w:pPr>
              <w:ind w:left="3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December 31, 2024</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17,640,328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303,853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(294,331)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9,540</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229,151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80,554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85"/>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(3,752)</w:t>
            </w:r>
          </w:p>
        </w:tc>
        <w:tc>
          <w:tcPr>
            <w:tcW w:w="0" w:type="dxa"/>
            <w:vAlign w:val="bottom"/>
          </w:tcPr>
          <w:p>
            <w:pPr>
              <w:spacing w:after="0"/>
              <w:rPr>
                <w:sz w:val="1"/>
                <w:szCs w:val="1"/>
                <w:color w:val="auto"/>
              </w:rPr>
            </w:pPr>
          </w:p>
        </w:tc>
      </w:tr>
      <w:tr>
        <w:trPr>
          <w:trHeight w:val="195"/>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Balances as of March 31, 2025</w:t>
            </w:r>
          </w:p>
        </w:tc>
        <w:tc>
          <w:tcPr>
            <w:tcW w:w="14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17,950,033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304,468</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(298,083)</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6,403</w:t>
            </w:r>
          </w:p>
        </w:tc>
        <w:tc>
          <w:tcPr>
            <w:tcW w:w="0" w:type="dxa"/>
            <w:vAlign w:val="bottom"/>
          </w:tcPr>
          <w:p>
            <w:pPr>
              <w:spacing w:after="0"/>
              <w:rPr>
                <w:sz w:val="1"/>
                <w:szCs w:val="1"/>
                <w:color w:val="auto"/>
              </w:rPr>
            </w:pPr>
          </w:p>
        </w:tc>
      </w:tr>
      <w:tr>
        <w:trPr>
          <w:trHeight w:val="154"/>
        </w:trPr>
        <w:tc>
          <w:tcPr>
            <w:tcW w:w="3740" w:type="dxa"/>
            <w:vAlign w:val="bottom"/>
            <w:shd w:val="clear" w:color="auto" w:fill="CCEEFF"/>
          </w:tcPr>
          <w:p>
            <w:pPr>
              <w:ind w:left="360"/>
              <w:spacing w:after="0" w:line="154" w:lineRule="exact"/>
              <w:rPr>
                <w:sz w:val="20"/>
                <w:szCs w:val="20"/>
                <w:color w:val="auto"/>
              </w:rPr>
            </w:pPr>
            <w:r>
              <w:rPr>
                <w:rFonts w:ascii="Arial" w:cs="Arial" w:eastAsia="Arial" w:hAnsi="Arial"/>
                <w:sz w:val="14"/>
                <w:szCs w:val="14"/>
                <w:color w:val="auto"/>
              </w:rPr>
              <w:t>Issuance of stock from public offering, net of</w:t>
            </w: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3,852,500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18,623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18,627</w:t>
            </w:r>
          </w:p>
        </w:tc>
        <w:tc>
          <w:tcPr>
            <w:tcW w:w="0" w:type="dxa"/>
            <w:vAlign w:val="bottom"/>
          </w:tcPr>
          <w:p>
            <w:pPr>
              <w:spacing w:after="0"/>
              <w:rPr>
                <w:sz w:val="1"/>
                <w:szCs w:val="1"/>
                <w:color w:val="auto"/>
              </w:rPr>
            </w:pPr>
          </w:p>
        </w:tc>
      </w:tr>
      <w:tr>
        <w:trPr>
          <w:trHeight w:val="185"/>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costs of $1,598</w:t>
            </w: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Issuance of stock from warrant exercises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107,969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88,129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(4,439)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(4,439)</w:t>
            </w:r>
          </w:p>
        </w:tc>
        <w:tc>
          <w:tcPr>
            <w:tcW w:w="0" w:type="dxa"/>
            <w:vAlign w:val="bottom"/>
          </w:tcPr>
          <w:p>
            <w:pPr>
              <w:spacing w:after="0"/>
              <w:rPr>
                <w:sz w:val="1"/>
                <w:szCs w:val="1"/>
                <w:color w:val="auto"/>
              </w:rPr>
            </w:pPr>
          </w:p>
        </w:tc>
      </w:tr>
      <w:tr>
        <w:trPr>
          <w:trHeight w:val="20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June 30, 2025</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21,998,739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323,534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(302,522)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21,034</w:t>
            </w:r>
          </w:p>
        </w:tc>
        <w:tc>
          <w:tcPr>
            <w:tcW w:w="0" w:type="dxa"/>
            <w:vAlign w:val="bottom"/>
          </w:tcPr>
          <w:p>
            <w:pPr>
              <w:spacing w:after="0"/>
              <w:rPr>
                <w:sz w:val="1"/>
                <w:szCs w:val="1"/>
                <w:color w:val="auto"/>
              </w:rPr>
            </w:pPr>
          </w:p>
        </w:tc>
      </w:tr>
      <w:tr>
        <w:trPr>
          <w:trHeight w:val="153"/>
        </w:trPr>
        <w:tc>
          <w:tcPr>
            <w:tcW w:w="374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under ATM, net of issuance</w:t>
            </w: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360,554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3,397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vMerge w:val="restart"/>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3,398</w:t>
            </w:r>
          </w:p>
        </w:tc>
        <w:tc>
          <w:tcPr>
            <w:tcW w:w="0" w:type="dxa"/>
            <w:vAlign w:val="bottom"/>
          </w:tcPr>
          <w:p>
            <w:pPr>
              <w:spacing w:after="0"/>
              <w:rPr>
                <w:sz w:val="1"/>
                <w:szCs w:val="1"/>
                <w:color w:val="auto"/>
              </w:rPr>
            </w:pPr>
          </w:p>
        </w:tc>
      </w:tr>
      <w:tr>
        <w:trPr>
          <w:trHeight w:val="185"/>
        </w:trPr>
        <w:tc>
          <w:tcPr>
            <w:tcW w:w="3740" w:type="dxa"/>
            <w:vAlign w:val="bottom"/>
          </w:tcPr>
          <w:p>
            <w:pPr>
              <w:ind w:left="360"/>
              <w:spacing w:after="0"/>
              <w:rPr>
                <w:sz w:val="20"/>
                <w:szCs w:val="20"/>
                <w:color w:val="auto"/>
              </w:rPr>
            </w:pPr>
            <w:r>
              <w:rPr>
                <w:rFonts w:ascii="Arial" w:cs="Arial" w:eastAsia="Arial" w:hAnsi="Arial"/>
                <w:sz w:val="14"/>
                <w:szCs w:val="14"/>
                <w:color w:val="auto"/>
              </w:rPr>
              <w:t>costs of $145</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74,235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74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76,785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vMerge w:val="restart"/>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85"/>
        </w:trPr>
        <w:tc>
          <w:tcPr>
            <w:tcW w:w="3740" w:type="dxa"/>
            <w:vAlign w:val="bottom"/>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(7,087)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(7,087)</w:t>
            </w:r>
          </w:p>
        </w:tc>
        <w:tc>
          <w:tcPr>
            <w:tcW w:w="0" w:type="dxa"/>
            <w:vAlign w:val="bottom"/>
          </w:tcPr>
          <w:p>
            <w:pPr>
              <w:spacing w:after="0"/>
              <w:rPr>
                <w:sz w:val="1"/>
                <w:szCs w:val="1"/>
                <w:color w:val="auto"/>
              </w:rPr>
            </w:pPr>
          </w:p>
        </w:tc>
      </w:tr>
      <w:tr>
        <w:trPr>
          <w:trHeight w:val="22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September 30, 2025</w:t>
            </w:r>
          </w:p>
        </w:tc>
        <w:tc>
          <w:tcPr>
            <w:tcW w:w="14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22,510,313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327,724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(309,609)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18,138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gridSpan w:val="2"/>
            <w:vMerge w:val="restart"/>
          </w:tcPr>
          <w:p>
            <w:pPr>
              <w:jc w:val="center"/>
              <w:ind w:right="320"/>
              <w:spacing w:after="0" w:line="122" w:lineRule="exact"/>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4"/>
                <w:szCs w:val="4"/>
                <w:color w:val="auto"/>
              </w:rPr>
            </w:pPr>
          </w:p>
        </w:tc>
        <w:tc>
          <w:tcPr>
            <w:tcW w:w="1560" w:type="dxa"/>
            <w:vAlign w:val="bottom"/>
            <w:gridSpan w:val="2"/>
            <w:vMerge w:val="restart"/>
          </w:tcPr>
          <w:p>
            <w:pPr>
              <w:ind w:left="140"/>
              <w:spacing w:after="0" w:line="12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4"/>
                <w:szCs w:val="4"/>
                <w:color w:val="auto"/>
              </w:rPr>
            </w:pPr>
          </w:p>
        </w:tc>
        <w:tc>
          <w:tcPr>
            <w:tcW w:w="1420" w:type="dxa"/>
            <w:vAlign w:val="bottom"/>
            <w:vMerge w:val="restart"/>
          </w:tcPr>
          <w:p>
            <w:pPr>
              <w:jc w:val="center"/>
              <w:ind w:right="128"/>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3740" w:type="dxa"/>
            <w:vAlign w:val="bottom"/>
          </w:tcPr>
          <w:p>
            <w:pPr>
              <w:spacing w:after="0"/>
              <w:rPr>
                <w:sz w:val="4"/>
                <w:szCs w:val="4"/>
                <w:color w:val="auto"/>
              </w:rPr>
            </w:pPr>
          </w:p>
        </w:tc>
        <w:tc>
          <w:tcPr>
            <w:tcW w:w="15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6"/>
                <w:szCs w:val="16"/>
                <w:color w:val="auto"/>
              </w:rPr>
            </w:pPr>
          </w:p>
        </w:tc>
        <w:tc>
          <w:tcPr>
            <w:tcW w:w="1560" w:type="dxa"/>
            <w:vAlign w:val="bottom"/>
            <w:gridSpan w:val="2"/>
          </w:tcPr>
          <w:p>
            <w:pPr>
              <w:ind w:left="3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December 31, 2023</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17,045,954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301,893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(279,216)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22,694</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217,056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74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54,605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vMerge w:val="restart"/>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5"/>
        </w:trPr>
        <w:tc>
          <w:tcPr>
            <w:tcW w:w="3740" w:type="dxa"/>
            <w:vAlign w:val="bottom"/>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(3,360)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(3,360)</w:t>
            </w:r>
          </w:p>
        </w:tc>
        <w:tc>
          <w:tcPr>
            <w:tcW w:w="0" w:type="dxa"/>
            <w:vAlign w:val="bottom"/>
          </w:tcPr>
          <w:p>
            <w:pPr>
              <w:spacing w:after="0"/>
              <w:rPr>
                <w:sz w:val="1"/>
                <w:szCs w:val="1"/>
                <w:color w:val="auto"/>
              </w:rPr>
            </w:pPr>
          </w:p>
        </w:tc>
      </w:tr>
      <w:tr>
        <w:trPr>
          <w:trHeight w:val="20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March 31, 2024</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17,317,941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302,550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(282,576)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19,991</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62,998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(2,966)</w:t>
            </w:r>
          </w:p>
        </w:tc>
        <w:tc>
          <w:tcPr>
            <w:tcW w:w="0" w:type="dxa"/>
            <w:vAlign w:val="bottom"/>
          </w:tcPr>
          <w:p>
            <w:pPr>
              <w:spacing w:after="0"/>
              <w:rPr>
                <w:sz w:val="1"/>
                <w:szCs w:val="1"/>
                <w:color w:val="auto"/>
              </w:rPr>
            </w:pPr>
          </w:p>
        </w:tc>
      </w:tr>
      <w:tr>
        <w:trPr>
          <w:trHeight w:val="195"/>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Balances as of June 30, 2024</w:t>
            </w:r>
          </w:p>
        </w:tc>
        <w:tc>
          <w:tcPr>
            <w:tcW w:w="14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17,381,575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303,110</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(285,542)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17,585</w:t>
            </w:r>
          </w:p>
        </w:tc>
        <w:tc>
          <w:tcPr>
            <w:tcW w:w="0" w:type="dxa"/>
            <w:vAlign w:val="bottom"/>
          </w:tcPr>
          <w:p>
            <w:pPr>
              <w:spacing w:after="0"/>
              <w:rPr>
                <w:sz w:val="1"/>
                <w:szCs w:val="1"/>
                <w:color w:val="auto"/>
              </w:rPr>
            </w:pPr>
          </w:p>
        </w:tc>
      </w:tr>
      <w:tr>
        <w:trPr>
          <w:trHeight w:val="204"/>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84,162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41,443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5"/>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(5,028)</w:t>
            </w:r>
          </w:p>
        </w:tc>
        <w:tc>
          <w:tcPr>
            <w:tcW w:w="0" w:type="dxa"/>
            <w:vAlign w:val="bottom"/>
          </w:tcPr>
          <w:p>
            <w:pPr>
              <w:spacing w:after="0"/>
              <w:rPr>
                <w:sz w:val="1"/>
                <w:szCs w:val="1"/>
                <w:color w:val="auto"/>
              </w:rPr>
            </w:pPr>
          </w:p>
        </w:tc>
      </w:tr>
      <w:tr>
        <w:trPr>
          <w:trHeight w:val="200"/>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Balances as of September 30, 2024</w:t>
            </w:r>
          </w:p>
        </w:tc>
        <w:tc>
          <w:tcPr>
            <w:tcW w:w="14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17,520,335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303,420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(290,570)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12,868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6" w:name="page7"/>
    <w:bookmarkEnd w:id="6"/>
    <w:p>
      <w:pPr>
        <w:ind w:left="494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40" w:type="dxa"/>
            <w:vAlign w:val="bottom"/>
          </w:tcPr>
          <w:p>
            <w:pPr>
              <w:spacing w:after="0"/>
              <w:rPr>
                <w:sz w:val="17"/>
                <w:szCs w:val="17"/>
                <w:color w:val="auto"/>
              </w:rPr>
            </w:pPr>
          </w:p>
        </w:tc>
        <w:tc>
          <w:tcPr>
            <w:tcW w:w="3420" w:type="dxa"/>
            <w:vAlign w:val="bottom"/>
            <w:tcBorders>
              <w:bottom w:val="single" w:sz="8" w:color="auto"/>
            </w:tcBorders>
            <w:gridSpan w:val="5"/>
          </w:tcPr>
          <w:p>
            <w:pPr>
              <w:jc w:val="right"/>
              <w:ind w:right="46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54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r>
      <w:tr>
        <w:trPr>
          <w:trHeight w:val="183"/>
        </w:trPr>
        <w:tc>
          <w:tcPr>
            <w:tcW w:w="7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3"/>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(15,278)</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(11,354)</w:t>
            </w: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1,518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1,309</w:t>
            </w: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debt discount and debt issuance costs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w:t>
            </w: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Amortization of loan commitment fees</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 in fair value of warrant liability</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3,108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Loss on extinguishment of debt</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Non-cash operating lease expense</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656</w:t>
            </w: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1,453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1,330</w:t>
            </w: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317</w:t>
            </w: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Changes in assets and liabilities:</w:t>
            </w: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7"/>
        </w:trPr>
        <w:tc>
          <w:tcPr>
            <w:tcW w:w="75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receivable, net</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(2,836)</w:t>
            </w:r>
          </w:p>
        </w:tc>
      </w:tr>
      <w:tr>
        <w:trPr>
          <w:trHeight w:val="198"/>
        </w:trPr>
        <w:tc>
          <w:tcPr>
            <w:tcW w:w="7540" w:type="dxa"/>
            <w:vAlign w:val="bottom"/>
          </w:tcPr>
          <w:p>
            <w:pPr>
              <w:ind w:left="660"/>
              <w:spacing w:after="0"/>
              <w:rPr>
                <w:sz w:val="20"/>
                <w:szCs w:val="20"/>
                <w:color w:val="auto"/>
              </w:rPr>
            </w:pPr>
            <w:r>
              <w:rPr>
                <w:rFonts w:ascii="Arial" w:cs="Arial" w:eastAsia="Arial" w:hAnsi="Arial"/>
                <w:sz w:val="14"/>
                <w:szCs w:val="14"/>
                <w:color w:val="auto"/>
              </w:rPr>
              <w:t>Prepaid expenses and other current assets</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1,358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662</w:t>
            </w:r>
          </w:p>
        </w:tc>
      </w:tr>
      <w:tr>
        <w:trPr>
          <w:trHeight w:val="207"/>
        </w:trPr>
        <w:tc>
          <w:tcPr>
            <w:tcW w:w="75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Other assets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r>
      <w:tr>
        <w:trPr>
          <w:trHeight w:val="198"/>
        </w:trPr>
        <w:tc>
          <w:tcPr>
            <w:tcW w:w="7540" w:type="dxa"/>
            <w:vAlign w:val="bottom"/>
          </w:tcPr>
          <w:p>
            <w:pPr>
              <w:ind w:left="660"/>
              <w:spacing w:after="0"/>
              <w:rPr>
                <w:sz w:val="20"/>
                <w:szCs w:val="20"/>
                <w:color w:val="auto"/>
              </w:rPr>
            </w:pPr>
            <w:r>
              <w:rPr>
                <w:rFonts w:ascii="Arial" w:cs="Arial" w:eastAsia="Arial" w:hAnsi="Arial"/>
                <w:sz w:val="14"/>
                <w:szCs w:val="14"/>
                <w:color w:val="auto"/>
              </w:rPr>
              <w:t>Operating lease liabilities</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(808)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(720)</w:t>
            </w:r>
          </w:p>
        </w:tc>
      </w:tr>
      <w:tr>
        <w:trPr>
          <w:trHeight w:val="207"/>
        </w:trPr>
        <w:tc>
          <w:tcPr>
            <w:tcW w:w="75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payable</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(2,028)</w:t>
            </w:r>
          </w:p>
        </w:tc>
      </w:tr>
      <w:tr>
        <w:trPr>
          <w:trHeight w:val="198"/>
        </w:trPr>
        <w:tc>
          <w:tcPr>
            <w:tcW w:w="7540" w:type="dxa"/>
            <w:vAlign w:val="bottom"/>
          </w:tcPr>
          <w:p>
            <w:pPr>
              <w:ind w:left="660"/>
              <w:spacing w:after="0"/>
              <w:rPr>
                <w:sz w:val="20"/>
                <w:szCs w:val="20"/>
                <w:color w:val="auto"/>
              </w:rPr>
            </w:pPr>
            <w:r>
              <w:rPr>
                <w:rFonts w:ascii="Arial" w:cs="Arial" w:eastAsia="Arial" w:hAnsi="Arial"/>
                <w:sz w:val="14"/>
                <w:szCs w:val="14"/>
                <w:color w:val="auto"/>
              </w:rPr>
              <w:t>Deferred revenue</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75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Accrued and other current liabilities</w:t>
            </w: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(1,140)</w:t>
            </w:r>
          </w:p>
        </w:tc>
      </w:tr>
      <w:tr>
        <w:trPr>
          <w:trHeight w:val="192"/>
        </w:trPr>
        <w:tc>
          <w:tcPr>
            <w:tcW w:w="75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used in operating activities</w:t>
            </w: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(13,642)</w:t>
            </w:r>
          </w:p>
        </w:tc>
      </w:tr>
      <w:tr>
        <w:trPr>
          <w:trHeight w:val="186"/>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(369)</w:t>
            </w: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disposal of property and equipment</w:t>
            </w: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2"/>
        </w:trPr>
        <w:tc>
          <w:tcPr>
            <w:tcW w:w="75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used in investing activities</w:t>
            </w: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w:t>
            </w:r>
          </w:p>
        </w:tc>
      </w:tr>
      <w:tr>
        <w:trPr>
          <w:trHeight w:val="18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Proceeds from common stock issued in public offering, net of issuance costs</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18,627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common stock issued under ATM, net of issuance costs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3,436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Proceeds from common stock issued under Employee Stock Purchase Plan</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176</w:t>
            </w: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10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Principal payments on finance lease obligations</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(379)</w:t>
            </w: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payments on notes payable obligations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Proceeds from issuance of debt and warrants, net of discounts</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23,672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to extinguish debt</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Payment of debt issuance costs</w:t>
            </w: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00"/>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provided by (used in) financing activities</w:t>
            </w: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24,819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w:t>
            </w:r>
          </w:p>
        </w:tc>
      </w:tr>
      <w:tr>
        <w:trPr>
          <w:trHeight w:val="192"/>
        </w:trPr>
        <w:tc>
          <w:tcPr>
            <w:tcW w:w="7540" w:type="dxa"/>
            <w:vAlign w:val="bottom"/>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104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13,616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(14,458)</w:t>
            </w:r>
          </w:p>
        </w:tc>
      </w:tr>
      <w:tr>
        <w:trPr>
          <w:trHeight w:val="203"/>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22,236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36,693</w:t>
            </w:r>
          </w:p>
        </w:tc>
      </w:tr>
      <w:tr>
        <w:trPr>
          <w:trHeight w:val="200"/>
        </w:trPr>
        <w:tc>
          <w:tcPr>
            <w:tcW w:w="75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35,852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22,235</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2,107</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1,307</w:t>
            </w: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taxes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r>
      <w:tr>
        <w:trPr>
          <w:trHeight w:val="202"/>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items:</w:t>
            </w: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Unpaid equipment settled under financing arrangement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Right-of-use assets obtained in exchange for finance lease liabilities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3,231</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Recognition of warrant liability</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3,525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Equipment purchased under notes payable obligations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706</w:t>
            </w: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Unpaid financing costs included in accounts payable and accrued liabilities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5"/>
        </w:trPr>
        <w:tc>
          <w:tcPr>
            <w:tcW w:w="7540" w:type="dxa"/>
            <w:vAlign w:val="bottom"/>
          </w:tcPr>
          <w:p>
            <w:pPr>
              <w:ind w:left="20"/>
              <w:spacing w:after="0"/>
              <w:rPr>
                <w:sz w:val="20"/>
                <w:szCs w:val="20"/>
                <w:color w:val="auto"/>
              </w:rPr>
            </w:pPr>
            <w:r>
              <w:rPr>
                <w:rFonts w:ascii="Arial" w:cs="Arial" w:eastAsia="Arial" w:hAnsi="Arial"/>
                <w:sz w:val="14"/>
                <w:szCs w:val="14"/>
                <w:color w:val="auto"/>
              </w:rPr>
              <w:t>Costs incurred, but not paid, in connection with capital expenditures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20</w:t>
            </w:r>
          </w:p>
        </w:tc>
      </w:tr>
    </w:tbl>
    <w:p>
      <w:pPr>
        <w:spacing w:after="0" w:line="352" w:lineRule="exact"/>
        <w:rPr>
          <w:sz w:val="20"/>
          <w:szCs w:val="20"/>
          <w:color w:val="auto"/>
        </w:rPr>
      </w:pPr>
    </w:p>
    <w:p>
      <w:pPr>
        <w:jc w:val="center"/>
        <w:ind w:right="80"/>
        <w:spacing w:after="0"/>
        <w:rPr>
          <w:sz w:val="20"/>
          <w:szCs w:val="20"/>
          <w:color w:val="auto"/>
        </w:rPr>
      </w:pPr>
      <w:r>
        <w:rPr>
          <w:rFonts w:ascii="Arial" w:cs="Arial" w:eastAsia="Arial" w:hAnsi="Arial"/>
          <w:sz w:val="14"/>
          <w:szCs w:val="14"/>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500" w:top="890"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Condensed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Exagen Inc. (the Company) is a medical technology company primarily focused on the design, development and commercialization of a next-generation portfolio of testing products under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which allow for the differential diagnosis, prognosis and monitoring of complex rheumatic, autoimmune and autoimmune-related disease including, among others, systemic lupus erythematosus (SLE) and rheumatoid arthritis (RA).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incurred recurring losses and negative cash flows from operating activities since inception. The Company anticipates that it will continue to incur net losses in future periods. As of September 30, 2025, the Company had cash and cash equivalents of $35.7 million and had an accumulated deficit of $ 309.6 million. Since inception, the Company has financed its operations primarily through a combination of equity financings, debt financing arrangements, and revenue from sales of the Company's products. Based on the Company's current business plan, management believes that its existing capital resources will be sufficient to fund the Company's obligations for at least twelve months following the issuance of these condensed financial statements.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April 25, 2025, the Company and Perceptive Credit Holdings IV, LP (Perceptive) entered into the Credit Agreement (as defined below), under which an initial term loan of $25.0 million was funded, $19.7 million of which the Company used to repay the 2017 Term Loan (as defined below). The Company received $3.0 million in proceeds, net of issuance costs and repayment of the 2017 Term Loan. The term loan facility allows the Company to draw up to an aggregate principal amount of $75.0 million in several tranches, subject to specified milestone requirements. Additionally, pursuant to the Credit Agreement, the Company also issued a warrant certificate to purchase up to 1,150,000 shares of common stock (the Warrant Certificate), 400,000 of which vested and became exercisable upon issuance (the Tranche A Warrant Shares) and up to 750,000 of which will vest and become exercisable if and when the additional debt tranches are drawn by the Company. See “Note 4 </w:t>
      </w:r>
      <w:r>
        <w:rPr>
          <w:rFonts w:ascii="Arial" w:cs="Arial" w:eastAsia="Arial" w:hAnsi="Arial"/>
          <w:sz w:val="18"/>
          <w:szCs w:val="18"/>
          <w:i w:val="1"/>
          <w:iCs w:val="1"/>
          <w:color w:val="auto"/>
        </w:rPr>
        <w:t>Borrowings—Perceptive Term Loan Facility</w:t>
      </w:r>
      <w:r>
        <w:rPr>
          <w:rFonts w:ascii="Arial" w:cs="Arial" w:eastAsia="Arial" w:hAnsi="Arial"/>
          <w:sz w:val="18"/>
          <w:szCs w:val="18"/>
          <w:color w:val="auto"/>
        </w:rPr>
        <w:t>” for more information.</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On May 9, 2025, the Company issued and sold an aggregate of 3,852,500 shares of its common stock at a public offering price of $5.25 per share, for aggregate net proceeds of $18.6 million after deducting underwriting discounts and commissions and other offering expenses. See “Note 7 </w:t>
      </w:r>
      <w:r>
        <w:rPr>
          <w:rFonts w:ascii="Arial" w:cs="Arial" w:eastAsia="Arial" w:hAnsi="Arial"/>
          <w:sz w:val="18"/>
          <w:szCs w:val="18"/>
          <w:i w:val="1"/>
          <w:iCs w:val="1"/>
          <w:color w:val="auto"/>
        </w:rPr>
        <w:t>Stockholders' Equity—2025 Public Offering</w:t>
      </w:r>
      <w:r>
        <w:rPr>
          <w:rFonts w:ascii="Arial" w:cs="Arial" w:eastAsia="Arial" w:hAnsi="Arial"/>
          <w:sz w:val="18"/>
          <w:szCs w:val="18"/>
          <w:color w:val="auto"/>
        </w:rPr>
        <w:t>” for more information.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may need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Although management believes the Company's existing capital resources are adequate to fund operations for the next twelve months, if the Company is unable to obtain additional funding in the future,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accompanying unaudited interim condensed balance sheets as of September 30, 2025, condensed statements of operations and stockholders' equity for the three and nine months ended September 30, 2025 and 2024, cash</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8" w:name="page9"/>
    <w:bookmarkEnd w:id="8"/>
    <w:p>
      <w:pPr>
        <w:jc w:val="both"/>
        <w:spacing w:after="0" w:line="254" w:lineRule="auto"/>
        <w:rPr>
          <w:sz w:val="20"/>
          <w:szCs w:val="20"/>
          <w:color w:val="auto"/>
        </w:rPr>
      </w:pPr>
      <w:r>
        <w:rPr>
          <w:rFonts w:ascii="Arial" w:cs="Arial" w:eastAsia="Arial" w:hAnsi="Arial"/>
          <w:sz w:val="18"/>
          <w:szCs w:val="18"/>
          <w:color w:val="auto"/>
        </w:rPr>
        <w:t>flows for the nine months ended September 30, 2025 and 2024 and the related footnote disclosures are unaudited and have been prepared in accordance with the rules and regulations of the Securities and Exchange Commission (SEC), and with accounting principles generally accepted in the United States (GAAP) applicable to interim financial statements. These unaudited condensed financial statements and related footnote disclosures should be read in conjunction with the Company’s audited financial statements for the fiscal year ended December 31, 2024, included in its Annual Report on Form 10-K filed with the SEC on March 11, 2025 (the 2024 Annual Report). In management's opinion, the unaudited interim condensed financial statements have been prepared on the same basis as the audited financial statements included in the 2024 Annual Report and include all normal adjustments, necessary for the fair presentation of the Company's financial position as of September 30, 2025 and its results of operations for the periods presented. The results for the three and nine months ended September 30, 2025 are not necessarily indicative of the results expected for the full fiscal year or any other interim period. The year-end condensed balance sheet data was derived from audited financial statements, but does not include all disclosures required by GAAP. Certain reclassifications have been made to prior period amounts to conform to the current presentation.</w:t>
      </w:r>
    </w:p>
    <w:p>
      <w:pPr>
        <w:spacing w:after="0" w:line="18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preparation of the accompanying unaudited condensed financial statements requires management to make estimates and assumptions that affect the reported amounts of assets and liabilities, the disclosure of contingent assets and liabilities as of the date of the condensed financial statements, and the reported amounts of revenue and expenses during the reporting period. Actual results could materially differ from those estimates.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Significant estimates and assumptions made in the accompanying unaudited condensed financial statements include, but are not limited to revenue recognition, the fair value of the warrant liability, the estimated incremental borrowing rate for the determination of the Company's operating and finance lease right-of-use (ROU) assets, and the recoverability of its long-lived assets and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 The Company has not experienced any losses on its cash or cash equivalents.</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Significant payors and customers are those which represent more than 10% of the Company's total revenue or accounts receivable balance at each respective balance sheet date. For each significant payor and customer, revenue as a percentage of total revenue and accounts receivable as a percentage of total accounts receivable are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Revenue</w:t>
            </w:r>
          </w:p>
        </w:tc>
        <w:tc>
          <w:tcPr>
            <w:tcW w:w="18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47"/>
        </w:trPr>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40" w:type="dxa"/>
            <w:vAlign w:val="bottom"/>
            <w:gridSpan w:val="3"/>
          </w:tcPr>
          <w:p>
            <w:pPr>
              <w:jc w:val="center"/>
              <w:ind w:right="540"/>
              <w:spacing w:after="0" w:line="147" w:lineRule="exact"/>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6"/>
          </w:tcPr>
          <w:p>
            <w:pPr>
              <w:jc w:val="right"/>
              <w:ind w:right="1220"/>
              <w:spacing w:after="0" w:line="147" w:lineRule="exact"/>
              <w:rPr>
                <w:sz w:val="20"/>
                <w:szCs w:val="20"/>
                <w:color w:val="auto"/>
              </w:rPr>
            </w:pPr>
            <w:r>
              <w:rPr>
                <w:rFonts w:ascii="Arial" w:cs="Arial" w:eastAsia="Arial" w:hAnsi="Arial"/>
                <w:sz w:val="14"/>
                <w:szCs w:val="14"/>
                <w:b w:val="1"/>
                <w:bCs w:val="1"/>
                <w:color w:val="auto"/>
              </w:rPr>
              <w:t>Nine Months Ended</w:t>
            </w:r>
          </w:p>
        </w:tc>
      </w:tr>
      <w:tr>
        <w:trPr>
          <w:trHeight w:val="185"/>
        </w:trPr>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Borders>
              <w:bottom w:val="single" w:sz="8" w:color="auto"/>
            </w:tcBorders>
            <w:gridSpan w:val="5"/>
          </w:tcPr>
          <w:p>
            <w:pPr>
              <w:jc w:val="right"/>
              <w:ind w:right="1288"/>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2025</w:t>
            </w:r>
          </w:p>
        </w:tc>
        <w:tc>
          <w:tcPr>
            <w:tcW w:w="2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2024</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right"/>
              <w:ind w:right="628"/>
              <w:spacing w:after="0"/>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tcPr>
          <w:p>
            <w:pPr>
              <w:jc w:val="right"/>
              <w:ind w:right="668"/>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6"/>
                <w:szCs w:val="16"/>
                <w:color w:val="auto"/>
              </w:rPr>
            </w:pPr>
          </w:p>
        </w:tc>
      </w:tr>
      <w:tr>
        <w:trPr>
          <w:trHeight w:val="197"/>
        </w:trPr>
        <w:tc>
          <w:tcPr>
            <w:tcW w:w="60" w:type="dxa"/>
            <w:vAlign w:val="bottom"/>
          </w:tcPr>
          <w:p>
            <w:pPr>
              <w:spacing w:after="0"/>
              <w:rPr>
                <w:sz w:val="17"/>
                <w:szCs w:val="17"/>
                <w:color w:val="auto"/>
              </w:rPr>
            </w:pPr>
          </w:p>
        </w:tc>
        <w:tc>
          <w:tcPr>
            <w:tcW w:w="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27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23 %</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40" w:type="dxa"/>
            <w:vAlign w:val="bottom"/>
          </w:tcPr>
          <w:p>
            <w:pPr>
              <w:spacing w:after="0"/>
              <w:rPr>
                <w:sz w:val="17"/>
                <w:szCs w:val="17"/>
                <w:color w:val="auto"/>
              </w:rPr>
            </w:pPr>
          </w:p>
        </w:tc>
      </w:tr>
      <w:tr>
        <w:trPr>
          <w:trHeight w:val="199"/>
        </w:trPr>
        <w:tc>
          <w:tcPr>
            <w:tcW w:w="6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Customer B</w:t>
            </w:r>
          </w:p>
        </w:tc>
        <w:tc>
          <w:tcPr>
            <w:tcW w:w="2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4"/>
                <w:szCs w:val="14"/>
                <w:color w:val="auto"/>
              </w:rPr>
              <w:t>19 %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21 %</w:t>
            </w:r>
          </w:p>
        </w:tc>
        <w:tc>
          <w:tcPr>
            <w:tcW w:w="40" w:type="dxa"/>
            <w:vAlign w:val="bottom"/>
          </w:tcPr>
          <w:p>
            <w:pPr>
              <w:spacing w:after="0"/>
              <w:rPr>
                <w:sz w:val="17"/>
                <w:szCs w:val="17"/>
                <w:color w:val="auto"/>
              </w:rPr>
            </w:pPr>
          </w:p>
        </w:tc>
      </w:tr>
      <w:tr>
        <w:trPr>
          <w:trHeight w:val="206"/>
        </w:trPr>
        <w:tc>
          <w:tcPr>
            <w:tcW w:w="60" w:type="dxa"/>
            <w:vAlign w:val="bottom"/>
          </w:tcPr>
          <w:p>
            <w:pPr>
              <w:spacing w:after="0"/>
              <w:rPr>
                <w:sz w:val="17"/>
                <w:szCs w:val="17"/>
                <w:color w:val="auto"/>
              </w:rPr>
            </w:pPr>
          </w:p>
        </w:tc>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C</w:t>
            </w:r>
          </w:p>
        </w:tc>
        <w:tc>
          <w:tcPr>
            <w:tcW w:w="27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10 %</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r>
      <w:tr>
        <w:trPr>
          <w:trHeight w:val="634"/>
        </w:trPr>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6"/>
          </w:tcPr>
          <w:p>
            <w:pPr>
              <w:jc w:val="right"/>
              <w:ind w:right="1040"/>
              <w:spacing w:after="0"/>
              <w:rPr>
                <w:sz w:val="20"/>
                <w:szCs w:val="20"/>
                <w:color w:val="auto"/>
              </w:rPr>
            </w:pPr>
            <w:r>
              <w:rPr>
                <w:rFonts w:ascii="Arial" w:cs="Arial" w:eastAsia="Arial" w:hAnsi="Arial"/>
                <w:sz w:val="14"/>
                <w:szCs w:val="14"/>
                <w:b w:val="1"/>
                <w:bCs w:val="1"/>
                <w:color w:val="auto"/>
              </w:rPr>
              <w:t>Accounts Receivable, Net</w:t>
            </w:r>
          </w:p>
        </w:tc>
      </w:tr>
      <w:tr>
        <w:trPr>
          <w:trHeight w:val="196"/>
        </w:trPr>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4"/>
          </w:tcPr>
          <w:p>
            <w:pPr>
              <w:ind w:left="160"/>
              <w:spacing w:after="0"/>
              <w:rPr>
                <w:sz w:val="20"/>
                <w:szCs w:val="20"/>
                <w:color w:val="auto"/>
              </w:rPr>
            </w:pPr>
            <w:r>
              <w:rPr>
                <w:rFonts w:ascii="Arial" w:cs="Arial" w:eastAsia="Arial" w:hAnsi="Arial"/>
                <w:sz w:val="14"/>
                <w:szCs w:val="14"/>
                <w:b w:val="1"/>
                <w:bCs w:val="1"/>
                <w:color w:val="auto"/>
              </w:rPr>
              <w:t>September 30, 2025</w:t>
            </w:r>
          </w:p>
        </w:tc>
        <w:tc>
          <w:tcPr>
            <w:tcW w:w="1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December 31, 2024</w:t>
            </w:r>
          </w:p>
        </w:tc>
      </w:tr>
      <w:tr>
        <w:trPr>
          <w:trHeight w:val="197"/>
        </w:trPr>
        <w:tc>
          <w:tcPr>
            <w:tcW w:w="1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27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13 %</w:t>
            </w:r>
          </w:p>
        </w:tc>
      </w:tr>
      <w:tr>
        <w:trPr>
          <w:trHeight w:val="198"/>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Customer B</w:t>
            </w:r>
          </w:p>
        </w:tc>
        <w:tc>
          <w:tcPr>
            <w:tcW w:w="2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17 %</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4"/>
                <w:szCs w:val="14"/>
                <w:color w:val="auto"/>
              </w:rPr>
              <w:t>25 %</w:t>
            </w:r>
          </w:p>
        </w:tc>
      </w:tr>
      <w:tr>
        <w:trPr>
          <w:trHeight w:val="207"/>
        </w:trPr>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C</w:t>
            </w:r>
          </w:p>
        </w:tc>
        <w:tc>
          <w:tcPr>
            <w:tcW w:w="27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r>
      <w:tr>
        <w:trPr>
          <w:trHeight w:val="175"/>
        </w:trPr>
        <w:tc>
          <w:tcPr>
            <w:tcW w:w="1000" w:type="dxa"/>
            <w:vAlign w:val="bottom"/>
            <w:tcBorders>
              <w:bottom w:val="single" w:sz="8" w:color="auto"/>
            </w:tcBorders>
            <w:gridSpan w:val="2"/>
          </w:tcPr>
          <w:p>
            <w:pPr>
              <w:spacing w:after="0"/>
              <w:rPr>
                <w:sz w:val="15"/>
                <w:szCs w:val="15"/>
                <w:color w:val="auto"/>
              </w:rPr>
            </w:pPr>
          </w:p>
        </w:tc>
        <w:tc>
          <w:tcPr>
            <w:tcW w:w="382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23"/>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3820" w:type="dxa"/>
            <w:vAlign w:val="bottom"/>
            <w:gridSpan w:val="2"/>
          </w:tcPr>
          <w:p>
            <w:pPr>
              <w:jc w:val="right"/>
              <w:ind w:right="2820"/>
              <w:spacing w:after="0"/>
              <w:rPr>
                <w:sz w:val="20"/>
                <w:szCs w:val="20"/>
                <w:color w:val="auto"/>
              </w:rPr>
            </w:pPr>
            <w:r>
              <w:rPr>
                <w:rFonts w:ascii="Arial" w:cs="Arial" w:eastAsia="Arial" w:hAnsi="Arial"/>
                <w:sz w:val="14"/>
                <w:szCs w:val="14"/>
                <w:color w:val="auto"/>
              </w:rPr>
              <w:t>Less than 10%.</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9" w:name="page10"/>
    <w:bookmarkEnd w:id="9"/>
    <w:p>
      <w:pPr>
        <w:ind w:right="540"/>
        <w:spacing w:after="0" w:line="237" w:lineRule="auto"/>
        <w:rPr>
          <w:sz w:val="20"/>
          <w:szCs w:val="20"/>
          <w:color w:val="auto"/>
        </w:rPr>
      </w:pPr>
      <w:r>
        <w:rPr>
          <w:rFonts w:ascii="Arial" w:cs="Arial" w:eastAsia="Arial" w:hAnsi="Arial"/>
          <w:sz w:val="18"/>
          <w:szCs w:val="18"/>
          <w:color w:val="auto"/>
        </w:rPr>
        <w:t>For the three months ended September 30, 2025 and 2024, approximately 87% and 93%, respectively,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Revenue related to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for the nine months ended September 30, 2025 and 2024 was approximately 89% and 91%, respectively.</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dependent on key suppliers for certain laboratory materials, consisting primarily of reagents and biomarkers used in our diagnostic tests. For the three months ended September 30, 2025 and 2024 approximately 97% and 98%, respectively, of the Company's diagnostic testing supplies were purchased from two suppliers. For the nine months ended September 30, 2025 and 2024, approximately 95% and 97%, respectively, of the Company's diagnostic testing supplies were purchased from three suppliers. An interruption in the supply of these materials would impact the Company's ability to perform testing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Company's revenues as disaggregated by payor and customer category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40" w:type="dxa"/>
            <w:vAlign w:val="bottom"/>
          </w:tcPr>
          <w:p>
            <w:pPr>
              <w:spacing w:after="0"/>
              <w:rPr>
                <w:sz w:val="17"/>
                <w:szCs w:val="17"/>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39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2024</w:t>
            </w:r>
          </w:p>
        </w:tc>
      </w:tr>
      <w:tr>
        <w:trPr>
          <w:trHeight w:val="183"/>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99"/>
        </w:trPr>
        <w:tc>
          <w:tcPr>
            <w:tcW w:w="394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9,454</w:t>
            </w:r>
          </w:p>
        </w:tc>
        <w:tc>
          <w:tcPr>
            <w:tcW w:w="100" w:type="dxa"/>
            <w:vAlign w:val="bottom"/>
          </w:tcPr>
          <w:p>
            <w:pPr>
              <w:spacing w:after="0"/>
              <w:rPr>
                <w:sz w:val="17"/>
                <w:szCs w:val="17"/>
                <w:color w:val="auto"/>
              </w:rPr>
            </w:pP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6,779</w:t>
            </w:r>
          </w:p>
        </w:tc>
        <w:tc>
          <w:tcPr>
            <w:tcW w:w="12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27,025</w:t>
            </w:r>
          </w:p>
        </w:tc>
        <w:tc>
          <w:tcPr>
            <w:tcW w:w="10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22,314</w:t>
            </w:r>
          </w:p>
        </w:tc>
      </w:tr>
      <w:tr>
        <w:trPr>
          <w:trHeight w:val="206"/>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3,988</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10,276</w:t>
            </w:r>
          </w:p>
        </w:tc>
      </w:tr>
      <w:tr>
        <w:trPr>
          <w:trHeight w:val="199"/>
        </w:trPr>
        <w:tc>
          <w:tcPr>
            <w:tcW w:w="3940" w:type="dxa"/>
            <w:vAlign w:val="bottom"/>
          </w:tcPr>
          <w:p>
            <w:pPr>
              <w:ind w:left="20"/>
              <w:spacing w:after="0"/>
              <w:rPr>
                <w:sz w:val="20"/>
                <w:szCs w:val="20"/>
                <w:color w:val="auto"/>
              </w:rPr>
            </w:pPr>
            <w:r>
              <w:rPr>
                <w:rFonts w:ascii="Arial" w:cs="Arial" w:eastAsia="Arial" w:hAnsi="Arial"/>
                <w:sz w:val="14"/>
                <w:szCs w:val="14"/>
                <w:color w:val="auto"/>
              </w:rPr>
              <w:t>Client direct bill(1)</w:t>
            </w:r>
          </w:p>
        </w:tc>
        <w:tc>
          <w:tcPr>
            <w:tcW w:w="1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3,733</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2,981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11,100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9,175</w:t>
            </w:r>
          </w:p>
        </w:tc>
      </w:tr>
      <w:tr>
        <w:trPr>
          <w:trHeight w:val="203"/>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Other(2)</w:t>
            </w:r>
          </w:p>
        </w:tc>
        <w:tc>
          <w:tcPr>
            <w:tcW w:w="1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w:t>
            </w:r>
          </w:p>
        </w:tc>
      </w:tr>
      <w:tr>
        <w:trPr>
          <w:trHeight w:val="200"/>
        </w:trPr>
        <w:tc>
          <w:tcPr>
            <w:tcW w:w="394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17,244</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12,507</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49,944</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41,986</w:t>
            </w:r>
          </w:p>
        </w:tc>
      </w:tr>
      <w:tr>
        <w:trPr>
          <w:trHeight w:val="21"/>
        </w:trPr>
        <w:tc>
          <w:tcPr>
            <w:tcW w:w="39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560" w:hanging="309"/>
        <w:spacing w:after="0"/>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hospitals, other laboratories, etc.</w:t>
      </w:r>
    </w:p>
    <w:p>
      <w:pPr>
        <w:spacing w:after="0" w:line="29" w:lineRule="exact"/>
        <w:rPr>
          <w:rFonts w:ascii="Arial" w:cs="Arial" w:eastAsia="Arial" w:hAnsi="Arial"/>
          <w:sz w:val="14"/>
          <w:szCs w:val="14"/>
          <w:color w:val="auto"/>
        </w:rPr>
      </w:pPr>
    </w:p>
    <w:p>
      <w:pPr>
        <w:ind w:left="560" w:hanging="309"/>
        <w:spacing w:after="0"/>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patient self-pay</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considers all highly liquid investments purchased with a remaining maturity date of three months or less upon acquisition to be cash equivalents. These investments are stated at cost, which approximates fair value.</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an arrangement with a financial institution with which it has an existing banking relationship, whereby in exchange for the issuance of corporate credit cards, the Company agreed to obtain a certificate of deposit with this financial institution in the amount of $0.2 million as collateral for the balances borrowed on these cards (the Credit Card Program).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cash equivalents, and restricted cash presented in the accompanying condensed statements of cash flows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2025</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35,652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22,036</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r>
      <w:tr>
        <w:trPr>
          <w:trHeight w:val="22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35,852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22,236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long-lived assets are comprised principally of its property and equipment and operating lease assets. The Company amortizes all finite-lived intangible assets over their respective estimated useful lives. Operating lease assets are amortized over the term of the leases. In considering whether long-lived assets are impaired, the Company combines its long-lived assets into groupings, a determination which is made principally on the basis of whether the assets are specific to a particular test offered or technology being developed. If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10" w:name="page11"/>
    <w:bookmarkEnd w:id="10"/>
    <w:p>
      <w:pPr>
        <w:jc w:val="both"/>
        <w:spacing w:after="0" w:line="257" w:lineRule="auto"/>
        <w:rPr>
          <w:sz w:val="20"/>
          <w:szCs w:val="20"/>
          <w:color w:val="auto"/>
        </w:rPr>
      </w:pPr>
      <w:r>
        <w:rPr>
          <w:rFonts w:ascii="Arial" w:cs="Arial" w:eastAsia="Arial" w:hAnsi="Arial"/>
          <w:sz w:val="18"/>
          <w:szCs w:val="18"/>
          <w:color w:val="auto"/>
        </w:rPr>
        <w:t>Company identifies a change in the circumstances related to its long-lived assets that indicates the carrying value of any such asset may not be recoverable, the Company will perform an impairment analysis. A long-lived asset is deemed to be impaired when the undiscounted cash flows expected to be generated by the asset (or asset group) are less than the asset’s carrying amount. Management’s estimates of future cash flows are impacted by projected test volume and levels of reimbursement, as well as expectations related to the future cost structure of the entity. Any required impairment loss would be measured as the amount by which the asset’s carrying value exceeds its fair value, and would be recorded as a reduction in the carrying value of the related asset and a charge to operating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(each, a payor) consist of commercial payors (healthcare insurers), government payors (primarily Medicare and Medicaid), client payors (hospitals, other laboratories, etc.) and patient self-pay.</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recognizes revenue in accordance with Accounting Standards Codification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and follows a five-step process to determine the amount and timing of revenue recognized: (1) identify the contract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(2) identify the performance obligations in the contract, (3) determine the transaction price, (4) allocate the transaction price to performance obligations in the contract, and (5) recognize revenue when (or as) the performance obligation is satisfied. The Company's service is a single performance obligation that is completed upon the delivery of test results to the prescribing physician which triggers revenue recognition.</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Payors are generally billed at the Company's list price, unless a separate pricing contract is in place. Net revenues recognized consist of amounts billed net of allowances for differences between amounts billed and the estimated consideration the Company expects to receive from such payors.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Adjustments are recorded in the current period as changes in estimates occur. Further adjustments to the allowances, based on actual receipts, are recorded upon settlement. Included in revenues for the three months ended September 30, 2025 and 2024 was a $0.4 million and a $0.6 million net revenue increase, respectively, associated with changes in estimated variable consideration related to performance obligations satisfied in previous periods. Included in revenues for the nine months ended September 30, 2025 and 2024 was a $1.0 million and a $6.2 million net revenue increase, respectively, associated with changes in estimated variable consideration related to performance obligations satisfied in previous periods. The transaction price is estimated using an expected value method on a portfolio basis.</w:t>
      </w:r>
    </w:p>
    <w:p>
      <w:pPr>
        <w:spacing w:after="0" w:line="16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Variable consideration is included in the transaction price only to the extent it is probable that a significant reversal in the amount of cumulative revenue recognized will not occur when the uncertainties with respect to the amount are resolved. The Company's portfolios are</w:t>
      </w:r>
    </w:p>
    <w:p>
      <w:pPr>
        <w:jc w:val="both"/>
        <w:spacing w:after="0" w:line="226" w:lineRule="auto"/>
        <w:rPr>
          <w:sz w:val="20"/>
          <w:szCs w:val="20"/>
          <w:color w:val="auto"/>
        </w:rPr>
      </w:pPr>
      <w:r>
        <w:rPr>
          <w:rFonts w:ascii="Arial" w:cs="Arial" w:eastAsia="Arial" w:hAnsi="Arial"/>
          <w:sz w:val="18"/>
          <w:szCs w:val="18"/>
          <w:color w:val="auto"/>
        </w:rPr>
        <w:t>grouped per payor (i.e. each individual commercial payor, Medicare, Medicaid, client payors, patient self-pay, etc.) and per test. Consideration may be constrained and excluded from the transaction price in situations where there is no contractually agreed upon</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reimbursement coverage or in absence of a predictable pattern and history of collectability with a payor. Accordingly, in such situations revenues are recognized on the basis of actual cash collections. Additionally, from time to time, the Company may issue refunds to payors for overpayments or amounts billed in error. Any refunds are accounted for as reductions in revenues in the condensed statements of operations as an element of variable consideration. The estimated expected refunds are accrued as a liability on the Company’s condensed balance sheets.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Collection of the Company's net revenues from payors is normally a function of providing complete and correct billing information, along with any requested medical or other claims-related information to the healthcare insurers. This generally occurs within 30 to 90 days of billing, however, the amount and timing of any reimbursements or collections for the Company's billed tests may vary by payor and other circumstances. Contracts do not contain significant financing components based on the typical period of time between performance of services and collection of consideration.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1" w:name="page12"/>
    <w:bookmarkEnd w:id="11"/>
    <w:p>
      <w:pPr>
        <w:jc w:val="both"/>
        <w:spacing w:after="0" w:line="255" w:lineRule="auto"/>
        <w:rPr>
          <w:sz w:val="20"/>
          <w:szCs w:val="20"/>
          <w:color w:val="auto"/>
        </w:rPr>
      </w:pPr>
      <w:r>
        <w:rPr>
          <w:rFonts w:ascii="Arial" w:cs="Arial" w:eastAsia="Arial" w:hAnsi="Arial"/>
          <w:sz w:val="18"/>
          <w:szCs w:val="18"/>
          <w:color w:val="auto"/>
        </w:rPr>
        <w:t>Amounts received prior to satisfying the above revenue recognition criteria are recognized as deferred revenue until all applicable revenue recognition criteria are met. Deferred revenue represented the portion of payments received that have not been earned. During the fourth quarter of 2024 and the first half of 2025, the Company entered into various work orders to perform diagnostic testing services including identifying and evaluating biomarkers, and received nonrefundable, upfront payments for these services. The Company had deferred revenue related to these contracts of $0.6 million and $0.7 million as of September 30, 2025 and December 31, 2024, respectively. The Company recognized revenue of $0.4 million out of the beginning deferred revenue balance during the nine months ended September 30, 2025 and no revenue was recognized out of the beginning deferred revenue balance during the nine months ended September 30, 2024. The Company expects to recognize revenue from unfulfilled performance obligations associated with service contracts within one year or less.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accrues an allowance for credit losses against its accounts receivable based on management’s current estimate of amounts that will not be collected. Management’s estimates are typically based on historical loss information adjusted for current conditions. The Company generally does not perform evaluations of the financial condition of the Company's customers and generally does not require collateral. The allowance for credit losses was zero as of each of September 30, 2025 and 2024. Adjustments for implicit price concessions attributable to variable consideration, as discussed above, are incorporated into the measurement of the accounts receivable balances and are not part of the allowance for credit losses. Accounts receivable was $11.1 million and $7.8 million at September 30, 2025 and December 31, 2024,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Commitment Fees</w:t>
      </w:r>
    </w:p>
    <w:p>
      <w:pPr>
        <w:spacing w:after="0" w:line="21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Loan commitment fees are generally included as a reduction of the proceeds from the outstanding debt. If there were no borrowings drawn on the related credit facility, the loan commitment fees are classified as assets until the related debt is drawn. The Company’s loan commitment fee is comprised of an upfront cash payment and a contingent obligation to issue future warrants to Perceptive in connection with the Credit Agreement (as defined below). The amounts have been recognized in prepaid expenses and other current assets for the short-term portion of $1.2 million and within other assets for the long-term portion of $0.4 million on the condensed balance sheets as of September 30, 2025. As the Company is not reasonably certain it will draw on the future debt tranches, the loan commitment fees are amortized ratably into interest expense over the outstanding draw periods. During the three and nine months ended September 30, 2025, the Company recognized $0.3 million and $0.5 million, respectively, in non-cash interest expense related to the amortization of the loan commitment fees within the Company's condensed statements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 date estimated fair values over the requisite service period of the awards (usually the vesting period) on a straight-line basis. The fair value of stock options and purchases under the Company's 2019 Employee Stock Purchase Plan (ESPP) is determined using the Black-Scholes-Merton (BSM) option pricing model, which requires management to make certain assumptions regarding a number of complex and subjective variables. Equity award forfeitures are recorded as they occur.</w:t>
      </w:r>
    </w:p>
    <w:p>
      <w:pPr>
        <w:spacing w:after="0" w:line="1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BSM option pricing model incorporates various inputs, including the fair value of the Company's common stock, expected volatility, expected term and risk-free interest rates. Volatility is based on the Company's historical calculated volatility since being publicly traded. The Company computes the historical volatility data using the daily closing prices of the Company’s common stock during the equivalent period that approximates the calculated expected term of the stock options. The weighted-average expected term of options was calculated using the simplified method, as the Company has concluded that its stock option exercise history does not provide a reasonable basis upon which to estimate the expected term. The risk-free interest rate for periods within the contractual term of the option is based on the U.S. Treasury yield in effect at the time of grant. The dividend yield is zero, as the Company has never declared or paid dividends and has no plans to do so in the foreseeable future.</w:t>
      </w:r>
    </w:p>
    <w:p>
      <w:pPr>
        <w:spacing w:after="0" w:line="1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fair value of each restricted stock unit (RSU) is determined on the grant date using the closing price of the Company's common stock on that date. The Company's RSUs generally vest in equal annual installments over four years from the date of grant or, for grants to new hires, date of hire. Vesting of the RSU is subject to the holder's continued service with the Company. The Company issues new shares of common stock to satisfy the RSUs upon vesting.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The weighted-average number of shares used to compute basic and diluted shares includes shares issuable upon the exercise of pre-funded warrants at a nominal price. Potentially dilutive common stock equivalents are comprised of warrants for the purchase of common stock, stock options, RSUs outstanding under the Company's 2019 Incentive Award Plan (the 2019 Plan) and shares of the Company's common stock pursuant to the ESPP. For the three and nine months ended September 30, 2025 and 2024, there is no difference in the number of shares used to calculate basic and diluted shares outstanding, as the inclusion of the potentially dilutive securities would be anti-dilutive.</w:t>
      </w:r>
    </w:p>
    <w:p>
      <w:pPr>
        <w:spacing w:after="0" w:line="18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188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2025</w:t>
            </w:r>
          </w:p>
        </w:tc>
        <w:tc>
          <w:tcPr>
            <w:tcW w:w="1760" w:type="dxa"/>
            <w:vAlign w:val="bottom"/>
          </w:tcPr>
          <w:p>
            <w:pPr>
              <w:jc w:val="right"/>
              <w:ind w:right="148"/>
              <w:spacing w:after="0"/>
              <w:rPr>
                <w:sz w:val="20"/>
                <w:szCs w:val="20"/>
                <w:color w:val="auto"/>
              </w:rPr>
            </w:pPr>
            <w:r>
              <w:rPr>
                <w:rFonts w:ascii="Arial" w:cs="Arial" w:eastAsia="Arial" w:hAnsi="Arial"/>
                <w:sz w:val="14"/>
                <w:szCs w:val="14"/>
                <w:b w:val="1"/>
                <w:bCs w:val="1"/>
                <w:color w:val="auto"/>
              </w:rPr>
              <w:t>September 30, 2024</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580,339</w:t>
            </w:r>
          </w:p>
        </w:tc>
        <w:tc>
          <w:tcPr>
            <w:tcW w:w="1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325,330</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Common stock options</w:t>
            </w:r>
          </w:p>
        </w:tc>
        <w:tc>
          <w:tcPr>
            <w:tcW w:w="1760" w:type="dxa"/>
            <w:vAlign w:val="bottom"/>
          </w:tcPr>
          <w:p>
            <w:pPr>
              <w:jc w:val="right"/>
              <w:spacing w:after="0"/>
              <w:rPr>
                <w:sz w:val="20"/>
                <w:szCs w:val="20"/>
                <w:color w:val="auto"/>
              </w:rPr>
            </w:pPr>
            <w:r>
              <w:rPr>
                <w:rFonts w:ascii="Arial" w:cs="Arial" w:eastAsia="Arial" w:hAnsi="Arial"/>
                <w:sz w:val="14"/>
                <w:szCs w:val="14"/>
                <w:color w:val="auto"/>
              </w:rPr>
              <w:t>526,889</w:t>
            </w:r>
          </w:p>
        </w:tc>
        <w:tc>
          <w:tcPr>
            <w:tcW w:w="1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576,151</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1,764,912</w:t>
            </w: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1,810,468</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Employee stock purchase plan</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8,219</w:t>
            </w: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12,570</w:t>
            </w:r>
          </w:p>
        </w:tc>
      </w:tr>
      <w:tr>
        <w:trPr>
          <w:trHeight w:val="22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2,880,359</w:t>
            </w:r>
          </w:p>
        </w:tc>
        <w:tc>
          <w:tcPr>
            <w:tcW w:w="12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2,724,519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Unless otherwise discussed, Accounting Standards Updates (ASU) not included in the Company’s disclosures were assessed and determined to be either not applicable or are not expected to have a material impact on the Company's financial statements or disclosures.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2023, the FASB issued ASU 2023-09, Income Taxes (Topic 740):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xml:space="preserve"> (ASU 2023-09), which requires additional income tax disclosures in the rate reconciliation table for federal, state and foreign income taxes, in addition to more details about the reconciling items in some categories when items meet a certain quantitative threshold. ASU 2023-09 is effective for annual periods beginning after December 15, 2024 with early adoption permitted. This update will result in enhanced income tax disclosures, and the Company does not expect any impact to income tax expense.</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(Subtopic 220-40) (ASU 2024-03). This update requires entities to include more detailed information about the types of</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including purchases of inventory, employee compensation, depreciation, amortization, and depletion, in commonly presented expense captions such as cost of sales, research and development, and selling, general and administrative expenses. ASU 2024-03 is effective for annual reporting periods beginning after December 15, 2026, and interim reporting periods beginning after December 15, 2027, with early adoption permitted. The Company is currently evaluating the impact of this standard on its financial statement presentation and disclosures.</w:t>
      </w:r>
    </w:p>
    <w:p>
      <w:pPr>
        <w:spacing w:after="0" w:line="18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In July 2025, the FASB issued ASU 2025-05, Financial Instruments - Credit Losses (Topic 326): </w:t>
      </w:r>
      <w:r>
        <w:rPr>
          <w:rFonts w:ascii="Arial" w:cs="Arial" w:eastAsia="Arial" w:hAnsi="Arial"/>
          <w:sz w:val="18"/>
          <w:szCs w:val="18"/>
          <w:i w:val="1"/>
          <w:iCs w:val="1"/>
          <w:color w:val="auto"/>
        </w:rPr>
        <w:t>Measurement of Credit Losses for Accounts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Receivable and Contract Assets </w:t>
      </w:r>
      <w:r>
        <w:rPr>
          <w:rFonts w:ascii="Arial" w:cs="Arial" w:eastAsia="Arial" w:hAnsi="Arial"/>
          <w:sz w:val="18"/>
          <w:szCs w:val="18"/>
          <w:color w:val="auto"/>
        </w:rPr>
        <w:t>(ASU 2025-05). ASU 2025-05 amends ASC 326-20 to provide a practical expedient related to the estimation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expected credit losses for current accounts receivable and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3" w:name="page14"/>
    <w:bookmarkEnd w:id="13"/>
    <w:p>
      <w:pPr>
        <w:jc w:val="both"/>
        <w:spacing w:after="0" w:line="268" w:lineRule="auto"/>
        <w:rPr>
          <w:sz w:val="20"/>
          <w:szCs w:val="20"/>
          <w:color w:val="auto"/>
        </w:rPr>
      </w:pPr>
      <w:r>
        <w:rPr>
          <w:rFonts w:ascii="Arial" w:cs="Arial" w:eastAsia="Arial" w:hAnsi="Arial"/>
          <w:sz w:val="18"/>
          <w:szCs w:val="18"/>
          <w:color w:val="auto"/>
        </w:rPr>
        <w:t>current contract assets that arise from transactions accounted for under ASC 606. ASU 2025-05 is effective for annual periods beginning after December 15, 2025, and interim reporting periods within that annual period, with early adoption permitted. The Company is currently evaluating the impact of this standard on its financial statement presentation and disclosures.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4, 2025, the One Big Beautiful Bill Act (OBBBA) was enacted by the U.S. government. The OBBBA includes significant provisions, such as the permanent extension of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is currently assessing the impact of the OBBBA on its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2025</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Diagnostic testing supplies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5,725</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Prepaid maintenance and insurance contracts</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829</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 commitment fees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prepaid expenses and other current assets</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22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2025</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5,199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4,248</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3,336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3,286</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right-of-use assets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Construction in progress</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w:t>
            </w:r>
          </w:p>
        </w:tc>
      </w:tr>
      <w:tr>
        <w:trPr>
          <w:trHeight w:val="200"/>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property and equipment</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11,295</w:t>
            </w:r>
          </w:p>
        </w:tc>
      </w:tr>
      <w:tr>
        <w:trPr>
          <w:trHeight w:val="198"/>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Less: accumulated depreciation and amortization</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(6,012)</w:t>
            </w:r>
          </w:p>
        </w:tc>
      </w:tr>
      <w:tr>
        <w:trPr>
          <w:trHeight w:val="22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5,283</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Depreciation and amortization expense for the three months ended September 30, 2025 and 2024 was approximately $0.6 million and $0.4 million, respectively. For the nine months ended September 30, 2025 and 2024, depreciation and amortization expense was approximately $1.5 million and $1.3 million, respectively. At September 30, 2025 and December 31, 2024, the gross book value of assets under finance leases was $3.5 million and $2.0 million, respectively.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2025</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payroll and related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5,046</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accrued liabilities</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1,870</w:t>
            </w:r>
          </w:p>
        </w:tc>
      </w:tr>
      <w:tr>
        <w:trPr>
          <w:trHeight w:val="22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and other 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6,916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Perceptive Term Loan Facility</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25, 2025, the Company entered into a Credit Agreement and Guaranty (the Credit Agreement) with Perceptive, which provides for a senior secured delayed draw term loan facility in an aggregate principal amount of up to $75.0 million (the Perceptive Term Loan Facility) broken into four tranches. An initial tranche of $25.0 million (the Tranche A Loan) was funded on April 25, 2025, of which $19.7 million was used to repay the 2017 Term Loan (as defined below) with Innovatus Life Sciences Lending Fund I, LP (Innovatus). Additional tranches of up to $10.0 million (the Tranche B Loan), $10.0 million (the Tranche C Loan), and $30.0 million (the Tranche D Loan, and collectively with the Tranche A Loan, the Tranche B Loan and the Tranche C Loan, the Term Loans) may be drawn at the Company's option subject to the Company’s satisfaction of certain conditions, including specified revenue milestones. The Perceptive Term Loan Facility matures on April 25, 2030, and includes an interest-only period through maturity, with all outstanding principal and accrued interest due on the maturity date.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Perceptive Term Loan Facility accrues interest at an annual rate equal to the greater of (i) Term Secured Overnight Financing Rate (SOFR) or (ii) 4.75%, plus a margin of 7.0% (the Applicable Margin), payable monthly in arrears. Upon the occurrence and during the continuance of an event of default, the Applicable Margin may be increased by 4.0% at Perceptive’s election. The Company may prepay the Term Loans at any time, subject to prepayment premiums ranging from 2.0% to 10.0% of the principal amount, depending on the date of prepayment.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is secured by a first-priority lien on substantially all of the Company’s existing and future assets and includes customary affirmative, negative, and financial covenants. These include, among others, restrictions on additional indebtedness, liens, dividends, mergers and acquisitions, and affiliate transactions. The Credit Agreement also requires that the Company maintain a minimum unrestricted cash balance of $3.0 million and achieve specified net revenue levels on a quarterly basis. As of September 30, 2025, the Company was in compliance with all covenants required under the Credit Agreement.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on April 25, 2025, as consideration for the Credit Agreement, the Company issued to Perceptive the Warrant Certificate. The 400,000 Tranche A Warrant Shares vested and became exercisable on the date of issuance, and warrants to purchase up to 750,000 shares of the Company's common stock will vest and become exercisable if and when the additional debt tranches are drawn by the Company. The Warrant Certificate has a ten-year term from the applicable vesting date and includes broad-based weighted anti-dilution protection for certain dilutive issuances and for certain recapitalization events and registration rights provisions.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concluded that the Warrant Certificate qualifies for liability classification and recorded the fair value of $2.2 million at issuance as a debt discount. The Company also recognized debt issuance costs of $1.4 million as additional debt discount. These amounts are amortized over the remaining term of the Perceptive Term Loan Facility under the effective interest method. The proportionate amount of the upfront closing fee paid of $1.1 million and the fair value of $1.3 million related to the contingent warrants that may be issued for future debt tranches are recorded as a loan commitment asset and amortized as discussed in "Note 2. </w:t>
      </w:r>
      <w:r>
        <w:rPr>
          <w:rFonts w:ascii="Arial" w:cs="Arial" w:eastAsia="Arial" w:hAnsi="Arial"/>
          <w:sz w:val="18"/>
          <w:szCs w:val="18"/>
          <w:i w:val="1"/>
          <w:iCs w:val="1"/>
          <w:color w:val="auto"/>
        </w:rPr>
        <w:t>Summary of Significant Accounting Policies."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2025, the Company recognized $1.2 million and $2.0 million, respectively, of interest expense, including $ 0.1 million and $ 0.2 million, respectively, of debt discount amortization in connection with the Perceptive Term Loan Facility. The effective interest rate was 16.2% per annum. As of September 30, 2025, the Perceptive Term Loan Facility had a carrying value of $21.6 million, classified within borrowings, non-current, net of discounts and debt issuance costs in the accompanying condensed balance sheets.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2017 Term Loan</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September 2017, the Company executed a term loan agreement (the 2017 Term Loan) with Innovatus, as amended (the Amended Loan Agreement), pursuant to which the Company borrowed $25.0 million. As of March 31, 2025, the 2017 Term Loan was fully drawn with an outstanding principal balance of $19.8 million and a carrying value of $19.3 million. The interest rate on all borrowings under the Amended Loan Agreement was the sum of (a) the greater of 8.0% or The Wall Street Journal prime rate plus (b) 2.0%. Interest on any outstanding term loan advances was due and payable monthly, unless the Company elected to pay paid-in-kind interest. In addition to the monthly interest payments, a final payment equal to $1.0 million was due the earlier of the maturity date or the date the advance is repaid. Principal balances were required to be repaid in 24 equal installments which began on August 1, 2023.</w:t>
      </w:r>
    </w:p>
    <w:p>
      <w:pPr>
        <w:spacing w:after="0" w:line="21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On April 25, 2025, the Company fully repaid all $19.7 million in outstanding indebtedness owed to Innovatus pursuant to its Amended Loan Agreement and terminated the agreement. During the nine months ended September 30, 2025, the Company recognized a $ 0.3 million loss on extinguishment of debt in connection with the early repayment of the 2017 Term Loan on the Company's condensed statements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Notes Payable</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May 2022, the Company purchased laboratory equipment in the normal course of business using notes payable. In January 2025, the Company entered into a financing arrangement to procure additional laboratory equipment. At September 30, 2025, the total liability balance related to the financed equipment was $1.4 million, with $ 0.7 million classified within borrowings, current and $0.7 million within borrowings, non-current, net of discounts and debt issuance costs in the accompanying condensed balance sheets. At December 31, 2024, the total liability balance related to the financed equipment was $1.1 million, with $0.4 million classified within borrowings, current and $0.7 million within borrowings, non-current, net of discounts and debt issuance costs in the accompanying condensed balance sheets. The financed equipment is subject to effective interest rates between 5.28% and 10.50%, and will mature between October 1, 2026 and April 1, 2028.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2025, future minimum aggregate payments, including interest, for outstanding borrowings are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 (remaining)</w:t>
            </w: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w:t>
            </w:r>
          </w:p>
        </w:tc>
      </w:tr>
      <w:tr>
        <w:trPr>
          <w:trHeight w:val="199"/>
        </w:trPr>
        <w:tc>
          <w:tcPr>
            <w:tcW w:w="9440" w:type="dxa"/>
            <w:vAlign w:val="bottom"/>
          </w:tcPr>
          <w:p>
            <w:pPr>
              <w:ind w:left="20"/>
              <w:spacing w:after="0"/>
              <w:rPr>
                <w:sz w:val="20"/>
                <w:szCs w:val="20"/>
                <w:color w:val="auto"/>
              </w:rPr>
            </w:pPr>
            <w:r>
              <w:rPr>
                <w:rFonts w:ascii="Arial" w:cs="Arial" w:eastAsia="Arial" w:hAnsi="Arial"/>
                <w:sz w:val="14"/>
                <w:szCs w:val="14"/>
                <w:color w:val="auto"/>
              </w:rPr>
              <w:t>2026</w:t>
            </w:r>
          </w:p>
        </w:tc>
        <w:tc>
          <w:tcPr>
            <w:tcW w:w="6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3,700</w:t>
            </w:r>
          </w:p>
        </w:tc>
      </w:tr>
      <w:tr>
        <w:trPr>
          <w:trHeight w:val="206"/>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3,450</w:t>
            </w:r>
          </w:p>
        </w:tc>
      </w:tr>
      <w:tr>
        <w:trPr>
          <w:trHeight w:val="199"/>
        </w:trPr>
        <w:tc>
          <w:tcPr>
            <w:tcW w:w="9440" w:type="dxa"/>
            <w:vAlign w:val="bottom"/>
          </w:tcPr>
          <w:p>
            <w:pPr>
              <w:ind w:left="20"/>
              <w:spacing w:after="0"/>
              <w:rPr>
                <w:sz w:val="20"/>
                <w:szCs w:val="20"/>
                <w:color w:val="auto"/>
              </w:rPr>
            </w:pPr>
            <w:r>
              <w:rPr>
                <w:rFonts w:ascii="Arial" w:cs="Arial" w:eastAsia="Arial" w:hAnsi="Arial"/>
                <w:sz w:val="14"/>
                <w:szCs w:val="14"/>
                <w:color w:val="auto"/>
              </w:rPr>
              <w:t>2028</w:t>
            </w:r>
          </w:p>
        </w:tc>
        <w:tc>
          <w:tcPr>
            <w:tcW w:w="6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3,117</w:t>
            </w:r>
          </w:p>
        </w:tc>
      </w:tr>
      <w:tr>
        <w:trPr>
          <w:trHeight w:val="206"/>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2029</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2,978</w:t>
            </w:r>
          </w:p>
        </w:tc>
      </w:tr>
      <w:tr>
        <w:trPr>
          <w:trHeight w:val="198"/>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2030</w:t>
            </w: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25,930</w:t>
            </w:r>
          </w:p>
        </w:tc>
      </w:tr>
      <w:tr>
        <w:trPr>
          <w:trHeight w:val="200"/>
        </w:trPr>
        <w:tc>
          <w:tcPr>
            <w:tcW w:w="9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40,119</w:t>
            </w:r>
          </w:p>
        </w:tc>
      </w:tr>
      <w:tr>
        <w:trPr>
          <w:trHeight w:val="199"/>
        </w:trPr>
        <w:tc>
          <w:tcPr>
            <w:tcW w:w="9440" w:type="dxa"/>
            <w:vAlign w:val="bottom"/>
          </w:tcPr>
          <w:p>
            <w:pPr>
              <w:ind w:left="360"/>
              <w:spacing w:after="0"/>
              <w:rPr>
                <w:sz w:val="20"/>
                <w:szCs w:val="20"/>
                <w:color w:val="auto"/>
              </w:rPr>
            </w:pPr>
            <w:r>
              <w:rPr>
                <w:rFonts w:ascii="Arial" w:cs="Arial" w:eastAsia="Arial" w:hAnsi="Arial"/>
                <w:sz w:val="14"/>
                <w:szCs w:val="14"/>
                <w:color w:val="auto"/>
              </w:rPr>
              <w:t>Less:</w:t>
            </w: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9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Unamortized debt discount and issuance costs</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(3,434)</w:t>
            </w:r>
          </w:p>
        </w:tc>
      </w:tr>
      <w:tr>
        <w:trPr>
          <w:trHeight w:val="199"/>
        </w:trPr>
        <w:tc>
          <w:tcPr>
            <w:tcW w:w="944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Interest</w:t>
            </w: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(13,744)</w:t>
            </w:r>
          </w:p>
        </w:tc>
      </w:tr>
      <w:tr>
        <w:trPr>
          <w:trHeight w:val="200"/>
        </w:trPr>
        <w:tc>
          <w:tcPr>
            <w:tcW w:w="9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borrowings, net of discounts and debt issuance costs</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22,941</w:t>
            </w:r>
          </w:p>
        </w:tc>
      </w:tr>
      <w:tr>
        <w:trPr>
          <w:trHeight w:val="198"/>
        </w:trPr>
        <w:tc>
          <w:tcPr>
            <w:tcW w:w="94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Less: Borrowings, current</w:t>
            </w: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w:t>
            </w:r>
          </w:p>
        </w:tc>
      </w:tr>
      <w:tr>
        <w:trPr>
          <w:trHeight w:val="40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Borrowings, non-current, net of discounts and debt issuance costs</w:t>
            </w: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22,261</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individual license agreements generally provide for ongoing royalty payments of less than 1% on net sales of products which incorporate licensed technology, as defined in such agreements. Royalties are accrued when incurred and recorded in cost of revenue in the accompanying condensed statements of operations.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Supply Agreements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July 2025, the Company amended a supply agreement (the Amended Supply Agreement) with one of its suppliers for certain reagents, which includes updated pricing terms, an extended term through June 30, 2029, and minimum purchase commitments for consumable products used in the Company's diagnostic biomarkers. Pursuant to the Amended Supply Agreement, the Company is provided equipment by the supplier to be used by the Company in connection with the consumable products. The aggregate minimum annual purchase commitment for the duration of the Amended Supply Agreement is $24.0 million, including a minimum purchase commitment of $3.0 million for the year ending December 31, 2025, $6.0 million for each of the years ending December 31, 2026 through 2028 and $3.0 million for the six month period ending June 30, 2029.</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the Amended Supply Agreement as an embedded finance lease for the equipment provided, with the reagents as a non-lease component accounted for separately. The minimum purchase commitments for the reagents represent in-substance fixed contract consideration and is recorded based on the relative fair value of the equipment of $3.1 million as a ROU asset and related lease liability. As of September 30, 2025, the Company had a finance lease ROU asset of $2.9 million and lease liabilities of $2.9 million on the Company's balance sheets related to the embedded finance lease. For the three and nine months ended September 30, 2025, the Company recorded interest expense of $0.1 million related to this embedded finance lease on the Company's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including for subpoenas and other civil investigative demands, from governmental agencies, Medicare or Medicaid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that the Company believes to be immaterial. The Company accrues a liability for such matters when it is probable that future expenditures will be made and such expenditures can be reasonably estimated.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From time to time, the Company may be subject to various legal proceedings that arise in the ordinary course of business activities. The Company does not believe the outcome of any such matters will have a material effect on its financial position or results of operations.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a settlement agreement with the Department of Justice (DOJ), which has been previously disclosed, the Company made a single lump-sum remittance to the government in the amount of $ 0.7 million plus interest in October 2023. The U.S. Attorney’s Office dismissed the “covered conduct” elements in the qui tam with prejudice, while non-covered conduct was dismissed without prejudice. The DOJ excused itself from the case in connection with the settlement. The Company’s ability to participate in federally funded healthcare programs was unaffected by the settlement. In November 2023, the complaint was unsealed and served on the Company. The Company filed a motion to dismiss the complaint. In February 2024, the relator filed a motion for leave to amend the complaint. The Company opposed this motion. In March 2025, the court granted the Company’s motion to dismiss with prejudice and denied the relator’s motion for leave to amend. On April 14, 2025, the relator filed an appeal with respect to this ruling. On July 15, 2025, the qui tam case was dismissed with prejudice by the presiding judge. Both the DOJ and the relator’s counsel filed a stipulation of dismissal in the matter.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carrying values of the Company's cash, cash equivalents and restricted cash, accounts receivable, prepaid expenses and other current assets, accounts payable and accrued and other current liabilities are determined to be a Level 1 measurement. The carrying values of these items approximate their fair values due to their short-term nature. The estimated fair value of the Company's long-term borrowings is determined by Level 2 inputs and based primarily on quoted market prices for the same or similar issues. As of September 30, 2025, the Perceptive Term Loan Facility had a carrying value of $21.6 million and a fair value of $24.7 million. The estimated fair value of the Perceptive Term Loan Facility was determined based on a discounted cash flow approach using available market information on discount and borrowing rates with similar terms, maturities, and credit ratings. The aggregate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7" w:name="page18"/>
    <w:bookmarkEnd w:id="17"/>
    <w:p>
      <w:pPr>
        <w:jc w:val="both"/>
        <w:ind w:right="20"/>
        <w:spacing w:after="0" w:line="287" w:lineRule="auto"/>
        <w:rPr>
          <w:sz w:val="20"/>
          <w:szCs w:val="20"/>
          <w:color w:val="auto"/>
        </w:rPr>
      </w:pPr>
      <w:r>
        <w:rPr>
          <w:rFonts w:ascii="Arial" w:cs="Arial" w:eastAsia="Arial" w:hAnsi="Arial"/>
          <w:sz w:val="18"/>
          <w:szCs w:val="18"/>
          <w:color w:val="auto"/>
        </w:rPr>
        <w:t>carrying value of the Company's other long-term borrowings as of September 30, 2025 and December 31, 2024 was $1.4 million and $1.1 million, respectively, and approximated its fair value.</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Techniques used to measure fair value must maximize the use of observable inputs and minimize the use of unobservable inputs.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valuation hierarchy for disclosure of fair value measurements are defined as follows:</w:t>
      </w:r>
    </w:p>
    <w:p>
      <w:pPr>
        <w:spacing w:after="0" w:line="225"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1 -</w:t>
        <w:tab/>
        <w:t>Unadjusted quoted prices in active markets for identical assets or liabilities;</w:t>
      </w:r>
    </w:p>
    <w:p>
      <w:pPr>
        <w:spacing w:after="0" w:line="225" w:lineRule="exact"/>
        <w:rPr>
          <w:sz w:val="20"/>
          <w:szCs w:val="20"/>
          <w:color w:val="auto"/>
        </w:rPr>
      </w:pPr>
    </w:p>
    <w:p>
      <w:pPr>
        <w:jc w:val="both"/>
        <w:ind w:left="1320" w:hanging="1295"/>
        <w:spacing w:after="0" w:line="268" w:lineRule="auto"/>
        <w:tabs>
          <w:tab w:leader="none" w:pos="1300" w:val="left"/>
        </w:tabs>
        <w:rPr>
          <w:sz w:val="20"/>
          <w:szCs w:val="20"/>
          <w:color w:val="auto"/>
        </w:rPr>
      </w:pPr>
      <w:r>
        <w:rPr>
          <w:rFonts w:ascii="Arial" w:cs="Arial" w:eastAsia="Arial" w:hAnsi="Arial"/>
          <w:sz w:val="18"/>
          <w:szCs w:val="18"/>
          <w:color w:val="auto"/>
        </w:rPr>
        <w:t>Level 2 -</w:t>
        <w:tab/>
        <w:t>Inputs other than quoted prices included within Level 1 that are observable, unadjusted quoted prices in markets that are not active, or other inputs that are observable or can be corroborated by observable market data for substantially the full term of the related assets or liabilities; and</w:t>
      </w:r>
    </w:p>
    <w:p>
      <w:pPr>
        <w:spacing w:after="0" w:line="171"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7"/>
          <w:szCs w:val="17"/>
          <w:color w:val="auto"/>
        </w:rPr>
        <w:t>Unobservable inputs that are supported by little or no market activity for the related assets or liabilities.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 The following table sets forth the Company's financial instruments that were measured at fair value on a recurring basis within the fair value hierarchy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September 30, 2025</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96"/>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b w:val="1"/>
                <w:bCs w:val="1"/>
                <w:color w:val="auto"/>
              </w:rPr>
              <w:t>Level 3</w:t>
            </w:r>
          </w:p>
        </w:tc>
      </w:tr>
      <w:tr>
        <w:trPr>
          <w:trHeight w:val="183"/>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203"/>
        </w:trPr>
        <w:tc>
          <w:tcPr>
            <w:tcW w:w="618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2"/>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3"/>
        </w:trPr>
        <w:tc>
          <w:tcPr>
            <w:tcW w:w="6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Warrant liability</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6,634</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December 31, 2024</w:t>
            </w:r>
          </w:p>
        </w:tc>
        <w:tc>
          <w:tcPr>
            <w:tcW w:w="960" w:type="dxa"/>
            <w:vAlign w:val="bottom"/>
            <w:tcBorders>
              <w:bottom w:val="single" w:sz="8" w:color="auto"/>
            </w:tcBorders>
          </w:tcPr>
          <w:p>
            <w:pPr>
              <w:spacing w:after="0"/>
              <w:rPr>
                <w:sz w:val="17"/>
                <w:szCs w:val="17"/>
                <w:color w:val="auto"/>
              </w:rPr>
            </w:pPr>
          </w:p>
        </w:tc>
      </w:tr>
      <w:tr>
        <w:trPr>
          <w:trHeight w:val="196"/>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300" w:type="dxa"/>
            <w:vAlign w:val="bottom"/>
            <w:gridSpan w:val="3"/>
          </w:tcPr>
          <w:p>
            <w:pPr>
              <w:ind w:left="120"/>
              <w:spacing w:after="0"/>
              <w:rPr>
                <w:sz w:val="20"/>
                <w:szCs w:val="20"/>
                <w:color w:val="auto"/>
              </w:rPr>
            </w:pPr>
            <w:r>
              <w:rPr>
                <w:rFonts w:ascii="Arial" w:cs="Arial" w:eastAsia="Arial" w:hAnsi="Arial"/>
                <w:sz w:val="14"/>
                <w:szCs w:val="14"/>
                <w:b w:val="1"/>
                <w:bCs w:val="1"/>
                <w:color w:val="auto"/>
              </w:rPr>
              <w:t>Level 2</w:t>
            </w: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03"/>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618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15,144</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15,144</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gridSpan w:val="3"/>
          </w:tcPr>
          <w:p>
            <w:pPr>
              <w:ind w:left="760"/>
              <w:spacing w:after="0"/>
              <w:rPr>
                <w:sz w:val="20"/>
                <w:szCs w:val="20"/>
                <w:color w:val="auto"/>
              </w:rPr>
            </w:pPr>
            <w:r>
              <w:rPr>
                <w:rFonts w:ascii="Arial" w:cs="Arial" w:eastAsia="Arial" w:hAnsi="Arial"/>
                <w:sz w:val="14"/>
                <w:szCs w:val="14"/>
                <w:color w:val="auto"/>
              </w:rPr>
              <w:t>—   $</w:t>
            </w: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r>
      <w:tr>
        <w:trPr>
          <w:trHeight w:val="20"/>
        </w:trPr>
        <w:tc>
          <w:tcPr>
            <w:tcW w:w="6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a liability for the Warrant Certificate issued in connection with the Perceptive Term Loan Facility at fair value utilizing a probability-weighted BSM option pricing model using significant unobservable inputs consisting of the Company's probability assessment of drawing future debt tranches, the inputs used for the Company’s stock-based compensation expense adjusted for the Warrant Certificate’s expected term, which is calculated based on the remaining contractual term, and the fair value of the underlying common stock. As such, the Warrant Certificate liability was determined to be a Level 3 fair value measurement.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the BSM option pricing model to determine the fair value of the warrant liability were as follows: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April 25, 2025 (Warrant</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Certificate Issuance</w:t>
            </w:r>
          </w:p>
        </w:tc>
        <w:tc>
          <w:tcPr>
            <w:tcW w:w="120" w:type="dxa"/>
            <w:vAlign w:val="bottom"/>
          </w:tcPr>
          <w:p>
            <w:pPr>
              <w:spacing w:after="0"/>
              <w:rPr>
                <w:sz w:val="12"/>
                <w:szCs w:val="12"/>
                <w:color w:val="auto"/>
              </w:rPr>
            </w:pPr>
          </w:p>
        </w:tc>
        <w:tc>
          <w:tcPr>
            <w:tcW w:w="15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September 30, 2025</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of underlying common stock</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6.21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10.99</w:t>
            </w:r>
          </w:p>
        </w:tc>
        <w:tc>
          <w:tcPr>
            <w:tcW w:w="0" w:type="dxa"/>
            <w:vAlign w:val="bottom"/>
          </w:tcPr>
          <w:p>
            <w:pPr>
              <w:spacing w:after="0"/>
              <w:rPr>
                <w:sz w:val="1"/>
                <w:szCs w:val="1"/>
                <w:color w:val="auto"/>
              </w:rPr>
            </w:pPr>
          </w:p>
        </w:tc>
      </w:tr>
      <w:tr>
        <w:trPr>
          <w:trHeight w:val="198"/>
        </w:trPr>
        <w:tc>
          <w:tcPr>
            <w:tcW w:w="7760" w:type="dxa"/>
            <w:vAlign w:val="bottom"/>
          </w:tcPr>
          <w:p>
            <w:pPr>
              <w:ind w:left="20"/>
              <w:spacing w:after="0"/>
              <w:rPr>
                <w:sz w:val="20"/>
                <w:szCs w:val="20"/>
                <w:color w:val="auto"/>
              </w:rPr>
            </w:pPr>
            <w:r>
              <w:rPr>
                <w:rFonts w:ascii="Arial" w:cs="Arial" w:eastAsia="Arial" w:hAnsi="Arial"/>
                <w:sz w:val="14"/>
                <w:szCs w:val="14"/>
                <w:color w:val="auto"/>
              </w:rPr>
              <w:t>Exercise price</w:t>
            </w: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$4.96 - $6.99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$4.96 - $12.36</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8"/>
        </w:trPr>
        <w:tc>
          <w:tcPr>
            <w:tcW w:w="776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(in years)</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9.6 - 10.0</w:t>
            </w:r>
          </w:p>
        </w:tc>
        <w:tc>
          <w:tcPr>
            <w:tcW w:w="0" w:type="dxa"/>
            <w:vAlign w:val="bottom"/>
          </w:tcPr>
          <w:p>
            <w:pPr>
              <w:spacing w:after="0"/>
              <w:rPr>
                <w:sz w:val="1"/>
                <w:szCs w:val="1"/>
                <w:color w:val="auto"/>
              </w:rPr>
            </w:pPr>
          </w:p>
        </w:tc>
      </w:tr>
      <w:tr>
        <w:trPr>
          <w:trHeight w:val="194"/>
        </w:trPr>
        <w:tc>
          <w:tcPr>
            <w:tcW w:w="776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140" w:type="dxa"/>
            <w:vAlign w:val="bottom"/>
          </w:tcPr>
          <w:p>
            <w:pPr>
              <w:spacing w:after="0"/>
              <w:rPr>
                <w:sz w:val="16"/>
                <w:szCs w:val="16"/>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probability assessment considers both the likelihood of the Company satisfying certain conditions, including specified revenue milestones, which give the Company the option to draw future debt tranches as well as the likelihood that the Company will exercise the right to draw one or more future debt tranches. The Company assessed these factors at inception and as of September 30, 2025 and applied a weighted-average probability of approximately 38% in the measurement of fair value, given current and forecasted capital needs. Significant increases or decreases in the probability assessment in future periods may increase or decrease the fair value estimate of the warrant liability, respectively. The interrelationship between these inputs is insignificant.</w:t>
      </w:r>
    </w:p>
    <w:p>
      <w:pPr>
        <w:spacing w:after="0" w:line="209"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The following table provides a reconciliation of the warrant liability measured at fair value using Level 3 significant unobservable inputs (in thousands):</w:t>
      </w:r>
    </w:p>
    <w:p>
      <w:pPr>
        <w:spacing w:after="0" w:line="1"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December 31, 2024</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Fair value of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Change in fair value of warrant liability</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September 30, 2025</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1404" w:hanging="1404"/>
        <w:spacing w:after="0"/>
        <w:tabs>
          <w:tab w:leader="none" w:pos="1404" w:val="left"/>
        </w:tabs>
        <w:numPr>
          <w:ilvl w:val="0"/>
          <w:numId w:val="4"/>
        </w:numPr>
        <w:rPr>
          <w:rFonts w:ascii="Arial" w:cs="Arial" w:eastAsia="Arial" w:hAnsi="Arial"/>
          <w:sz w:val="14"/>
          <w:szCs w:val="14"/>
          <w:color w:val="auto"/>
        </w:rPr>
      </w:pPr>
      <w:r>
        <w:rPr>
          <w:rFonts w:ascii="Arial" w:cs="Arial" w:eastAsia="Arial" w:hAnsi="Arial"/>
          <w:sz w:val="14"/>
          <w:szCs w:val="14"/>
          <w:color w:val="auto"/>
        </w:rPr>
        <w:t>—</w:t>
      </w:r>
    </w:p>
    <w:p>
      <w:pPr>
        <w:spacing w:after="0" w:line="41" w:lineRule="exact"/>
        <w:rPr>
          <w:rFonts w:ascii="Arial" w:cs="Arial" w:eastAsia="Arial" w:hAnsi="Arial"/>
          <w:sz w:val="14"/>
          <w:szCs w:val="14"/>
          <w:color w:val="auto"/>
        </w:rPr>
      </w:pPr>
    </w:p>
    <w:p>
      <w:pPr>
        <w:ind w:left="1184"/>
        <w:spacing w:after="0"/>
        <w:rPr>
          <w:rFonts w:ascii="Arial" w:cs="Arial" w:eastAsia="Arial" w:hAnsi="Arial"/>
          <w:sz w:val="14"/>
          <w:szCs w:val="14"/>
          <w:color w:val="auto"/>
        </w:rPr>
      </w:pPr>
      <w:r>
        <w:rPr>
          <w:rFonts w:ascii="Arial" w:cs="Arial" w:eastAsia="Arial" w:hAnsi="Arial"/>
          <w:sz w:val="14"/>
          <w:szCs w:val="14"/>
          <w:color w:val="auto"/>
        </w:rPr>
        <w:t>3,525</w:t>
      </w:r>
    </w:p>
    <w:p>
      <w:pPr>
        <w:spacing w:after="0" w:line="41" w:lineRule="exact"/>
        <w:rPr>
          <w:rFonts w:ascii="Arial" w:cs="Arial" w:eastAsia="Arial" w:hAnsi="Arial"/>
          <w:sz w:val="14"/>
          <w:szCs w:val="14"/>
          <w:color w:val="auto"/>
        </w:rPr>
      </w:pPr>
    </w:p>
    <w:p>
      <w:pPr>
        <w:ind w:left="1184"/>
        <w:spacing w:after="0"/>
        <w:rPr>
          <w:rFonts w:ascii="Arial" w:cs="Arial" w:eastAsia="Arial" w:hAnsi="Arial"/>
          <w:sz w:val="14"/>
          <w:szCs w:val="14"/>
          <w:color w:val="auto"/>
        </w:rPr>
      </w:pPr>
      <w:r>
        <w:rPr>
          <w:rFonts w:ascii="Arial" w:cs="Arial" w:eastAsia="Arial" w:hAnsi="Arial"/>
          <w:sz w:val="14"/>
          <w:szCs w:val="14"/>
          <w:color w:val="auto"/>
        </w:rPr>
        <w:t>3,109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10369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5" w:lineRule="exact"/>
        <w:rPr>
          <w:sz w:val="20"/>
          <w:szCs w:val="20"/>
          <w:color w:val="auto"/>
        </w:rPr>
      </w:pPr>
    </w:p>
    <w:p>
      <w:pPr>
        <w:ind w:left="1184" w:hanging="1184"/>
        <w:spacing w:after="0"/>
        <w:tabs>
          <w:tab w:leader="none" w:pos="1184" w:val="left"/>
        </w:tabs>
        <w:numPr>
          <w:ilvl w:val="0"/>
          <w:numId w:val="5"/>
        </w:numPr>
        <w:rPr>
          <w:rFonts w:ascii="Arial" w:cs="Arial" w:eastAsia="Arial" w:hAnsi="Arial"/>
          <w:sz w:val="14"/>
          <w:szCs w:val="14"/>
          <w:color w:val="auto"/>
        </w:rPr>
      </w:pPr>
      <w:r>
        <w:rPr>
          <w:rFonts w:ascii="Arial" w:cs="Arial" w:eastAsia="Arial" w:hAnsi="Arial"/>
          <w:sz w:val="14"/>
          <w:szCs w:val="14"/>
          <w:color w:val="auto"/>
        </w:rPr>
        <w:t>6,634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10369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49530</wp:posOffset>
            </wp:positionV>
            <wp:extent cx="10369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796" w:space="720"/>
            <w:col w:w="1724"/>
          </w:cols>
          <w:pgMar w:left="320" w:top="928" w:right="339" w:bottom="1440" w:gutter="0" w:footer="0" w:header="0"/>
          <w:type w:val="continuous"/>
        </w:sect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November 17, 2023, the Company filed a registration statement on Form S-3, as amended (the 2023 Shelf Registration Statement), covering the offering, from time to time, of up to $150.0 million of the Company's common stock, preferred stock, debt securities, warrants and units. The 2023 Shelf Registration Statement became effective on November 29, 2023, and $129.8 million remain available for sale as of September 30, 2025.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Sales Agreement</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September 15, 2022, the Company entered into a sales agreement, as amended on November 17, 2023 (the Sales Agreement) with TD Securities (USA) LLC (TD Securities), as sales agent, pursuant to which the Company may offer and sell, from time to time, shares of the Company's common stock having an aggregate offering price of up to $50.0 million. The Company is not obligated to sell any shares of the Company's common stock in the offering. During the three months ended September 30, 2025, the Company has sold 360,554 shares of its common stock under the Sales Agreement at an average price per share of $9.82, for gross proceeds of approximately $ 3.5 million and net proceeds of approximately $3.4 million after deducting $0.1 million in commissions paid to TD Securities and other offering expenses payable by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Public Offering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On May 8, 2025, the Company entered into an underwriting agreement (the Underwriting Agreement) with Canaccord Genuity LLC (the</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Underwriter) relating to the issuance and sale of an aggregate of 3,852,500 shares of its common stock, including 502,500 shares of the Company's common stock issued and sold pursuant to the exercise in full of the Underwriter’s option to purchase additional shares, to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Underwriter at a price to the public of</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type w:val="continuous"/>
        </w:sectPr>
      </w:pPr>
    </w:p>
    <w:bookmarkStart w:id="19" w:name="page20"/>
    <w:bookmarkEnd w:id="19"/>
    <w:p>
      <w:pPr>
        <w:jc w:val="both"/>
        <w:spacing w:after="0" w:line="253" w:lineRule="auto"/>
        <w:rPr>
          <w:sz w:val="20"/>
          <w:szCs w:val="20"/>
          <w:color w:val="auto"/>
        </w:rPr>
      </w:pPr>
      <w:r>
        <w:rPr>
          <w:rFonts w:ascii="Arial" w:cs="Arial" w:eastAsia="Arial" w:hAnsi="Arial"/>
          <w:sz w:val="18"/>
          <w:szCs w:val="18"/>
          <w:color w:val="auto"/>
        </w:rPr>
        <w:t>$5.25 per share (the 2025 Public Offering). The 2025 Public Offering closed on May 9, 2025. The net proceeds to the Company from the 2025 Public Offering were approximately $18.6 million after deducting $1.6 million of the underwriting discounts and commissions and other offering expenses payable by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Warrants</w:t>
      </w:r>
    </w:p>
    <w:p>
      <w:pPr>
        <w:spacing w:after="0" w:line="223" w:lineRule="exact"/>
        <w:rPr>
          <w:sz w:val="20"/>
          <w:szCs w:val="20"/>
          <w:color w:val="auto"/>
        </w:rPr>
      </w:pPr>
    </w:p>
    <w:p>
      <w:pPr>
        <w:ind w:right="200"/>
        <w:spacing w:after="0" w:line="279" w:lineRule="auto"/>
        <w:rPr>
          <w:sz w:val="20"/>
          <w:szCs w:val="20"/>
          <w:color w:val="auto"/>
        </w:rPr>
      </w:pPr>
      <w:r>
        <w:rPr>
          <w:rFonts w:ascii="Arial" w:cs="Arial" w:eastAsia="Arial" w:hAnsi="Arial"/>
          <w:sz w:val="18"/>
          <w:szCs w:val="18"/>
          <w:color w:val="auto"/>
        </w:rPr>
        <w:t>The following equity classified warrants to purchase common stock of the Company were outstanding and exercisable as of September 30, 2025:</w:t>
      </w:r>
    </w:p>
    <w:tbl>
      <w:tblPr>
        <w:tblLayout w:type="fixed"/>
        <w:tblInd w:w="0" w:type="dxa"/>
        <w:tblCellMar>
          <w:top w:w="0" w:type="dxa"/>
          <w:left w:w="0" w:type="dxa"/>
          <w:bottom w:w="0" w:type="dxa"/>
          <w:right w:w="0" w:type="dxa"/>
        </w:tblCellMar>
      </w:tblPr>
      <w:tr>
        <w:trPr>
          <w:trHeight w:val="145"/>
        </w:trPr>
        <w:tc>
          <w:tcPr>
            <w:tcW w:w="3280" w:type="dxa"/>
            <w:vAlign w:val="bottom"/>
          </w:tcPr>
          <w:p>
            <w:pPr>
              <w:spacing w:after="0"/>
              <w:rPr>
                <w:sz w:val="12"/>
                <w:szCs w:val="12"/>
                <w:color w:val="auto"/>
              </w:rPr>
            </w:pPr>
          </w:p>
        </w:tc>
        <w:tc>
          <w:tcPr>
            <w:tcW w:w="162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Weighted-Average</w:t>
            </w:r>
          </w:p>
        </w:tc>
        <w:tc>
          <w:tcPr>
            <w:tcW w:w="222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Issuance date</w:t>
            </w:r>
          </w:p>
        </w:tc>
        <w:tc>
          <w:tcPr>
            <w:tcW w:w="120" w:type="dxa"/>
            <w:vAlign w:val="bottom"/>
            <w:vMerge w:val="restart"/>
          </w:tcPr>
          <w:p>
            <w:pPr>
              <w:spacing w:after="0"/>
              <w:rPr>
                <w:sz w:val="12"/>
                <w:szCs w:val="12"/>
                <w:color w:val="auto"/>
              </w:rPr>
            </w:pPr>
          </w:p>
        </w:tc>
        <w:tc>
          <w:tcPr>
            <w:tcW w:w="222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89"/>
        </w:trPr>
        <w:tc>
          <w:tcPr>
            <w:tcW w:w="32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124,848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January 19,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2026</w:t>
            </w:r>
          </w:p>
        </w:tc>
        <w:tc>
          <w:tcPr>
            <w:tcW w:w="0" w:type="dxa"/>
            <w:vAlign w:val="bottom"/>
          </w:tcPr>
          <w:p>
            <w:pPr>
              <w:spacing w:after="0"/>
              <w:rPr>
                <w:sz w:val="1"/>
                <w:szCs w:val="1"/>
                <w:color w:val="auto"/>
              </w:rPr>
            </w:pPr>
          </w:p>
        </w:tc>
      </w:tr>
      <w:tr>
        <w:trPr>
          <w:trHeight w:val="198"/>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34,416</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March 31, 2016</w:t>
            </w:r>
          </w:p>
        </w:tc>
        <w:tc>
          <w:tcPr>
            <w:tcW w:w="2220" w:type="dxa"/>
            <w:vAlign w:val="bottom"/>
          </w:tcPr>
          <w:p>
            <w:pPr>
              <w:jc w:val="right"/>
              <w:spacing w:after="0"/>
              <w:rPr>
                <w:sz w:val="20"/>
                <w:szCs w:val="20"/>
                <w:color w:val="auto"/>
              </w:rPr>
            </w:pPr>
            <w:r>
              <w:rPr>
                <w:rFonts w:ascii="Arial" w:cs="Arial" w:eastAsia="Arial" w:hAnsi="Arial"/>
                <w:sz w:val="14"/>
                <w:szCs w:val="14"/>
                <w:color w:val="auto"/>
              </w:rPr>
              <w:t>March 31, 2026</w:t>
            </w: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April 1,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2026</w:t>
            </w:r>
          </w:p>
        </w:tc>
        <w:tc>
          <w:tcPr>
            <w:tcW w:w="0" w:type="dxa"/>
            <w:vAlign w:val="bottom"/>
          </w:tcPr>
          <w:p>
            <w:pPr>
              <w:spacing w:after="0"/>
              <w:rPr>
                <w:sz w:val="1"/>
                <w:szCs w:val="1"/>
                <w:color w:val="auto"/>
              </w:rPr>
            </w:pPr>
          </w:p>
        </w:tc>
      </w:tr>
      <w:tr>
        <w:trPr>
          <w:trHeight w:val="198"/>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20,944</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17"/>
                <w:szCs w:val="17"/>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December 7, 2018</w:t>
            </w:r>
          </w:p>
        </w:tc>
        <w:tc>
          <w:tcPr>
            <w:tcW w:w="2220" w:type="dxa"/>
            <w:vAlign w:val="bottom"/>
          </w:tcPr>
          <w:p>
            <w:pPr>
              <w:jc w:val="right"/>
              <w:spacing w:after="0"/>
              <w:rPr>
                <w:sz w:val="20"/>
                <w:szCs w:val="20"/>
                <w:color w:val="auto"/>
              </w:rPr>
            </w:pPr>
            <w:r>
              <w:rPr>
                <w:rFonts w:ascii="Arial" w:cs="Arial" w:eastAsia="Arial" w:hAnsi="Arial"/>
                <w:sz w:val="14"/>
                <w:szCs w:val="14"/>
                <w:color w:val="auto"/>
              </w:rPr>
              <w:t>December 7, 2025</w:t>
            </w: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804,951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0.001</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June 22, 2021</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98"/>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400,000</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5.27</w:t>
            </w:r>
          </w:p>
        </w:tc>
        <w:tc>
          <w:tcPr>
            <w:tcW w:w="12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April 25, 2025</w:t>
            </w:r>
          </w:p>
        </w:tc>
        <w:tc>
          <w:tcPr>
            <w:tcW w:w="2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April 25, 2035</w:t>
            </w:r>
          </w:p>
        </w:tc>
        <w:tc>
          <w:tcPr>
            <w:tcW w:w="0" w:type="dxa"/>
            <w:vAlign w:val="bottom"/>
          </w:tcPr>
          <w:p>
            <w:pPr>
              <w:spacing w:after="0"/>
              <w:rPr>
                <w:sz w:val="1"/>
                <w:szCs w:val="1"/>
                <w:color w:val="auto"/>
              </w:rPr>
            </w:pPr>
          </w:p>
        </w:tc>
      </w:tr>
      <w:tr>
        <w:trPr>
          <w:trHeight w:val="200"/>
        </w:trPr>
        <w:tc>
          <w:tcPr>
            <w:tcW w:w="3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1,385,290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Perceptive Term Loan Facility, the Company may issue warrants for the purchase of up to an additional 750,000 shares of the Company’s common stock if and when the Company satisfies certain conditions and chooses to draw additional debt tranches during the respective draw periods.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issued a total of zero and 107,969 shares of common stock upon the cashless exercise of certain warrants during the three and nine months ended September 30, 2025, respectively. No warrants to purchase common stock of the Company were exercised during the three and nine months ended September 30,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 Option Plan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September 2019, the Company's Board of Directors (the Board) adopted, and the Company's stockholders approved, the 2019 Plan. Under the 2019 Plan, which expires in September 2029, the Company may grant stock options, stock appreciation rights, restricted stock, RSUs and other awards to individuals who are then employees, officers, non-employee directors or consultants of the Company or its subsidiaries. The options generally expire ten years after the date of grant and are exercisable to the extent vested. Vesting is established by the Board and is generally four years from the date of grant or, for grants to new hires, date of hire. The 2019 Plan contains an "evergreen provision" that allows annual increases in the number of shares available for issuance on the first day of each calendar year through January 1, 2029 in an amount equal to the lesser of: (i) 4% of the outstanding capital stock on each December 31st, or (ii) such lesser amount determined by the Board. Pursuant to the evergreen provision, on January 1, 2025, an additional 705,613 shares of the Company's common stock became available for issuance under the 2019 Plan. As of September 30, 2025, 2,411,086 shares of the Company's common stock remained available for future awards under the 2019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RSU activity under the Company's 2019 Plan is set forth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6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ind w:right="18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9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5"/>
        </w:trPr>
        <w:tc>
          <w:tcPr>
            <w:tcW w:w="79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96"/>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2024</w:t>
            </w:r>
          </w:p>
        </w:tc>
        <w:tc>
          <w:tcPr>
            <w:tcW w:w="1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1,710,373</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99"/>
        </w:trPr>
        <w:tc>
          <w:tcPr>
            <w:tcW w:w="7960" w:type="dxa"/>
            <w:vAlign w:val="bottom"/>
          </w:tcPr>
          <w:p>
            <w:pPr>
              <w:ind w:left="360"/>
              <w:spacing w:after="0"/>
              <w:rPr>
                <w:sz w:val="20"/>
                <w:szCs w:val="20"/>
                <w:color w:val="auto"/>
              </w:rPr>
            </w:pPr>
            <w:r>
              <w:rPr>
                <w:rFonts w:ascii="Arial" w:cs="Arial" w:eastAsia="Arial" w:hAnsi="Arial"/>
                <w:sz w:val="14"/>
                <w:szCs w:val="14"/>
                <w:color w:val="auto"/>
              </w:rPr>
              <w:t>Awards granted</w:t>
            </w:r>
          </w:p>
        </w:tc>
        <w:tc>
          <w:tcPr>
            <w:tcW w:w="1640" w:type="dxa"/>
            <w:vAlign w:val="bottom"/>
          </w:tcPr>
          <w:p>
            <w:pPr>
              <w:jc w:val="right"/>
              <w:ind w:right="8"/>
              <w:spacing w:after="0"/>
              <w:rPr>
                <w:sz w:val="20"/>
                <w:szCs w:val="20"/>
                <w:color w:val="auto"/>
              </w:rPr>
            </w:pPr>
            <w:r>
              <w:rPr>
                <w:rFonts w:ascii="Arial" w:cs="Arial" w:eastAsia="Arial" w:hAnsi="Arial"/>
                <w:sz w:val="14"/>
                <w:szCs w:val="14"/>
                <w:color w:val="auto"/>
              </w:rPr>
              <w:t>692,932</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Awards released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(391,515)</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9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Awards canceled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(246,878)</w:t>
            </w:r>
          </w:p>
        </w:tc>
        <w:tc>
          <w:tcPr>
            <w:tcW w:w="360" w:type="dxa"/>
            <w:vAlign w:val="bottom"/>
            <w:tcBorders>
              <w:bottom w:val="single" w:sz="8" w:color="CCEEFF"/>
            </w:tcBorders>
            <w:gridSpan w:val="2"/>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September 30, 2025</w:t>
            </w:r>
          </w:p>
        </w:tc>
        <w:tc>
          <w:tcPr>
            <w:tcW w:w="1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1,764,912</w:t>
            </w:r>
          </w:p>
        </w:tc>
        <w:tc>
          <w:tcPr>
            <w:tcW w:w="3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jc w:val="both"/>
        <w:spacing w:after="0" w:line="247" w:lineRule="auto"/>
        <w:rPr>
          <w:sz w:val="20"/>
          <w:szCs w:val="20"/>
          <w:color w:val="auto"/>
        </w:rPr>
      </w:pPr>
      <w:r>
        <w:rPr>
          <w:rFonts w:ascii="Arial" w:cs="Arial" w:eastAsia="Arial" w:hAnsi="Arial"/>
          <w:sz w:val="18"/>
          <w:szCs w:val="18"/>
          <w:color w:val="auto"/>
        </w:rPr>
        <w:t>As of September 30, 2025, all of the 1,764,912 outstanding RSUs were unvested. The fair value of RSUs vested in the nine months ended September 30, 2025 and 2024 was $1.9 million and $0.5 million, respectively. The weighted average grant date fair value for RSUs granted in the nine months ended September 30, 2025 and 2024 was $4.76 and $2.09 per RSU, respectively. As of September 30, 2025, total unrecognized compensation cost related to RSUs was $4.8 million, which is expected to be recognized over a remaining weighted-average vesting period of 2.6 years.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2019 Plan is set forth below:</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left="248"/>
              <w:spacing w:after="0"/>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2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Average</w:t>
            </w:r>
          </w:p>
        </w:tc>
        <w:tc>
          <w:tcPr>
            <w:tcW w:w="12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rPr>
              <w:t>Contractual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Value (in</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Term (Years)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2024</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489,296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98"/>
        </w:trPr>
        <w:tc>
          <w:tcPr>
            <w:tcW w:w="520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00" w:type="dxa"/>
            <w:vAlign w:val="bottom"/>
          </w:tcPr>
          <w:p>
            <w:pPr>
              <w:jc w:val="right"/>
              <w:spacing w:after="0"/>
              <w:rPr>
                <w:sz w:val="20"/>
                <w:szCs w:val="20"/>
                <w:color w:val="auto"/>
              </w:rPr>
            </w:pPr>
            <w:r>
              <w:rPr>
                <w:rFonts w:ascii="Arial" w:cs="Arial" w:eastAsia="Arial" w:hAnsi="Arial"/>
                <w:sz w:val="14"/>
                <w:szCs w:val="14"/>
                <w:color w:val="auto"/>
              </w:rPr>
              <w:t>169,570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Expired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(131,869)</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9.73</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September 30, 2025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526,889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tcPr>
          <w:p>
            <w:pPr>
              <w:ind w:left="20"/>
              <w:spacing w:after="0"/>
              <w:rPr>
                <w:sz w:val="20"/>
                <w:szCs w:val="20"/>
                <w:color w:val="auto"/>
              </w:rPr>
            </w:pPr>
            <w:r>
              <w:rPr>
                <w:rFonts w:ascii="Arial" w:cs="Arial" w:eastAsia="Arial" w:hAnsi="Arial"/>
                <w:sz w:val="14"/>
                <w:szCs w:val="14"/>
                <w:color w:val="auto"/>
              </w:rPr>
              <w:t>Vested and expected to vest, September 30,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526,889</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2,583</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 exercisable, September 30, 2025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344,472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8.11</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There were 169,570 and 55,500 stock options granted in the nine months ended September 30, 2025 and 2024, respectively. The intrinsic value is calculated as the difference between the fair value of the Company's common stock and the exercise price of the stock options. The aggregate intrinsic value of options exercised during the nine months ended September 30, 2025 and 2024 was negligible and $0.3 million, respectively. As of September 30, 2025, total unrecognized compensation cost related to option awards was $0.5 million, which is expected to be recognized over a remaining weighted-average vesting period of 2.5 years.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2019, the Board adopted, and the Company's stockholders approved, the ESPP. The ESPP became effective on the day the ESPP was adopted by the Board. The ESPP permits participants to purchase shares of the Company's common stock through payroll deductions of up to 20.0% of their eligible compensation. The number of shares of the Company's common stock available for issuance under the ESPP will be annually increased on the first day of each calendar year during the term of the ESPP through January 1, 2029 in an amount equal to the lesser of (i) 1.0% of the outstanding capital stock on each December 31st, or (ii) such lesser amount determined by the Board. Pursuant to the evergreen provision, on January 1, 2025, an additional 176,403 shares of the Company's common stock became available for issuance under the ESPP. As of September 30, 2025, 542,808 shares of the Company's common stock remained available for issuance under the ESPP. During the nine months ended September 30, 2025, a total of 157,339 shares of the Company's common stock were issued under the ESPP.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non-cash stock-based compensation expense recorded related to options granted, RSUs granted and stock purchase rights granted under the ESPP in the condensed statements of operations is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40" w:type="dxa"/>
            <w:vAlign w:val="bottom"/>
          </w:tcPr>
          <w:p>
            <w:pPr>
              <w:spacing w:after="0"/>
              <w:rPr>
                <w:sz w:val="17"/>
                <w:szCs w:val="17"/>
                <w:color w:val="auto"/>
              </w:rPr>
            </w:pPr>
          </w:p>
        </w:tc>
        <w:tc>
          <w:tcPr>
            <w:tcW w:w="31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394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2024</w:t>
            </w:r>
          </w:p>
        </w:tc>
      </w:tr>
      <w:tr>
        <w:trPr>
          <w:trHeight w:val="197"/>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1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198"/>
        </w:trPr>
        <w:tc>
          <w:tcPr>
            <w:tcW w:w="394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1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1,095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1,058</w:t>
            </w:r>
          </w:p>
        </w:tc>
      </w:tr>
      <w:tr>
        <w:trPr>
          <w:trHeight w:val="203"/>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2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r>
      <w:tr>
        <w:trPr>
          <w:trHeight w:val="200"/>
        </w:trPr>
        <w:tc>
          <w:tcPr>
            <w:tcW w:w="3940" w:type="dxa"/>
            <w:vAlign w:val="bottom"/>
          </w:tcPr>
          <w:p>
            <w:pPr>
              <w:ind w:left="20"/>
              <w:spacing w:after="0"/>
              <w:rPr>
                <w:sz w:val="20"/>
                <w:szCs w:val="20"/>
                <w:color w:val="auto"/>
              </w:rPr>
            </w:pPr>
            <w:r>
              <w:rPr>
                <w:rFonts w:ascii="Arial" w:cs="Arial" w:eastAsia="Arial" w:hAnsi="Arial"/>
                <w:sz w:val="14"/>
                <w:szCs w:val="14"/>
                <w:color w:val="auto"/>
              </w:rPr>
              <w:t>Total</w:t>
            </w:r>
          </w:p>
        </w:tc>
        <w:tc>
          <w:tcPr>
            <w:tcW w:w="122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1,453</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1,330</w:t>
            </w:r>
          </w:p>
        </w:tc>
      </w:tr>
      <w:tr>
        <w:trPr>
          <w:trHeight w:val="20"/>
        </w:trPr>
        <w:tc>
          <w:tcPr>
            <w:tcW w:w="39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9. Segment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(CODM) in making decisions regarding resource allocation and assessing performance. The Company views its operations as, and manages its business in, one operating segment focused on the design, development and commercialization of testing products which allow for the differential diagnosis, prognosis and monitoring of complex rheumatic, autoimmune and autoimmune-related disease. Segment revenue is primarily derived from the sale of the Company’s testing products, most of which is attributable to its AVISE® CTD test.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CODM is its Chief Executive Officer. The CODM assesses performance for the segment and decides how to allocate resources based on revenue and net loss as reported on the condensed statements of operations, after taking into account the Company’s strategic priorities, its cash balance and its expected use of cash. The CODM considers budget/forecast versus actual results on a quarterly basis when making decisions about the allocation of resources. The measure of segment assets is reported on the balance sheet as total assets and were $62.8 million and $44.7 million as of September 30, 2025 and December 31, 2024,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net loss, including significant segment expenses regularly provided to the CODM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292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7"/>
                <w:szCs w:val="17"/>
                <w:color w:val="auto"/>
              </w:rPr>
            </w:pPr>
          </w:p>
        </w:tc>
        <w:tc>
          <w:tcPr>
            <w:tcW w:w="266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4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2024</w:t>
            </w:r>
          </w:p>
        </w:tc>
      </w:tr>
      <w:tr>
        <w:trPr>
          <w:trHeight w:val="238"/>
        </w:trPr>
        <w:tc>
          <w:tcPr>
            <w:tcW w:w="5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49,944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41,986</w:t>
            </w:r>
          </w:p>
        </w:tc>
      </w:tr>
      <w:tr>
        <w:trPr>
          <w:trHeight w:val="198"/>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20,351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17,351</w:t>
            </w:r>
          </w:p>
        </w:tc>
      </w:tr>
      <w:tr>
        <w:trPr>
          <w:trHeight w:val="200"/>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8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10,075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29,593</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24,635</w:t>
            </w:r>
          </w:p>
        </w:tc>
      </w:tr>
      <w:tr>
        <w:trPr>
          <w:trHeight w:val="178"/>
        </w:trPr>
        <w:tc>
          <w:tcPr>
            <w:tcW w:w="5480" w:type="dxa"/>
            <w:vAlign w:val="bottom"/>
          </w:tcPr>
          <w:p>
            <w:pPr>
              <w:ind w:left="20"/>
              <w:spacing w:after="0"/>
              <w:rPr>
                <w:sz w:val="20"/>
                <w:szCs w:val="20"/>
                <w:color w:val="auto"/>
              </w:rPr>
            </w:pPr>
            <w:r>
              <w:rPr>
                <w:rFonts w:ascii="Arial" w:cs="Arial" w:eastAsia="Arial" w:hAnsi="Arial"/>
                <w:sz w:val="14"/>
                <w:szCs w:val="14"/>
                <w:color w:val="auto"/>
              </w:rPr>
              <w:t>Segment operating expenses:</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7"/>
        </w:trPr>
        <w:tc>
          <w:tcPr>
            <w:tcW w:w="5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Employee expense</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23,501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20,422</w:t>
            </w:r>
          </w:p>
        </w:tc>
      </w:tr>
      <w:tr>
        <w:trPr>
          <w:trHeight w:val="198"/>
        </w:trPr>
        <w:tc>
          <w:tcPr>
            <w:tcW w:w="5480" w:type="dxa"/>
            <w:vAlign w:val="bottom"/>
          </w:tcPr>
          <w:p>
            <w:pPr>
              <w:ind w:left="360"/>
              <w:spacing w:after="0"/>
              <w:rPr>
                <w:sz w:val="20"/>
                <w:szCs w:val="20"/>
                <w:color w:val="auto"/>
              </w:rPr>
            </w:pPr>
            <w:r>
              <w:rPr>
                <w:rFonts w:ascii="Arial" w:cs="Arial" w:eastAsia="Arial" w:hAnsi="Arial"/>
                <w:sz w:val="14"/>
                <w:szCs w:val="14"/>
                <w:color w:val="auto"/>
              </w:rPr>
              <w:t>Outside services</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3,567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3,181</w:t>
            </w:r>
          </w:p>
        </w:tc>
      </w:tr>
      <w:tr>
        <w:trPr>
          <w:trHeight w:val="206"/>
        </w:trPr>
        <w:tc>
          <w:tcPr>
            <w:tcW w:w="5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Facilities related</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2,824</w:t>
            </w:r>
          </w:p>
        </w:tc>
      </w:tr>
      <w:tr>
        <w:trPr>
          <w:trHeight w:val="199"/>
        </w:trPr>
        <w:tc>
          <w:tcPr>
            <w:tcW w:w="5480" w:type="dxa"/>
            <w:vAlign w:val="bottom"/>
          </w:tcPr>
          <w:p>
            <w:pPr>
              <w:ind w:left="360"/>
              <w:spacing w:after="0"/>
              <w:rPr>
                <w:sz w:val="20"/>
                <w:szCs w:val="20"/>
                <w:color w:val="auto"/>
              </w:rPr>
            </w:pPr>
            <w:r>
              <w:rPr>
                <w:rFonts w:ascii="Arial" w:cs="Arial" w:eastAsia="Arial" w:hAnsi="Arial"/>
                <w:sz w:val="14"/>
                <w:szCs w:val="14"/>
                <w:color w:val="auto"/>
              </w:rPr>
              <w:t>Travel &amp; entertainment</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2,175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1,813</w:t>
            </w:r>
          </w:p>
        </w:tc>
      </w:tr>
      <w:tr>
        <w:trPr>
          <w:trHeight w:val="206"/>
        </w:trPr>
        <w:tc>
          <w:tcPr>
            <w:tcW w:w="5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 compensation</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w:t>
            </w:r>
          </w:p>
        </w:tc>
      </w:tr>
      <w:tr>
        <w:trPr>
          <w:trHeight w:val="199"/>
        </w:trPr>
        <w:tc>
          <w:tcPr>
            <w:tcW w:w="548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787</w:t>
            </w:r>
          </w:p>
        </w:tc>
      </w:tr>
      <w:tr>
        <w:trPr>
          <w:trHeight w:val="206"/>
        </w:trPr>
        <w:tc>
          <w:tcPr>
            <w:tcW w:w="5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1</w:t>
            </w:r>
          </w:p>
        </w:tc>
        <w:tc>
          <w:tcPr>
            <w:tcW w:w="8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4,616</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4,634</w:t>
            </w:r>
          </w:p>
        </w:tc>
      </w:tr>
      <w:tr>
        <w:trPr>
          <w:trHeight w:val="192"/>
        </w:trPr>
        <w:tc>
          <w:tcPr>
            <w:tcW w:w="54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segment operating expenses</w:t>
            </w: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13,175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11,644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38,688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34,888</w:t>
            </w:r>
          </w:p>
        </w:tc>
      </w:tr>
      <w:tr>
        <w:trPr>
          <w:trHeight w:val="200"/>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(10,253)</w:t>
            </w:r>
          </w:p>
        </w:tc>
      </w:tr>
      <w:tr>
        <w:trPr>
          <w:trHeight w:val="198"/>
        </w:trPr>
        <w:tc>
          <w:tcPr>
            <w:tcW w:w="54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(2,988)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(1,671)</w:t>
            </w:r>
          </w:p>
        </w:tc>
      </w:tr>
      <w:tr>
        <w:trPr>
          <w:trHeight w:val="207"/>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8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5480" w:type="dxa"/>
            <w:vAlign w:val="bottom"/>
          </w:tcPr>
          <w:p>
            <w:pPr>
              <w:ind w:left="20"/>
              <w:spacing w:after="0"/>
              <w:rPr>
                <w:sz w:val="20"/>
                <w:szCs w:val="20"/>
                <w:color w:val="auto"/>
              </w:rPr>
            </w:pPr>
            <w:r>
              <w:rPr>
                <w:rFonts w:ascii="Arial" w:cs="Arial" w:eastAsia="Arial" w:hAnsi="Arial"/>
                <w:sz w:val="14"/>
                <w:szCs w:val="14"/>
                <w:color w:val="auto"/>
              </w:rPr>
              <w:t>Change in fair value of warrant liability</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(2,670)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(3,108)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8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w:t>
            </w:r>
          </w:p>
        </w:tc>
      </w:tr>
      <w:tr>
        <w:trPr>
          <w:trHeight w:val="192"/>
        </w:trPr>
        <w:tc>
          <w:tcPr>
            <w:tcW w:w="548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(7,086)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(15,240)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(11,354)</w:t>
            </w:r>
          </w:p>
        </w:tc>
      </w:tr>
      <w:tr>
        <w:trPr>
          <w:trHeight w:val="203"/>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5480" w:type="dxa"/>
            <w:vAlign w:val="bottom"/>
          </w:tcPr>
          <w:p>
            <w:pPr>
              <w:ind w:left="20"/>
              <w:spacing w:after="0"/>
              <w:rPr>
                <w:sz w:val="20"/>
                <w:szCs w:val="20"/>
                <w:color w:val="auto"/>
              </w:rPr>
            </w:pPr>
            <w:r>
              <w:rPr>
                <w:rFonts w:ascii="Arial" w:cs="Arial" w:eastAsia="Arial" w:hAnsi="Arial"/>
                <w:sz w:val="14"/>
                <w:szCs w:val="14"/>
                <w:color w:val="auto"/>
              </w:rPr>
              <w:t>Segment net loss</w:t>
            </w:r>
          </w:p>
        </w:tc>
        <w:tc>
          <w:tcPr>
            <w:tcW w:w="84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(7,087)</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(5,028)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(15,278)</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(11,354)</w:t>
            </w:r>
          </w:p>
        </w:tc>
      </w:tr>
      <w:tr>
        <w:trPr>
          <w:trHeight w:val="20"/>
        </w:trPr>
        <w:tc>
          <w:tcPr>
            <w:tcW w:w="5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Other segment items included in Segment net loss include insurance expenses, trade show and conference expenses, fulfillment expenses, board compensation, clinical trial expenses, collaboration expenses and bank fees, among others.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unaudited condensed financial statements and the notes thereto included elsewhere in this Quarterly Report on Form 10-Q (this Quarterly Report) and with our audited financial statements and notes thereto included in our 2024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The following discussion and other parts of this Quarterly Report contain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current and future product offerings, reimbursement and coverage, the expected benefits from our partnership or promotion arrangements with third parties, research and development costs, timing and likelihood of success and plans and objectives of management for future operations,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and short-term and long-term business operations and objectives. These forward-looking statements speak only as of the date of this Quarterly Report and are subject to a number of risks, uncertainties and assumptions, including those described in Part I, Item IA, "Risk Factors" in our 2024 Annual Report.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medical technology company primarily focused on the design, development and commercialization of a next-generation portfolio of innovative testing products under our AVISE® brand, which allow for the differential diagnosis, prognosis and monitoring of complex rheumatic, autoimmune and autoimmune-related disease including, among others, SLE and RA. We believe our strong focus and extensive background in the field of rheumatology, combined with our commitment to exceptional customer service and support, position us well to respond to the needs of rheumatologists, primary care physicians, other specialists, and the patients they serve.</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tests are used in a variety of clinical settings to provide clarity in autoimmune disease decision-making with the goal of improving patients' clinical outcomes. We commercially launched our flagship testing product, AVISE® CTD, in 2012. AVISE® CTD enables differential diagnosis for patients presenting with symptoms indicative of a wide variety of connective tissue diseases (CTDs) and other related diseases with overlapping symptoms. Traditional screening methods often lack accuracy, resulting in repeat testing and delayed diagnosis. With significant increases in autoimmune incidence in recent years, AVISE® CTD provides unique biomarkers that empower clinicians to confidently and quickly diagnose various CTDs. Beginning in late 2022, we revitalized our organization with the addition of key members to our senior leadership team, including our Chief Executive Officer, Chief Financial Officer, Vice President of Sales, Chief Medical Officer, and Medical and Laboratory Director. By leveraging our team’s extensive experience to create clinically distinct solutions that improve patient lives, we have created a strong foundation for growth and believe that we are well-positioned to positively impact patient care and address unmet clinical needs in autoimmune disease. We strive to become a partner of choice for doctors, hospitals, healthcare systems, and payors.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the leadership of our Chief Executive Officer, John Aballi, who joined Exagen in October 2022, we have executed an operational turnaround of the business, resulting in a return to revenue growth and gross margin expansion while significantly reducing operating expenses and cash burn.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All of our AVISE® tests are performed in our approximately 13,000 square foot laboratory located in Vista, California, which is certified under the clinical laboratory testing administered by the Centers for Medicare &amp;</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3" w:name="page24"/>
    <w:bookmarkEnd w:id="23"/>
    <w:p>
      <w:pPr>
        <w:jc w:val="both"/>
        <w:spacing w:after="0" w:line="268" w:lineRule="auto"/>
        <w:rPr>
          <w:sz w:val="20"/>
          <w:szCs w:val="20"/>
          <w:color w:val="auto"/>
        </w:rPr>
      </w:pPr>
      <w:r>
        <w:rPr>
          <w:rFonts w:ascii="Arial" w:cs="Arial" w:eastAsia="Arial" w:hAnsi="Arial"/>
          <w:sz w:val="18"/>
          <w:szCs w:val="18"/>
          <w:color w:val="auto"/>
        </w:rPr>
        <w:t>Medicaid Services (CLIA) and accredited by the College of American Pathologists (CAP). Our laboratory is certified for performance of high-complexity testing by the Centers for Medicare &amp; Medicaid Services (CMS) in accordance with CLIA and is licensed by all states requiring out-of-state licensure. Our clinical laboratory typically reports all AVISE® testing product results within five business days.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Reimbursement for our testing services comes from several sources, including commercial payors (such as insurance companies and health maintenance organizations), government payors (such as Medicare and Medicaid), client payors (such as hospitals, other laboratories, etc.) and patients. Reimbursement rates vary by product and payor.</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Since launching AVISE® CTD, we have produced an extensive body of peer-reviewed literature supporting the test’s clinical validity and utility, demonstrating the importance of AVISE® CTD in patient care. Revenue from this product comprised 89% and 91% of our revenue for each of the nine months ended September 30, 2025 and 2024, respectively.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providing diagnostic testing, we are leveraging our clinical laboratory to enter into agreements in the normal course of business with leading pharmaceutical companies and contract research organizations for the use of our testing products and/or the de-identified data generated from such tests. We believe the quality of our testing, proprietary offerings and specialized knowledge give us an advantage in this space. We plan to continue to pursue additional partnerships with leading pharmaceutical companies and academic research centers that are synergistic with our evolving portfolio of testing products, as more of these organizations realize the extent of the service we can provide.</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market our AVISE® testing products using our specialized sales force covering 40 territories in the United States. Many diagnostic sales forces are trained only to understand the comparative benefits of the tests they promote. In contrast, the specialized backgrounds of our sales personnel, coupled with our comprehensive training, enables our sales representatives to interpret results from our de-identified patient test reports and provide unique insights in a highly tailored discussion with rheumatologists. We believe our focus on and experience in the field of rheumatology, combined with our commitment to excellent customer service and support, position us very well to respond to the needs of rheumatologists and the patients they serve.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continue our thoughtful approach to research and development. We believe there is significant potential to enhance existing or develop new testing products with superior clinical utility, on our own or through collaboration with partners.</w:t>
      </w:r>
    </w:p>
    <w:p>
      <w:pPr>
        <w:spacing w:after="0" w:line="193" w:lineRule="exact"/>
        <w:rPr>
          <w:sz w:val="20"/>
          <w:szCs w:val="20"/>
          <w:color w:val="auto"/>
        </w:rPr>
      </w:pPr>
    </w:p>
    <w:p>
      <w:pPr>
        <w:jc w:val="both"/>
        <w:ind w:left="660" w:hanging="328"/>
        <w:spacing w:after="0" w:line="242" w:lineRule="auto"/>
        <w:tabs>
          <w:tab w:leader="none" w:pos="683" w:val="left"/>
        </w:tabs>
        <w:numPr>
          <w:ilvl w:val="0"/>
          <w:numId w:val="6"/>
        </w:numPr>
        <w:rPr>
          <w:rFonts w:ascii="Arial" w:cs="Arial" w:eastAsia="Arial" w:hAnsi="Arial"/>
          <w:sz w:val="22"/>
          <w:szCs w:val="22"/>
          <w:color w:val="auto"/>
        </w:rPr>
      </w:pPr>
      <w:r>
        <w:rPr>
          <w:rFonts w:ascii="Arial" w:cs="Arial" w:eastAsia="Arial" w:hAnsi="Arial"/>
          <w:sz w:val="18"/>
          <w:szCs w:val="18"/>
          <w:u w:val="single" w:color="auto"/>
          <w:color w:val="auto"/>
        </w:rPr>
        <w:t>Lupus Nephritis (LN) Biomarkers</w:t>
      </w:r>
      <w:r>
        <w:rPr>
          <w:rFonts w:ascii="Arial" w:cs="Arial" w:eastAsia="Arial" w:hAnsi="Arial"/>
          <w:sz w:val="18"/>
          <w:szCs w:val="18"/>
          <w:color w:val="auto"/>
        </w:rPr>
        <w:t>. We continue to leverage our intellectual property licensed from Johns Hopkins University to develop a test for detecting protein analytes in urine that can aid rheumatologists in the ongoing management and risk stratification of patients suffering from LN. We are currently testing a new customized array and currently expect to have results of this testing in</w:t>
      </w:r>
    </w:p>
    <w:p>
      <w:pPr>
        <w:spacing w:after="0" w:line="16" w:lineRule="exact"/>
        <w:rPr>
          <w:sz w:val="20"/>
          <w:szCs w:val="20"/>
          <w:color w:val="auto"/>
        </w:rPr>
      </w:pPr>
    </w:p>
    <w:p>
      <w:pPr>
        <w:ind w:left="660" w:right="20"/>
        <w:spacing w:after="0" w:line="287" w:lineRule="auto"/>
        <w:rPr>
          <w:sz w:val="20"/>
          <w:szCs w:val="20"/>
          <w:color w:val="auto"/>
        </w:rPr>
      </w:pPr>
      <w:r>
        <w:rPr>
          <w:rFonts w:ascii="Arial" w:cs="Arial" w:eastAsia="Arial" w:hAnsi="Arial"/>
          <w:sz w:val="18"/>
          <w:szCs w:val="18"/>
          <w:color w:val="auto"/>
        </w:rPr>
        <w:t>the fourth quarter of 2025. We expect to make this panel available initially through Pharma collaborations for research use prior to releasing commercially through our clinical lab.</w:t>
      </w:r>
    </w:p>
    <w:p>
      <w:pPr>
        <w:spacing w:after="0" w:line="193" w:lineRule="exact"/>
        <w:rPr>
          <w:sz w:val="20"/>
          <w:szCs w:val="20"/>
          <w:color w:val="auto"/>
        </w:rPr>
      </w:pPr>
    </w:p>
    <w:p>
      <w:pPr>
        <w:jc w:val="both"/>
        <w:ind w:left="660" w:hanging="328"/>
        <w:spacing w:after="0" w:line="249" w:lineRule="auto"/>
        <w:tabs>
          <w:tab w:leader="none" w:pos="656" w:val="left"/>
        </w:tabs>
        <w:numPr>
          <w:ilvl w:val="0"/>
          <w:numId w:val="7"/>
        </w:numPr>
        <w:rPr>
          <w:rFonts w:ascii="Arial" w:cs="Arial" w:eastAsia="Arial" w:hAnsi="Arial"/>
          <w:sz w:val="22"/>
          <w:szCs w:val="22"/>
          <w:color w:val="auto"/>
        </w:rPr>
      </w:pPr>
      <w:r>
        <w:rPr>
          <w:rFonts w:ascii="Arial" w:cs="Arial" w:eastAsia="Arial" w:hAnsi="Arial"/>
          <w:sz w:val="18"/>
          <w:szCs w:val="18"/>
          <w:u w:val="single" w:color="auto"/>
          <w:color w:val="auto"/>
        </w:rPr>
        <w:t>SLE Disease Activity</w:t>
      </w:r>
      <w:r>
        <w:rPr>
          <w:rFonts w:ascii="Arial" w:cs="Arial" w:eastAsia="Arial" w:hAnsi="Arial"/>
          <w:sz w:val="18"/>
          <w:szCs w:val="18"/>
          <w:color w:val="auto"/>
        </w:rPr>
        <w:t>. We are continuing to leverage clinical and laboratory data collected across multiple longitudinal SLE cohorts to identify a set of biomarkers that can inform an AI-developed algorithm aimed at guiding ongoing treatment decisions throughout the course of a lupus patient’s journey. This candidate assay for SLE Disease Activity is currently being clinically validated with patient recruitment ongoing.</w:t>
      </w:r>
    </w:p>
    <w:p>
      <w:pPr>
        <w:spacing w:after="0" w:line="227" w:lineRule="exact"/>
        <w:rPr>
          <w:rFonts w:ascii="Arial" w:cs="Arial" w:eastAsia="Arial" w:hAnsi="Arial"/>
          <w:sz w:val="22"/>
          <w:szCs w:val="22"/>
          <w:color w:val="auto"/>
        </w:rPr>
      </w:pPr>
    </w:p>
    <w:p>
      <w:pPr>
        <w:jc w:val="both"/>
        <w:ind w:left="660" w:hanging="328"/>
        <w:spacing w:after="0" w:line="244" w:lineRule="auto"/>
        <w:tabs>
          <w:tab w:leader="none" w:pos="656" w:val="left"/>
        </w:tabs>
        <w:numPr>
          <w:ilvl w:val="0"/>
          <w:numId w:val="7"/>
        </w:numPr>
        <w:rPr>
          <w:rFonts w:ascii="Arial" w:cs="Arial" w:eastAsia="Arial" w:hAnsi="Arial"/>
          <w:sz w:val="22"/>
          <w:szCs w:val="22"/>
          <w:color w:val="auto"/>
        </w:rPr>
      </w:pPr>
      <w:r>
        <w:rPr>
          <w:rFonts w:ascii="Arial" w:cs="Arial" w:eastAsia="Arial" w:hAnsi="Arial"/>
          <w:sz w:val="18"/>
          <w:szCs w:val="18"/>
          <w:u w:val="single" w:color="auto"/>
          <w:color w:val="auto"/>
        </w:rPr>
        <w:t>RA Disease Activity</w:t>
      </w:r>
      <w:r>
        <w:rPr>
          <w:rFonts w:ascii="Arial" w:cs="Arial" w:eastAsia="Arial" w:hAnsi="Arial"/>
          <w:sz w:val="18"/>
          <w:szCs w:val="18"/>
          <w:color w:val="auto"/>
        </w:rPr>
        <w:t>. We are also continuing to leverage our extensive biorepository containing clinically annotated serum collected from RA patients to screen for a host of protein antibody markers in an effort to develop an algorithmic solution that accurately predicts RA disease activity in a manner that outperforms conventional RA biomarkers. This candidate assay for RA disease activity is in development, with the validation cohort procured for analysis.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4" w:name="page25"/>
    <w:bookmarkEnd w:id="24"/>
    <w:p>
      <w:pPr>
        <w:jc w:val="both"/>
        <w:ind w:left="660" w:hanging="328"/>
        <w:spacing w:after="0" w:line="246" w:lineRule="auto"/>
        <w:tabs>
          <w:tab w:leader="none" w:pos="656" w:val="left"/>
        </w:tabs>
        <w:numPr>
          <w:ilvl w:val="0"/>
          <w:numId w:val="8"/>
        </w:numPr>
        <w:rPr>
          <w:rFonts w:ascii="Arial" w:cs="Arial" w:eastAsia="Arial" w:hAnsi="Arial"/>
          <w:sz w:val="22"/>
          <w:szCs w:val="22"/>
          <w:color w:val="auto"/>
        </w:rPr>
      </w:pPr>
      <w:r>
        <w:rPr>
          <w:rFonts w:ascii="Arial" w:cs="Arial" w:eastAsia="Arial" w:hAnsi="Arial"/>
          <w:sz w:val="18"/>
          <w:szCs w:val="18"/>
          <w:u w:val="single" w:color="auto"/>
          <w:color w:val="auto"/>
        </w:rPr>
        <w:t>Kidney Damage Biomarkers</w:t>
      </w:r>
      <w:r>
        <w:rPr>
          <w:rFonts w:ascii="Arial" w:cs="Arial" w:eastAsia="Arial" w:hAnsi="Arial"/>
          <w:sz w:val="18"/>
          <w:szCs w:val="18"/>
          <w:i w:val="1"/>
          <w:iCs w:val="1"/>
          <w:color w:val="auto"/>
        </w:rPr>
        <w:t>.</w:t>
      </w:r>
      <w:r>
        <w:rPr>
          <w:rFonts w:ascii="Arial" w:cs="Arial" w:eastAsia="Arial" w:hAnsi="Arial"/>
          <w:sz w:val="18"/>
          <w:szCs w:val="18"/>
          <w:color w:val="auto"/>
        </w:rPr>
        <w:t xml:space="preserve"> We have developed a four-protein blood-based panel, which sensitively detects kidney damage in early LN and diabetic nephropathy which significantly outperforms creatinine and eGFR. A provisional patent application was filed in November 2024 for methods of detecting kidney damage using the blood-based panel. An additional patent was filed in May 2025. We continue to expect to make this panel available initially through Pharma collaborations for research use prior to releasing commercially through our clinical lab.</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believe there are several important factors that have impacted, and that we expect will impact, our operating performance and results of operations, including:</w:t>
      </w:r>
    </w:p>
    <w:p>
      <w:pPr>
        <w:spacing w:after="0" w:line="193" w:lineRule="exact"/>
        <w:rPr>
          <w:sz w:val="20"/>
          <w:szCs w:val="20"/>
          <w:color w:val="auto"/>
        </w:rPr>
      </w:pPr>
    </w:p>
    <w:p>
      <w:pPr>
        <w:jc w:val="both"/>
        <w:ind w:left="660" w:hanging="328"/>
        <w:spacing w:after="0" w:line="246" w:lineRule="auto"/>
        <w:tabs>
          <w:tab w:leader="none" w:pos="683" w:val="left"/>
        </w:tabs>
        <w:numPr>
          <w:ilvl w:val="0"/>
          <w:numId w:val="9"/>
        </w:numPr>
        <w:rPr>
          <w:rFonts w:ascii="Arial" w:cs="Arial" w:eastAsia="Arial" w:hAnsi="Arial"/>
          <w:sz w:val="22"/>
          <w:szCs w:val="22"/>
          <w:color w:val="auto"/>
        </w:rPr>
      </w:pPr>
      <w:r>
        <w:rPr>
          <w:rFonts w:ascii="Arial" w:cs="Arial" w:eastAsia="Arial" w:hAnsi="Arial"/>
          <w:sz w:val="18"/>
          <w:szCs w:val="18"/>
          <w:i w:val="1"/>
          <w:iCs w:val="1"/>
          <w:u w:val="single" w:color="auto"/>
          <w:color w:val="auto"/>
        </w:rPr>
        <w:t>Commercial Launch of AVISE® CTD Enhancements.</w:t>
      </w:r>
      <w:r>
        <w:rPr>
          <w:rFonts w:ascii="Arial" w:cs="Arial" w:eastAsia="Arial" w:hAnsi="Arial"/>
          <w:sz w:val="18"/>
          <w:szCs w:val="18"/>
          <w:i w:val="1"/>
          <w:iCs w:val="1"/>
          <w:color w:val="auto"/>
        </w:rPr>
        <w:t xml:space="preserve"> </w:t>
      </w:r>
      <w:r>
        <w:rPr>
          <w:rFonts w:ascii="Arial" w:cs="Arial" w:eastAsia="Arial" w:hAnsi="Arial"/>
          <w:sz w:val="18"/>
          <w:szCs w:val="18"/>
          <w:color w:val="auto"/>
        </w:rPr>
        <w:t>Our flagship product, AVISE® CTD, enables clinicians to more effectively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diagnose complex autoimmune conditions such as SLE, RA, and Sjögren’s syndrome earlier and with greater accuracy, in each case, as compared to the current standard of care. Our laboratory specializes in the testing of rheumatic diseases, delivering precise and timely results, supported by a full suite of AVISE®-branded tests for disease diagnosis, prognosis, and monitoring. With a focus on research, innovation, education, and patient-centered care, we are dedicated to addressing the ongoing challenges of autoimmune disease management.</w:t>
      </w:r>
    </w:p>
    <w:p>
      <w:pPr>
        <w:spacing w:after="0" w:line="19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January 2025, we announced conditional approval by the New York State Department of Health and commercial launch of our new SLE and RA biomarker assays on the AVISE® CTD platform. Collectively, we believe these new biomarkers will further improve the clinical utility of AVISE® CTD, providing clinicians with the information they need to definitively diagnose patients and shorten their autoimmune diagnostic journeys. We expect the addition of these new biomarkers will continue to drive gains in our AVISE® CTD average selling price, gross margin expansion and increase demand while positioning us for profitability.</w:t>
      </w:r>
    </w:p>
    <w:p>
      <w:pPr>
        <w:spacing w:after="0" w:line="193" w:lineRule="exact"/>
        <w:rPr>
          <w:sz w:val="20"/>
          <w:szCs w:val="20"/>
          <w:color w:val="auto"/>
        </w:rPr>
      </w:pPr>
    </w:p>
    <w:p>
      <w:pPr>
        <w:jc w:val="both"/>
        <w:ind w:left="660" w:hanging="328"/>
        <w:spacing w:after="0" w:line="242" w:lineRule="auto"/>
        <w:tabs>
          <w:tab w:leader="none" w:pos="656" w:val="left"/>
        </w:tabs>
        <w:numPr>
          <w:ilvl w:val="0"/>
          <w:numId w:val="10"/>
        </w:numPr>
        <w:rPr>
          <w:rFonts w:ascii="Arial" w:cs="Arial" w:eastAsia="Arial" w:hAnsi="Arial"/>
          <w:sz w:val="18"/>
          <w:szCs w:val="18"/>
          <w:color w:val="auto"/>
        </w:rPr>
      </w:pPr>
      <w:r>
        <w:rPr>
          <w:rFonts w:ascii="Arial" w:cs="Arial" w:eastAsia="Arial" w:hAnsi="Arial"/>
          <w:sz w:val="18"/>
          <w:szCs w:val="18"/>
          <w:i w:val="1"/>
          <w:iCs w:val="1"/>
          <w:u w:val="single" w:color="auto"/>
          <w:color w:val="auto"/>
        </w:rPr>
        <w:t>Peptidyl Arginine Deiminase 4 (PAD4) Biomarkers.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third quarter of 2025, we received conditional approval from the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State Department of Health and commercially launched our new PAD4 biomarker assays on the AVISE® CTD platform. Anti-PAD4 antibodies have been found to be 35% sensitive and 95% specific for RA in a peer-reviewed validation study. Additionally, anti-PAD4 antibodies have been found in 19% of anti-CCP negative RA patients, helping to address a critical seronegative diagnostic gap. Beyond the diagnostic utility, anti-PAD4 antibodies have been shown to associate with increased risk for radiographic progression, a sign of permanent joint changes.</w:t>
      </w:r>
    </w:p>
    <w:p>
      <w:pPr>
        <w:spacing w:after="0" w:line="232" w:lineRule="exact"/>
        <w:rPr>
          <w:rFonts w:ascii="Arial" w:cs="Arial" w:eastAsia="Arial" w:hAnsi="Arial"/>
          <w:sz w:val="18"/>
          <w:szCs w:val="18"/>
          <w:color w:val="auto"/>
        </w:rPr>
      </w:pPr>
    </w:p>
    <w:p>
      <w:pPr>
        <w:jc w:val="both"/>
        <w:ind w:left="660" w:hanging="328"/>
        <w:spacing w:after="0" w:line="249" w:lineRule="auto"/>
        <w:tabs>
          <w:tab w:leader="none" w:pos="656" w:val="left"/>
        </w:tabs>
        <w:numPr>
          <w:ilvl w:val="0"/>
          <w:numId w:val="10"/>
        </w:numPr>
        <w:rPr>
          <w:rFonts w:ascii="Arial" w:cs="Arial" w:eastAsia="Arial" w:hAnsi="Arial"/>
          <w:sz w:val="22"/>
          <w:szCs w:val="22"/>
          <w:color w:val="auto"/>
        </w:rPr>
      </w:pPr>
      <w:r>
        <w:rPr>
          <w:rFonts w:ascii="Arial" w:cs="Arial" w:eastAsia="Arial" w:hAnsi="Arial"/>
          <w:sz w:val="18"/>
          <w:szCs w:val="18"/>
          <w:i w:val="1"/>
          <w:iCs w:val="1"/>
          <w:u w:val="single" w:color="auto"/>
          <w:color w:val="auto"/>
        </w:rPr>
        <w:t>Reimbursement for Our Testing Products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revenue depends on achieving broad coverage and reimbursement for our tests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third-party payors, including both commercial payors and government payors. Payment from third-party payors differs depending on whether we are considered a "participating provider" (have entered into a contract with the payors as a participating provider) or a "non-participating provider" (do not have a contract and are considered a "non-participating provider"). Payors will often reimburse non-participating providers at a lower amount than participating providers, if at all. We have received a substantial portion of our revenue from a limited number of commercial payors, most of which have not contracted with us to be a participating provider. Historically, we have experienced situations where commercial payors proactively reduced the amounts they were willing to reimburse for our tests, and in other situations, commercial payors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payors, we may not be able to effectively increase our testing volume and revenue as expected. Additionally, changes in our estimated reimbursements for tests performed in prior periods can positively or negatively impact our revenue in the current period and cause our financial results to fluctuate. In addition, in connection with our revenue cycle management initiatives, we held claims in the first half of the fiscal year ended December 31, 2024, which</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5" w:name="page26"/>
    <w:bookmarkEnd w:id="25"/>
    <w:p>
      <w:pPr>
        <w:jc w:val="both"/>
        <w:ind w:left="660"/>
        <w:spacing w:after="0" w:line="259" w:lineRule="auto"/>
        <w:rPr>
          <w:sz w:val="20"/>
          <w:szCs w:val="20"/>
          <w:color w:val="auto"/>
        </w:rPr>
      </w:pPr>
      <w:r>
        <w:rPr>
          <w:rFonts w:ascii="Arial" w:cs="Arial" w:eastAsia="Arial" w:hAnsi="Arial"/>
          <w:sz w:val="18"/>
          <w:szCs w:val="18"/>
          <w:color w:val="auto"/>
        </w:rPr>
        <w:t>resulted in increases in our accounts receivable and an accelerated decrease in our cash in the same period. As expected, this trend reversed in the second half of the fiscal year ended December 31, 2024 as cash was collected on billed tests. We held claims in the first quarter of the fiscal year ending December 31, 2025, which resulted in increases in our accounts receivable and an accelerated decrease in our cash in the same period and a reversal of that trend is expected in the remaining quarter of the fiscal year ending December 31, 2025.</w:t>
      </w:r>
    </w:p>
    <w:p>
      <w:pPr>
        <w:spacing w:after="0" w:line="217" w:lineRule="exact"/>
        <w:rPr>
          <w:sz w:val="20"/>
          <w:szCs w:val="20"/>
          <w:color w:val="auto"/>
        </w:rPr>
      </w:pPr>
    </w:p>
    <w:p>
      <w:pPr>
        <w:jc w:val="both"/>
        <w:ind w:left="660" w:hanging="328"/>
        <w:spacing w:after="0" w:line="238" w:lineRule="auto"/>
        <w:tabs>
          <w:tab w:leader="none" w:pos="656" w:val="left"/>
        </w:tabs>
        <w:numPr>
          <w:ilvl w:val="0"/>
          <w:numId w:val="11"/>
        </w:numPr>
        <w:rPr>
          <w:rFonts w:ascii="Arial" w:cs="Arial" w:eastAsia="Arial" w:hAnsi="Arial"/>
          <w:sz w:val="22"/>
          <w:szCs w:val="22"/>
          <w:color w:val="auto"/>
        </w:rPr>
      </w:pPr>
      <w:r>
        <w:rPr>
          <w:rFonts w:ascii="Arial" w:cs="Arial" w:eastAsia="Arial" w:hAnsi="Arial"/>
          <w:sz w:val="18"/>
          <w:szCs w:val="18"/>
          <w:i w:val="1"/>
          <w:iCs w:val="1"/>
          <w:u w:val="single" w:color="auto"/>
          <w:color w:val="auto"/>
        </w:rPr>
        <w:t>Expanding Adoption of AVISE® CTD.</w:t>
      </w:r>
      <w:r>
        <w:rPr>
          <w:rFonts w:ascii="Arial" w:cs="Arial" w:eastAsia="Arial" w:hAnsi="Arial"/>
          <w:sz w:val="18"/>
          <w:szCs w:val="18"/>
          <w:i w:val="1"/>
          <w:iCs w:val="1"/>
          <w:color w:val="auto"/>
        </w:rPr>
        <w:t xml:space="preserve"> </w:t>
      </w:r>
      <w:r>
        <w:rPr>
          <w:rFonts w:ascii="Arial" w:cs="Arial" w:eastAsia="Arial" w:hAnsi="Arial"/>
          <w:sz w:val="18"/>
          <w:szCs w:val="18"/>
          <w:color w:val="auto"/>
        </w:rPr>
        <w:t>Since the launch of AVISE</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CTD in 2012 and through September 30, 2025, we have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over one million of these tests. During the three months ended September 30, 2025,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increased by approximately 16% over the same period in 2024 and increased sequentially by approximately 2% over the second quarter of 2025. Revenue growth for our testing products will depend, in part, on our ability to continue to expand our base of ordering healthcare providers and increase our penetration with existing healthcare providers, and on the success of the T-Cell Biomarkers and RA Sub-Profile Biomarkers which we added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in January 2025.</w:t>
      </w:r>
    </w:p>
    <w:p>
      <w:pPr>
        <w:spacing w:after="0" w:line="152" w:lineRule="exact"/>
        <w:rPr>
          <w:rFonts w:ascii="Arial" w:cs="Arial" w:eastAsia="Arial" w:hAnsi="Arial"/>
          <w:sz w:val="22"/>
          <w:szCs w:val="22"/>
          <w:color w:val="auto"/>
        </w:rPr>
      </w:pPr>
    </w:p>
    <w:p>
      <w:pPr>
        <w:jc w:val="both"/>
        <w:ind w:left="660" w:hanging="328"/>
        <w:spacing w:after="0" w:line="246" w:lineRule="auto"/>
        <w:tabs>
          <w:tab w:leader="none" w:pos="683" w:val="left"/>
        </w:tabs>
        <w:numPr>
          <w:ilvl w:val="0"/>
          <w:numId w:val="11"/>
        </w:numPr>
        <w:rPr>
          <w:rFonts w:ascii="Arial" w:cs="Arial" w:eastAsia="Arial" w:hAnsi="Arial"/>
          <w:sz w:val="22"/>
          <w:szCs w:val="22"/>
          <w:color w:val="auto"/>
        </w:rPr>
      </w:pPr>
      <w:r>
        <w:rPr>
          <w:rFonts w:ascii="Arial" w:cs="Arial" w:eastAsia="Arial" w:hAnsi="Arial"/>
          <w:sz w:val="18"/>
          <w:szCs w:val="18"/>
          <w:i w:val="1"/>
          <w:iCs w:val="1"/>
          <w:u w:val="single" w:color="auto"/>
          <w:color w:val="auto"/>
        </w:rPr>
        <w:t>Development of Innovative Testing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to continue to invest in research and development in order to develop</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testing products. Our success in developing new testing products will be important in our efforts to grow our business by expanding the potential market for our products and diversifying our sources of revenue. We intend to leverage our protein and molecular assay development capabilities, bioinformatic team and proprietary technologies to pursue the development of additional testing products designed to have superior clinical utility for rheumatic conditions.</w:t>
      </w:r>
    </w:p>
    <w:p>
      <w:pPr>
        <w:spacing w:after="0" w:line="228" w:lineRule="exact"/>
        <w:rPr>
          <w:rFonts w:ascii="Arial" w:cs="Arial" w:eastAsia="Arial" w:hAnsi="Arial"/>
          <w:sz w:val="22"/>
          <w:szCs w:val="22"/>
          <w:color w:val="auto"/>
        </w:rPr>
      </w:pPr>
    </w:p>
    <w:p>
      <w:pPr>
        <w:jc w:val="both"/>
        <w:ind w:left="660" w:hanging="328"/>
        <w:spacing w:after="0" w:line="249" w:lineRule="auto"/>
        <w:tabs>
          <w:tab w:leader="none" w:pos="656" w:val="left"/>
        </w:tabs>
        <w:numPr>
          <w:ilvl w:val="0"/>
          <w:numId w:val="11"/>
        </w:numPr>
        <w:rPr>
          <w:rFonts w:ascii="Arial" w:cs="Arial" w:eastAsia="Arial" w:hAnsi="Arial"/>
          <w:sz w:val="22"/>
          <w:szCs w:val="22"/>
          <w:color w:val="auto"/>
        </w:rPr>
      </w:pPr>
      <w:r>
        <w:rPr>
          <w:rFonts w:ascii="Arial" w:cs="Arial" w:eastAsia="Arial" w:hAnsi="Arial"/>
          <w:sz w:val="18"/>
          <w:szCs w:val="18"/>
          <w:i w:val="1"/>
          <w:iCs w:val="1"/>
          <w:u w:val="single" w:color="auto"/>
          <w:color w:val="auto"/>
        </w:rPr>
        <w:t>Deliver Sustainable Profitable Growth</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establish a solid foundation for growth and a path to sustained profitability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gross margin enhancements and improved operating expense efficiencies through the implementation of certain internal initiatives, such as leveraging validation, utility and reimbursement-oriented clinical studies to facilitate payor coverage of our testing products. We center our efforts around long-term reimbursement and Average Selling Price (ASP) growth. This strategy includes optimizing revenue cycle practices, focusing managed care efforts on medical policy expansion and continuing to educate insurance payors on the published, real-world evidence of the clinical utility of our testing products, demonstrating healthcare cost savings and reductions in time to diagnosis.</w:t>
      </w:r>
    </w:p>
    <w:p>
      <w:pPr>
        <w:spacing w:after="0" w:line="231" w:lineRule="exact"/>
        <w:rPr>
          <w:rFonts w:ascii="Arial" w:cs="Arial" w:eastAsia="Arial" w:hAnsi="Arial"/>
          <w:sz w:val="22"/>
          <w:szCs w:val="22"/>
          <w:color w:val="auto"/>
        </w:rPr>
      </w:pPr>
    </w:p>
    <w:p>
      <w:pPr>
        <w:jc w:val="both"/>
        <w:ind w:left="660" w:hanging="328"/>
        <w:spacing w:after="0" w:line="237" w:lineRule="auto"/>
        <w:tabs>
          <w:tab w:leader="none" w:pos="669" w:val="left"/>
        </w:tabs>
        <w:numPr>
          <w:ilvl w:val="0"/>
          <w:numId w:val="11"/>
        </w:numPr>
        <w:rPr>
          <w:rFonts w:ascii="Arial" w:cs="Arial" w:eastAsia="Arial" w:hAnsi="Arial"/>
          <w:sz w:val="22"/>
          <w:szCs w:val="22"/>
          <w:color w:val="auto"/>
        </w:rPr>
      </w:pPr>
      <w:r>
        <w:rPr>
          <w:rFonts w:ascii="Arial" w:cs="Arial" w:eastAsia="Arial" w:hAnsi="Arial"/>
          <w:sz w:val="18"/>
          <w:szCs w:val="18"/>
          <w:i w:val="1"/>
          <w:iCs w:val="1"/>
          <w:u w:val="single" w:color="auto"/>
          <w:color w:val="auto"/>
        </w:rPr>
        <w:t>Timing of Our Research and Development Expenses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conduct clinical studies to validate our new testing products,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ongoing clinical and outcome studies to further expand the published evidence that supports our commercialized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also expend funds to secure clinical samples that can be used in discovery, product development, clinical validation, utility and outcome studies. Our spending on experiments and clinical studies may vary substantially from quarter to quarter, and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w:t>
      </w:r>
    </w:p>
    <w:p>
      <w:pPr>
        <w:spacing w:after="0" w:line="235" w:lineRule="exact"/>
        <w:rPr>
          <w:rFonts w:ascii="Arial" w:cs="Arial" w:eastAsia="Arial" w:hAnsi="Arial"/>
          <w:sz w:val="22"/>
          <w:szCs w:val="22"/>
          <w:color w:val="auto"/>
        </w:rPr>
      </w:pPr>
    </w:p>
    <w:p>
      <w:pPr>
        <w:jc w:val="both"/>
        <w:ind w:left="660" w:hanging="328"/>
        <w:spacing w:after="0" w:line="242" w:lineRule="auto"/>
        <w:tabs>
          <w:tab w:leader="none" w:pos="683" w:val="left"/>
        </w:tabs>
        <w:numPr>
          <w:ilvl w:val="0"/>
          <w:numId w:val="11"/>
        </w:numPr>
        <w:rPr>
          <w:rFonts w:ascii="Arial" w:cs="Arial" w:eastAsia="Arial" w:hAnsi="Arial"/>
          <w:sz w:val="22"/>
          <w:szCs w:val="22"/>
          <w:color w:val="auto"/>
        </w:rPr>
      </w:pPr>
      <w:r>
        <w:rPr>
          <w:rFonts w:ascii="Arial" w:cs="Arial" w:eastAsia="Arial" w:hAnsi="Arial"/>
          <w:sz w:val="18"/>
          <w:szCs w:val="18"/>
          <w:i w:val="1"/>
          <w:iCs w:val="1"/>
          <w:u w:val="single" w:color="auto"/>
          <w:color w:val="auto"/>
        </w:rPr>
        <w:t>How We Recognize Revenue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record revenue on an accrual basis, using an estimate of the amount that we will ultimately</w:t>
      </w:r>
      <w:r>
        <w:rPr>
          <w:rFonts w:ascii="Arial" w:cs="Arial" w:eastAsia="Arial" w:hAnsi="Arial"/>
          <w:sz w:val="18"/>
          <w:szCs w:val="18"/>
          <w:i w:val="1"/>
          <w:iCs w:val="1"/>
          <w:color w:val="auto"/>
        </w:rPr>
        <w:t xml:space="preserve"> </w:t>
      </w:r>
      <w:r>
        <w:rPr>
          <w:rFonts w:ascii="Arial" w:cs="Arial" w:eastAsia="Arial" w:hAnsi="Arial"/>
          <w:sz w:val="18"/>
          <w:szCs w:val="18"/>
          <w:color w:val="auto"/>
        </w:rPr>
        <w:t>realize, as determined based on a historical analysis of amounts collected by test and by payor, among other factors. Changes to such estimates may increase or decrease revenue recognized in future periods.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While each of these areas present significant opportunities for us, they also pose significant risks and challenges that we must address. We discuss many of these risks, uncertainties and other factors that may affect our performance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2024 Annual Report.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Seasonality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experience to date, we expect some seasonal variations in our financial results due to a variety of factors, such as: the year-end holiday period and other major holidays, vacation patterns of both patients and healthcare providers (including medical conferences), climate and weather conditions in our markets (for example, excess sun exposure can cause flares in SLE), seasonal conditions that may affect medical practices and provider activity (for example, influenza outbreaks that may reduce the percentage of patients that can be seen) and other factors relating to the timing of patient benefit changes, as well as patient deductibles and co-insurance limits.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Inflationary Environment</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current inflationary environment has resulted in higher prices, which have impacted our costs incurred to generate revenue from our laboratory testing services, costs to attract and retain personnel, and other operating costs. The severity and duration of the current inflationary environment remains uncertain and may continue to impact our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U.S. Trade Policy</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business, results of operations and financial condition may be adversely affected by uncertainty and changes in U.S. trade policies, including tariffs, quotas, trade agreements or other trade restrictions imposed by the U.S. or other governments. Our business requires access to reagents and other materials to run our tests, some of which we source from suppliers located outside the U.S., including Germany. Any imposition of or increase in tariffs or other restrictions on imports of reagents or other materials, as well as corresponding price increases for such materials available domestically, if any, could increase our costs. We would likely be unable to pass all or any such cost increases on to our customers and such cost increases could materially and adversely affect our business, results of operations and financial condition, including our gross margin.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We recognize revenue in accordance with the provisions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using an estimate of the amount we will ultimately receive, as determined based on a historical analysis of amounts collected by test and by payor, among other factors. These assessments require significant judgment by management.</w:t>
      </w:r>
    </w:p>
    <w:p>
      <w:pPr>
        <w:spacing w:after="0" w:line="1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primarily market our testing products to rheumatologists and their physician assistants in the United States. The healthcare professionals who order our testing products, and to whom results are reported, are generally not responsible for payment for these products. The parties that pay for these services (payors) consist of commercial payors (insurance companies, health maintenance organizations, etc.), government payors (primarily Medicare and Medicaid), client payors (hospitals, other laboratories, etc.), and patient self-pay. Our service is completed upon the delivery of test results to the prescribing rheumatologists which triggers billing for the service.</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ability to increase our revenue may depend, in part, on the success of the T-Cell Biomarker and RA and PAD4 Sub-Profile Biomarkers enhancements to our AVISE® CTD test, in addition to our ability to further penetrate the market for our current and future testing products and increase our reimbursement and collection rates (ASP) for tests delivered.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2022, we were granted a Proprietary Laboratory Analyses code (PLA code) for our protein-based test, AVISE® Lupus, which is offered standalone or as part of our AVISE® CTD test. Noridian Healthcare Solutions (Noridian), our Medicare Administrative Contractor (MAC), has set the current pricing for this PLA code at $840.65 per test. CMS will align local MAC pricing with national payment rates for the PLA code on the 2026 Clinical Laboratory Fee Schedule (CLFS) through their annual payment determination process to provide a standardized, nationally determined payment rate. The process for obtaining and maintaining consistent reimbursement for new tests can be uncertain, lengthy and time consuming. A pricing determination is not synonymous with a coverage determination. Having a price associated with the PLA code for any particular test does not secure coverage or reimbursement for that PLA code from Medicare or any other third-party payor.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7" w:name="page28"/>
    <w:bookmarkEnd w:id="27"/>
    <w:p>
      <w:pPr>
        <w:jc w:val="both"/>
        <w:spacing w:after="0" w:line="256" w:lineRule="auto"/>
        <w:rPr>
          <w:sz w:val="20"/>
          <w:szCs w:val="20"/>
          <w:color w:val="auto"/>
        </w:rPr>
      </w:pPr>
      <w:r>
        <w:rPr>
          <w:rFonts w:ascii="Arial" w:cs="Arial" w:eastAsia="Arial" w:hAnsi="Arial"/>
          <w:sz w:val="18"/>
          <w:szCs w:val="18"/>
          <w:color w:val="auto"/>
        </w:rPr>
        <w:t>We submitted a formal request to Noridian for coverage of our AVISE® Lupus test under the new PLA Code and on September 27, 2022, we received notice that Noridian deemed our application for a Local Coverage Determination (LCD) to be valid, but our application is still pending. Ultimately receiving a favorable LCD is uncertain and may be time-consuming, resource intensive and require multiple quarterly or annual periods to complete and is subject to risks and uncertainties described in the section entitled "Risk Factors" in our 2024 Annual Report and this Quarterly Report. Further, on January 20, 2025, President Trump issued an Executive Order entitled Regulatory Freeze Pending Review, which halted all federal level regulatory rules and guidance not yet in effect. Because the Executive Order extends to LCDs not yet in effect, it leaves the fate and timing of our LCD application uncertain.</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meantime, we have continued to submit Medicare claims for AVISE® Lupus, appeal denials and responses to requests for additional information. On January 31, 2024, CMS released a coverage article under which all multi-analyte proteomic testing will be considered within the scope of the Molecular Diagnostic Services Program administered by Palmetto GBA on behalf of CMS (MolDX) and reviewed through their technology assessment process. The article listed several such tests, including the AVISE® Lupus test, and requires all laboratories furnishing multi-analyte proteomics testing in MolDX jurisdictions to register with the DEX® Diagnostics Exchange Registry and obtain a Z-Code® identifier. We were issued a Z-Code® identifier in May 2024. To determine if the submitted tests are compliant with relevant policy requirements, these tests will undergo technical assessment by Palmetto GBA as part of the MolDX program. That technical assessment is on hold until such time as an LCD is issued by CMS. In the interim, we expect our current status with CMS to remain unchanged.</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face consistent challenges relating to commercial payor claim processing and revenue. While collectability has improved with certain plans year-over-year, we continue to experience denials due to unfavorable medical policy with certain plans, and we expect this situation to persist.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 ended December 31, 2023, we implemented several revenue cycle management initiatives, including among others, withholding the submission of commercial payor claims for reimbursement until subsequent quarters, increasing appeals efforts, adjusting the documentation required of physicians when ordering our tests and implementing increases to our patient payment rates. Additionally, in November 2023, we increased the list price billed for our tests. These ongoing revenue cycle management initiatives aim to optimize our appeals process and the potential for cash collections. During the fiscal year ended December 31, 2024, we experienced moderate declines in test volume since the second half of the fiscal year ended December 31, 2023, as rheumatologists and patients adjusted to these changes. During the first three quarters of 2025, we saw a return to volume growth. The number of AVISE® CTD tests delivered during the three months ended September 30, 2025 improved by approximately 16% as compared to the number of AVISE® CTD tests delivered during the three months ended September 30, 2024 due to continuing physician demand and adoption, early traction from our new biomarkers, and salesforce expansion. Additionally, the trailing-twelve-month ASP of our AVISE® CTD tests increased by approximately 9% during the three months ended September 30, 2025 compared to the same period in 2024.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 of revenue represents the expenses associated with obtaining and testing patient specimens. The components of our cost of revenue include materials costs, direct labor, equipment, infrastructure expenses, shipping charges to transport specimens, blood specimen collections fees, royalties, depreciation and allocated overhead (including rent and utilities).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payor, whether commercial, government, or individual, reimburses us at different amounts. These differences can be significant. As a result, our cost of revenue as a percentage of revenue may vary significantly from period to period due to the composition of payors for each period's billings. Our cost per AVISE® CTD test has increased year-over-year as a result of costs associated with the addition of the T-Cell Biomarkers and RA Sub-Profile Biomarkers to our AVISE® CTD test.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include costs incurred to develop our technology, test products and product candidates, in addition to costs incurred to collect clinical specimens and conduct clinical studies to develop and support those products and product candidates. These costs consist of personnel-related expenses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consists of cash and non-cash interest expense associated with our financing arrangements. We expect interest expense to increase by approximately $1.7 million annually, including an increase of $ 0.9 million in non-cash interest expense, in the year ending December 31, 2025 as compared to the year ended December 31, 2024, as a result of borrowings under the Perceptive Term Loan Facility.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Loss on extinguishment of debt consists of the unamortized debt issuance costs and final payment fee due under the terms of the Amended Loan Agreement. The Amended Loan Agreement was fully repaid and terminated on April 25,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Changes in the fair value of the warrant liability relates to our issued warrants and commitments to issue warrants for the purchase of our common stock in connection with the Credit Agreement with Perceptive.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income earned on our cash and cash equivalents.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2025 and 2024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7"/>
        </w:trPr>
        <w:tc>
          <w:tcPr>
            <w:tcW w:w="57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Change</w:t>
            </w: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17,244</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4,737</w:t>
            </w:r>
          </w:p>
        </w:tc>
      </w:tr>
      <w:tr>
        <w:trPr>
          <w:trHeight w:val="19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7,169</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1,643</w:t>
            </w:r>
          </w:p>
        </w:tc>
      </w:tr>
      <w:tr>
        <w:trPr>
          <w:trHeight w:val="200"/>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10,075</w:t>
            </w:r>
          </w:p>
        </w:tc>
        <w:tc>
          <w:tcPr>
            <w:tcW w:w="12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3,094</w:t>
            </w:r>
          </w:p>
        </w:tc>
      </w:tr>
      <w:tr>
        <w:trPr>
          <w:trHeight w:val="178"/>
        </w:trPr>
        <w:tc>
          <w:tcPr>
            <w:tcW w:w="57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07"/>
        </w:trPr>
        <w:tc>
          <w:tcPr>
            <w:tcW w:w="5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11,445</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w:t>
            </w:r>
          </w:p>
        </w:tc>
      </w:tr>
      <w:tr>
        <w:trPr>
          <w:trHeight w:val="198"/>
        </w:trPr>
        <w:tc>
          <w:tcPr>
            <w:tcW w:w="57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Research and development expenses</w:t>
            </w: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1,730</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r>
      <w:tr>
        <w:trPr>
          <w:trHeight w:val="200"/>
        </w:trPr>
        <w:tc>
          <w:tcPr>
            <w:tcW w:w="57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operating expenses</w:t>
            </w:r>
          </w:p>
        </w:tc>
        <w:tc>
          <w:tcPr>
            <w:tcW w:w="1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13,175</w:t>
            </w:r>
          </w:p>
        </w:tc>
        <w:tc>
          <w:tcPr>
            <w:tcW w:w="12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1,531</w:t>
            </w:r>
          </w:p>
        </w:tc>
      </w:tr>
      <w:tr>
        <w:trPr>
          <w:trHeight w:val="192"/>
        </w:trPr>
        <w:tc>
          <w:tcPr>
            <w:tcW w:w="578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1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(3,100)</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(4,663)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1,563</w:t>
            </w:r>
          </w:p>
        </w:tc>
      </w:tr>
      <w:tr>
        <w:trPr>
          <w:trHeight w:val="20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14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warrant liability</w:t>
            </w: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(2,670)</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(2,670)</w:t>
            </w:r>
          </w:p>
        </w:tc>
      </w:tr>
      <w:tr>
        <w:trPr>
          <w:trHeight w:val="19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r>
      <w:tr>
        <w:trPr>
          <w:trHeight w:val="200"/>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(7,086)</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(2,058)</w:t>
            </w:r>
          </w:p>
        </w:tc>
      </w:tr>
      <w:tr>
        <w:trPr>
          <w:trHeight w:val="199"/>
        </w:trPr>
        <w:tc>
          <w:tcPr>
            <w:tcW w:w="578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25"/>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tcBorders>
              <w:top w:val="single" w:sz="8" w:color="auto"/>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(2,059)</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ind w:right="360"/>
        <w:spacing w:after="0" w:line="220" w:lineRule="auto"/>
        <w:rPr>
          <w:sz w:val="20"/>
          <w:szCs w:val="20"/>
          <w:color w:val="auto"/>
        </w:rPr>
      </w:pPr>
      <w:r>
        <w:rPr>
          <w:rFonts w:ascii="Arial" w:cs="Arial" w:eastAsia="Arial" w:hAnsi="Arial"/>
          <w:sz w:val="17"/>
          <w:szCs w:val="17"/>
          <w:color w:val="auto"/>
        </w:rPr>
        <w:t>Revenue increased $ 4.7 million, or 37.9%, for the three months ended September 30, 2025 compared to the three months ended September 30, 2024, due to an increase in test volume and continued ASP expansion. The number of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CTD tests delivered in the</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three months ended September 30, 2025 increased by approximately 16% compared to the same period in 2024. In addition,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trailing twelve-month ASP increased by $37 per test to $441 per test in the third quarter of 2025 from $404 per test in the third quarter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Cost of revenue increased $1.6 million, or 29.7%, for the three months ended September 30, 2025 compared to the three months ended September 30, 2024. This increase was primarily due to increases in materials and supplies related to our new biomarkers and employee-related expenses (including salaries, benefits and stock-based compensation) related to increased headcount, and in facility-related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Gross margin as a percentage of revenue increased slightly to 58.4% for the three months ended September 30, 2025 compared to 55.8% for the three months ended September 30, 2024, primarily due to ASP expansion driven by our new biomarkers and improved overhead absorption.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general and administrative expenses increased $1.3 million, or 12.6%, for the three months ended September 30, 2025 compared to the three months ended September 30, 2024. This increase was primarily due to an increase in employee-related expenses (including salaries, benefits, travel and stock-based compensation) related to increased headcount, and an increase in outside services and facilities expense, partially offset by a decrease in other expenses.</w:t>
      </w:r>
    </w:p>
    <w:p>
      <w:pPr>
        <w:spacing w:after="0" w:line="17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expect that our selling, general and administrative expenses may increase moderately in absolute dollars in the near-term as we expand our sales force and invest in infrastructure to support expected volume and revenue growth, but should decrease year-over-year as a percentage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Research and development expenses increased $0.2 million, or 16.8%, for the three months ended September 30, 2025 compared to the three months ended September 30, 2024. This increase was primarily due to an increase in employee-related expenses (including salaries, benefits and stock-based compensation), partially offset by a decrease in outside services and other expenses.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that our research and development expenses may increase moderately in absolute dollars in the near-term as we execute on additional pipeline initiatives, but should decrease year-over-year as a percentage of revenue.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Interest expense increased by $0.8 million, including an increase of $0.3 million in non-cash interest expense, for the three months ended September 30, 2025 compared to the three months ended September 30, 2024, primarily due to the Perceptive Term Loan Facility that we entered into in April 2025 and the embedded finance lease related to the Amended Supply Agreement. We expect to continue to incur this interest expense under the Perceptive Term Loan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fair value of the warrant liability increased by $2.7 million for the three months ended September 30, 2025 compared to the three months ended September 30, 2024, primarily due to increases in the fair value of the underlying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income decreased by $0.2 million for the three months ended September 30, 2025 compared to the three months ended September 30, 2024, primarily due to a decrease in cash and cash equivalents held in money market funds.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2025 and 2024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7"/>
        </w:trPr>
        <w:tc>
          <w:tcPr>
            <w:tcW w:w="57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Change</w:t>
            </w: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49,944</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41,986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7,958</w:t>
            </w:r>
          </w:p>
        </w:tc>
      </w:tr>
      <w:tr>
        <w:trPr>
          <w:trHeight w:val="19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1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20,351</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17,351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w:t>
            </w:r>
          </w:p>
        </w:tc>
      </w:tr>
      <w:tr>
        <w:trPr>
          <w:trHeight w:val="200"/>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29,593</w:t>
            </w:r>
          </w:p>
        </w:tc>
        <w:tc>
          <w:tcPr>
            <w:tcW w:w="10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24,635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4,958</w:t>
            </w:r>
          </w:p>
        </w:tc>
      </w:tr>
      <w:tr>
        <w:trPr>
          <w:trHeight w:val="178"/>
        </w:trPr>
        <w:tc>
          <w:tcPr>
            <w:tcW w:w="57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07"/>
        </w:trPr>
        <w:tc>
          <w:tcPr>
            <w:tcW w:w="5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34,191</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31,169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3,022</w:t>
            </w:r>
          </w:p>
        </w:tc>
      </w:tr>
      <w:tr>
        <w:trPr>
          <w:trHeight w:val="198"/>
        </w:trPr>
        <w:tc>
          <w:tcPr>
            <w:tcW w:w="57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Research and development expenses</w:t>
            </w:r>
          </w:p>
        </w:tc>
        <w:tc>
          <w:tcPr>
            <w:tcW w:w="1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4,497</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778</w:t>
            </w:r>
          </w:p>
        </w:tc>
      </w:tr>
      <w:tr>
        <w:trPr>
          <w:trHeight w:val="200"/>
        </w:trPr>
        <w:tc>
          <w:tcPr>
            <w:tcW w:w="57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operating expenses</w:t>
            </w:r>
          </w:p>
        </w:tc>
        <w:tc>
          <w:tcPr>
            <w:tcW w:w="1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38,688</w:t>
            </w:r>
          </w:p>
        </w:tc>
        <w:tc>
          <w:tcPr>
            <w:tcW w:w="10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34,888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3,800</w:t>
            </w:r>
          </w:p>
        </w:tc>
      </w:tr>
      <w:tr>
        <w:trPr>
          <w:trHeight w:val="192"/>
        </w:trPr>
        <w:tc>
          <w:tcPr>
            <w:tcW w:w="578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1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(9,095)</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(10,253)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1,158</w:t>
            </w:r>
          </w:p>
        </w:tc>
      </w:tr>
      <w:tr>
        <w:trPr>
          <w:trHeight w:val="20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w:t>
            </w: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(295)</w:t>
            </w:r>
          </w:p>
        </w:tc>
      </w:tr>
      <w:tr>
        <w:trPr>
          <w:trHeight w:val="20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warrant liability</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(3,108)</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(3,108)</w:t>
            </w:r>
          </w:p>
        </w:tc>
      </w:tr>
      <w:tr>
        <w:trPr>
          <w:trHeight w:val="19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1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246</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w:t>
            </w:r>
          </w:p>
        </w:tc>
      </w:tr>
      <w:tr>
        <w:trPr>
          <w:trHeight w:val="200"/>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(3,886)</w:t>
            </w: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25"/>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00" w:type="dxa"/>
            <w:vAlign w:val="bottom"/>
            <w:tcBorders>
              <w:top w:val="single" w:sz="8" w:color="auto"/>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(3,924)</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increased $8.0 million, or 19.0%, for the nine months ended September 30, 2025 compared to the nine months ended September 30, 2024, due to continued ASP expansion, and an increase in test volume.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in the nine months ended September 30, 2025 increased by approximately 8% compared to the same period in 2024. In addition,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trailing twelve-month ASP increased by $37 per test to $441 per test in the third quarter of 2025 from $404 per test in the third quarter of 2024.</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Cost of revenue increased $3.0 million, or 17.3%, for the nine months ended September 30, 2025 compared to the nine months ended September 30, 2024. This increase was primarily due to increases in materials and supplies, related to our new biomarkers, increases in employee-related expenses (including salaries, benefits and stock-based compensation) related to increased headcount, as well as increased in facilities and other expenses, partially offset by decreases in shipping and handling costs, royalties, and outside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Gross margin as a percentage of revenue increased slightly to 59.3% for the nine months ended September 30, 2025 compared to 58.7% for the nine months ended September 30, 2024, primarily due to ASP expansion driven by our new biomarkers and improved overhead absorption.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general and administrative expenses increased $3.0 million, or 9.7%, for the nine months ended September 30, 2025 compared to the nine months ended September 30, 2024. This increase was primarily due to increases in employee-related expenses (including salaries, benefits and stock-based compensation) related to increased headcount, as well as increased travel expenses and outside services, partially offset by a decrease in facilities-related expenses.</w:t>
      </w:r>
    </w:p>
    <w:p>
      <w:pPr>
        <w:spacing w:after="0" w:line="17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expect that our selling, general and administrative expenses may increase moderately in absolute dollars in the near-term as we expand our sales force and invest in infrastructure to support expected volume and revenue growth, but should decrease year-over-year as a percentage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Research and development expenses increased $0.8 million, or 20.9%, for the nine months ended September 30, 2025 compared to the nine months ended September 30, 2024. This increase was primarily due to increases in employee-related expenses (including salaries, benefits and stock-based compensation), and outside services and other expenses.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that our research and development expenses may increase moderately in absolute dollars in the near-term as we execute on additional pipeline initiatives, but should remain flat or moderately decrease year-over-year as a percentage of revenue.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Interest expense increased by $1.3 million, including an increase of $0.5 million in non-cash interest expense, for the nine months ended September 30, 2025 compared to the nine months ended September 30, 2024, primarily due to the Perceptive Term Loan Facility that we entered into in April 2025 and the embedded finance lease related to the Amended Supply Agreement. We expect to continue to incur this interest expense under the Perceptive Term Loan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Loss on extinguishment of debt increased by $0.3 million for the nine months ended September 30, 2025 compared to the nine months ended September 30, 2024, as a result of our early payoff of all outstanding indebtedness under the Amended Loan Agreement in April 2025.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fair value of the warrant liability increased by $3.1 million for the nine months ended September 30, 2025 compared to the nine months ended September 30, 2024, primarily due to increases in the fair value of the underlying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Interest income decreased by $0.3 million for the nine months ended September 30, 2025 compared to the nine months ended September 30, 2024, primarily due to a decrease in cash and cash equivalents held in money market funds.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incurred net losses since our inception. For the nine months ended September 30, 2025 and 2024, we incurred a net loss of $15.3 million and $11.4 million, respectively, and we expect to incur additional losses in future periods. To date, we have generated only limited revenue, and despite any estimates we may make regarding our ability to become profitable, we may never achieve revenue sufficient to offset our expenses. As of September 30, 2025, we had an accumulated deficit of $ 309.6 million and cash and cash equivalents of $ 35.7 million. Cash in excess of immediate requirements is invested in accordance with our investment policy, primarily with a view to liquidity and capital preservation. Currently, our funds are held in cash. We held claims in the first quarter of the fiscal year ending December 31, 2025, which resulted in increases in its accounts receivable and an accelerated decrease in its cash and cash equivalents in the first quarter of the fiscal year ending December 31, 2025 and a reversal of that trend has occurred in the second and third quarters and is expected to continue in the remaining quarter of the fiscal year ending December 31, 2025. A total of an additional $50.0 million is available at our option under the Perceptive Term Loan Facility should we attain specified revenue levels and satisfy other conditions.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Since becoming a public company, our primary sources of capital have been cash inflows from product sales, sales of our common stock and, to a lesser extent, borrowings under term loan facilities.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obligations under the Perceptive Term Loan Facility are secured by a first-priority lien on substantially all of our existing and future assets. In connection with the Credit Agreement, we have issued the Warrant Certificate to Perceptive. The Warrant Certificate has a ten-year term from the applicable issuance date and includes protection for certain dilutive issuances and registration rights provisions. The Perceptive Term Loan Facility includes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3" w:name="page34"/>
    <w:bookmarkEnd w:id="33"/>
    <w:p>
      <w:pPr>
        <w:jc w:val="both"/>
        <w:spacing w:after="0" w:line="256" w:lineRule="auto"/>
        <w:rPr>
          <w:sz w:val="20"/>
          <w:szCs w:val="20"/>
          <w:color w:val="auto"/>
        </w:rPr>
      </w:pPr>
      <w:r>
        <w:rPr>
          <w:rFonts w:ascii="Arial" w:cs="Arial" w:eastAsia="Arial" w:hAnsi="Arial"/>
          <w:sz w:val="18"/>
          <w:szCs w:val="18"/>
          <w:color w:val="auto"/>
        </w:rPr>
        <w:t>customary affirmative, negative, and financial covenants. These include, among others, restrictions on additional indebtedness, liens, dividends, mergers and acquisitions, and affiliate transactions. The Perceptive Term Loan Facility also requires that we maintain a minimum unrestricted cash balance of $3.0 million and achieve specified net revenue levels on a quarterly basis beginning with the quarter ending June 30, 2025. In addition, upon the occurrence of an event of default, Perceptive, among other things, can declare all indebtedness due and payable immediately, which would adversely impact our liquidity and reduce the availability of our cash flows to fund working capital needs, capital expenditures and other general corporate purposes. As of September 30, 2025, we were in compliance with all covenants of the Perceptive Term Loan Facility.</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9, 2025, we issued and sold an aggregate of 3,852,500 shares of our common stock (inclusive of 502,500 shares pursuant to the exercise in full of the Underwriters’ option to purchase additional shares) at a public offering price of $5.25 per share, for aggregate net proceeds of $18.6 million after deducting underwriting discounts and commissions and other offering expenses.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17, 2023, we filed the 2023 Shelf Registration Statement covering the offering, from time to time, of up to $150.0 million shares of our common stock, preferred stock, debt securities, warrants and units, of which $129.8 million remains available for sale at September 30, 2025.</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15, 2022, we entered into the Sales Agreement with TD Securities, as sales agent, pursuant to which we may offer and sell, from time to time, shares of common stock having an aggregate offering price of up to $50.0 million. We are not obligated to sell any shares of the Company's common stock in the offering. During the three months ended September 30, 2025, we have sold 360,554 shares of common stock under the Sales Agreement at an average per share price of $9.82, for gross proceeds of approximately $ 3.5 million and net proceeds of approximately $3.4 million after deducting $0.1 million in commissions paid to TD Securities and other offering expenses payable by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primary use of cash is to fund our operations as we continue to grow our business. We expect to continue to incur operating losses in the near term. In the short-term, we expect increases in cost of revenue as a result of costs associated with the addition of the T-Cell Biomarkers and RA Sub-Profile Biomarkers to our AVISE® CTD test. We also anticipate increases in our selling, general and administrative expenses due to increased headcount. We expect research and development expenses to remain relatively consistent in the short-term. We believe we have sufficient laboratory capacity to support increased test volume. Cash used to fund operating expenses is impacted by the timing of when we pay expenses, as reflected in the change in our outstanding accounts payable and accrued expenses.</w:t>
      </w:r>
    </w:p>
    <w:p>
      <w:pPr>
        <w:spacing w:after="0" w:line="2"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We expect that our near- and longer-term liquidity requirements will continue to consist of working capital and general corporate expenses associated with the growth of our business, including payments we may be required to make upon the achievement of previously negotiated</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milestones associated with intellectual property we have licensed, payments related to non-cancelable purchase obligations for reagents, payments related to our principal and interest under our long term borrowing arrangements, payments for operating leases related to our</w:t>
      </w:r>
    </w:p>
    <w:p>
      <w:pPr>
        <w:spacing w:after="0" w:line="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 xml:space="preserve">office and laboratory space in Vista, CA and our office space in Carlsbad, CA and payments for operating and finance leases related to our laboratory equipment (see “Note 4.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and “Note 5.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our unaudited financial statements included in this Quarterly Report). Based on our current business plan, we believe that our existing cash and cash equivalents and our anticipated future revenue, will be sufficient to meet our anticipated cash requirements for at least the next 12 months from the date of this filing.</w:t>
      </w:r>
    </w:p>
    <w:p>
      <w:pPr>
        <w:spacing w:after="0" w:line="19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Actual results could vary as a result of a number of factors, including:</w:t>
      </w:r>
    </w:p>
    <w:p>
      <w:pPr>
        <w:spacing w:after="0" w:line="153" w:lineRule="exact"/>
        <w:rPr>
          <w:sz w:val="20"/>
          <w:szCs w:val="20"/>
          <w:color w:val="auto"/>
        </w:rPr>
      </w:pPr>
    </w:p>
    <w:p>
      <w:pPr>
        <w:ind w:left="660" w:hanging="328"/>
        <w:spacing w:after="0" w:line="28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improve AVISE® CTD ASP as a result of the launch of the T-Cell Biomarkers and RA Sub-Profile Biomarkers, in addition to our ability to achieve adequate reimbursement for these additions to our AVISE® CTD test offering;</w:t>
      </w:r>
    </w:p>
    <w:p>
      <w:pPr>
        <w:spacing w:after="0" w:line="1" w:lineRule="exact"/>
        <w:rPr>
          <w:rFonts w:ascii="Arial" w:cs="Arial" w:eastAsia="Arial" w:hAnsi="Arial"/>
          <w:sz w:val="18"/>
          <w:szCs w:val="18"/>
          <w:color w:val="auto"/>
        </w:rPr>
      </w:pPr>
    </w:p>
    <w:p>
      <w:pPr>
        <w:ind w:left="660" w:hanging="328"/>
        <w:spacing w:after="0" w:line="28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our testing products;</w:t>
      </w:r>
    </w:p>
    <w:p>
      <w:pPr>
        <w:ind w:left="660" w:right="20" w:hanging="328"/>
        <w:spacing w:after="0" w:line="23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3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4" w:name="page35"/>
    <w:bookmarkEnd w:id="34"/>
    <w:p>
      <w:pPr>
        <w:ind w:left="660" w:hanging="328"/>
        <w:spacing w:after="0" w:line="28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developing our product pipeline, including the costs associated with conducting our ongoing and future validation, utility and outcome studies as well as the success of our development and commercialization efforts; and</w:t>
      </w:r>
    </w:p>
    <w:p>
      <w:pPr>
        <w:spacing w:after="0" w:line="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establish additional partnerships or in-license, acquire or invest in complementary businesses or products as well as the success of our existing partnerships and/or in-licenses.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Until such time, if ever, as we can generate revenue to support our costs structure, we may be required to finance our operations as needed through equity offerings, debt financings or other capital sources, including potentially collaborations, licenses and other similar arrangements. The Perceptive Term Loan Facility involves, and any additional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commercial and strategic relationships. If we cannot expand our operations or otherwise capitalize on our business opportunities because we lack sufficient capital, our business, financial condition, and results of operations could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00" w:type="dxa"/>
            <w:vAlign w:val="bottom"/>
          </w:tcPr>
          <w:p>
            <w:pPr>
              <w:spacing w:after="0"/>
              <w:rPr>
                <w:sz w:val="17"/>
                <w:szCs w:val="17"/>
                <w:color w:val="auto"/>
              </w:rPr>
            </w:pPr>
          </w:p>
        </w:tc>
        <w:tc>
          <w:tcPr>
            <w:tcW w:w="3140" w:type="dxa"/>
            <w:vAlign w:val="bottom"/>
            <w:tcBorders>
              <w:bottom w:val="single" w:sz="8" w:color="auto"/>
            </w:tcBorders>
            <w:gridSpan w:val="5"/>
          </w:tcPr>
          <w:p>
            <w:pPr>
              <w:jc w:val="right"/>
              <w:ind w:right="308"/>
              <w:spacing w:after="0"/>
              <w:rPr>
                <w:sz w:val="20"/>
                <w:szCs w:val="20"/>
                <w:color w:val="auto"/>
              </w:rPr>
            </w:pPr>
            <w:r>
              <w:rPr>
                <w:rFonts w:ascii="Arial" w:cs="Arial" w:eastAsia="Arial" w:hAnsi="Arial"/>
                <w:sz w:val="14"/>
                <w:szCs w:val="14"/>
                <w:b w:val="1"/>
                <w:bCs w:val="1"/>
                <w:color w:val="auto"/>
              </w:rPr>
              <w:t>Nine Months Ended September 30,</w:t>
            </w:r>
          </w:p>
        </w:tc>
      </w:tr>
      <w:tr>
        <w:trPr>
          <w:trHeight w:val="195"/>
        </w:trPr>
        <w:tc>
          <w:tcPr>
            <w:tcW w:w="8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r>
      <w:tr>
        <w:trPr>
          <w:trHeight w:val="184"/>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8"/>
        </w:trPr>
        <w:tc>
          <w:tcPr>
            <w:tcW w:w="810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(10,612)</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(13,642)</w:t>
            </w:r>
          </w:p>
        </w:tc>
      </w:tr>
      <w:tr>
        <w:trPr>
          <w:trHeight w:val="20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r>
      <w:tr>
        <w:trPr>
          <w:trHeight w:val="19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w:t>
            </w:r>
          </w:p>
        </w:tc>
      </w:tr>
      <w:tr>
        <w:trPr>
          <w:trHeight w:val="225"/>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13,616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(14,458)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cash used in operating activities for the nine months ended September 30, 2025 was $10.6 million, primarily resulting from (i) our net loss of $15.3 million adjusted for non-cash charges of $7.9 million primarily related to stock-based compensation, depreciation, amortization, change in fair value of warrant liability, loss on extinguishment of debt, bad debt expense, non-cash lease expense and non-cash interest and</w:t>
      </w:r>
    </w:p>
    <w:p>
      <w:pPr>
        <w:spacing w:after="0" w:line="1" w:lineRule="exact"/>
        <w:rPr>
          <w:sz w:val="20"/>
          <w:szCs w:val="20"/>
          <w:color w:val="auto"/>
        </w:rPr>
      </w:pPr>
    </w:p>
    <w:p>
      <w:pPr>
        <w:jc w:val="both"/>
        <w:ind w:firstLine="8"/>
        <w:spacing w:after="0" w:line="258" w:lineRule="auto"/>
        <w:tabs>
          <w:tab w:leader="none" w:pos="286"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net operating assets of $3.3 million primarily related to net increases in accounts receivable and net decreases in operating lease liabilities and accrued and other current liabilities and accounts payable, partially offset by net decreases in prepaid expenses and other current assets and other assets.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operating activities for the nine months ended September 30, 2024 was $13.6 million, primarily resulting from (i) our net loss of $11.4 million adjusted for non-cash charges of $3.7 million primarily related to stock-based compensation, depreciation, amortization and non-cash lease expense and (ii) changes in our net operating assets of $ 6.0 million primarily related to net increases in accounts receivable and net decreases in accounts payable, operating lease liabilities and accrued and other current liabilities, partially offset by net decreases in prepaid expenses. The increase in accounts receivable was primarily due to delays in claim submission as part of our revenue cycle management initiatives.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used in investing activities for the nine months ended September 30, 2025 and 2024 was $0.6 million and $0.4 million, respectively, due to net purchases of property and equipment.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financing activities for the nine months ended September 30, 2025 was $24.8 million, primarily resulting from $23.7 million in proceeds from the issuance of debt and warrants, net of discounts, $18.6 million in proceeds from common stock issued in public offering, net of issuance costs, $3.4 million in proceeds from common stock issued under the Sales Agreement with TD Securities, net of issuance costs, and $0.4 million in proceeds from common stock issued under the ESPP, partially offset by a $19.7 million payment to early extinguish debt, $ 0.9 million in payments of debt issuance costs, $0.4 million in principal payments on notes payable obligations, and $0.3 million in principal payments on finance lease obligations.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used in financing activities for the nine months ended September 30, 2024 was $0.4 million, primarily resulting from payments on finance lease and notes payable obligations, partially offset by proceeds from purchases under our ESPP.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financial statements, which have been prepared in accordance with GAAP. The year-end condensed balance sheets data was derived from audited financial statements, but does not include all disclosures required by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description of our critical accounting estimates, please see the section entitled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 Critical Accounting Estimates</w:t>
      </w:r>
      <w:r>
        <w:rPr>
          <w:rFonts w:ascii="Arial" w:cs="Arial" w:eastAsia="Arial" w:hAnsi="Arial"/>
          <w:sz w:val="18"/>
          <w:szCs w:val="18"/>
          <w:color w:val="auto"/>
        </w:rPr>
        <w:t>" contained in our 2024 Annual Report. There have been no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our critical accounting policies and estimates during the nine months ended September 30, 2025 as compared to the critical accounting policies and estimates disclosed in the Management’s Discussion and Analysis of Financial Condition and Operations included in our 2024 Annual Report.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 xml:space="preserve">Please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unaudited condensed financial statements included in this Quarterly Report for a summary of recent accounting pronouncements.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6" w:name="page37"/>
    <w:bookmarkEnd w:id="36"/>
    <w:p>
      <w:pPr>
        <w:ind w:left="4240"/>
        <w:spacing w:after="0"/>
        <w:rPr>
          <w:sz w:val="20"/>
          <w:szCs w:val="20"/>
          <w:color w:val="auto"/>
        </w:rPr>
      </w:pPr>
      <w:r>
        <w:rPr>
          <w:rFonts w:ascii="Arial" w:cs="Arial" w:eastAsia="Arial" w:hAnsi="Arial"/>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that we file or submit under the Exchange Act is recorded, processed, summarized and reported within the time periods specified in the SEC’s rules and forms, and that the information we are required to disclose in such reports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Quarterly Report, the effectiveness of our disclosure controls and procedures (as defined in Rules 13a-15(e) and 15d-15(e) under the Exchange Act). Based on that evaluation, our principal executive officer and principal financial officer have concluded that as of September 30, 2025, our disclosure controls and procedures were effective at a reasonable level of assurance.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September 30, 2025 that have materially affected, or are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 and Procedures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of the inherent limitations in a cost-effective control system, misstatements due to error or fraud may occur and not be detected.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From time to time, we may be involved in legal proceedings or subject to claims incident to the ordinary course of business. Regardless of the outcome, such proceedings or claims can have an adverse impact on our business resulting from defense and settlement costs, diversion of resources and other factors. There can be no assurances that favorable outcomes will be obtained.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a settlement agreement with the DOJ, which has been previously disclosed, we made a single lump-sum remittance to the government in the amount of $0.7 million plus interest in October 2023. The U.S. Attorney’s Office dismissed the “covered conduct” elements in the qui tam with prejudice, while non-covered conduct was dismissed without prejudice. The DOJ excused itself from the case in connection with the settlement. Our ability to participate in federally funded healthcare programs was unaffected by the settlement. In November 2023, the complaint was unsealed and served on us. We filed a motion to dismiss the complaint. In February 2024, the relator filed a motion for leave to amend the complaint. We opposed this motion. In March 2025, the court granted our motion to dismiss with prejudice and denied the relator’s motion for leave to amend. On April 14, 2025, the relator filed an appeal with respect to this ruling. On July 15, 2025, the qui tam case was dismissed with prejudice by the presiding judge. Both the DOJ and the relator’s counsel filed a stipulation of dismissal in the matter.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material changes to the risk factors disclosed in Part I, Item 1A, "Risk Factors" of our 2024 Annual Report and Part II, Item IA, “Risk Factors” of our Quarterly Report on Form 10-Q for the quarter ended June 30, 2025.</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arrangements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three months ended September 30, 2025, none of our directors or officers adopted, modified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39" w:name="page40"/>
    <w:bookmarkEnd w:id="39"/>
    <w:p>
      <w:pPr>
        <w:ind w:left="4223"/>
        <w:spacing w:after="0"/>
        <w:rPr>
          <w:sz w:val="20"/>
          <w:szCs w:val="20"/>
          <w:color w:val="auto"/>
        </w:rPr>
      </w:pPr>
      <w:r>
        <w:rPr>
          <w:rFonts w:ascii="Arial" w:cs="Arial" w:eastAsia="Arial" w:hAnsi="Arial"/>
          <w:sz w:val="18"/>
          <w:szCs w:val="18"/>
          <w:b w:val="1"/>
          <w:bCs w:val="1"/>
          <w:color w:val="auto"/>
        </w:rPr>
        <w:t>Item 6. Exhibits</w:t>
      </w:r>
    </w:p>
    <w:p>
      <w:pPr>
        <w:spacing w:after="0" w:line="59" w:lineRule="exact"/>
        <w:rPr>
          <w:sz w:val="20"/>
          <w:szCs w:val="20"/>
          <w:color w:val="auto"/>
        </w:rPr>
      </w:pPr>
    </w:p>
    <w:tbl>
      <w:tblPr>
        <w:tblLayout w:type="fixed"/>
        <w:tblInd w:w="103" w:type="dxa"/>
        <w:tblCellMar>
          <w:top w:w="0" w:type="dxa"/>
          <w:left w:w="0" w:type="dxa"/>
          <w:bottom w:w="0" w:type="dxa"/>
          <w:right w:w="0" w:type="dxa"/>
        </w:tblCellMar>
      </w:tblP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Exhibit</w:t>
            </w:r>
          </w:p>
        </w:tc>
        <w:tc>
          <w:tcPr>
            <w:tcW w:w="3140" w:type="dxa"/>
            <w:vAlign w:val="bottom"/>
            <w:gridSpan w:val="30"/>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3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File No.</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Exhibit Filing</w:t>
            </w:r>
          </w:p>
        </w:tc>
        <w:tc>
          <w:tcPr>
            <w:tcW w:w="13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85"/>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140" w:type="dxa"/>
            <w:vAlign w:val="bottom"/>
            <w:tcBorders>
              <w:bottom w:val="single" w:sz="8" w:color="auto"/>
            </w:tcBorders>
            <w:gridSpan w:val="30"/>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Date</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56"/>
        </w:trPr>
        <w:tc>
          <w:tcPr>
            <w:tcW w:w="840" w:type="dxa"/>
            <w:vAlign w:val="bottom"/>
          </w:tcPr>
          <w:p>
            <w:pPr>
              <w:ind w:left="20"/>
              <w:spacing w:after="0" w:line="155" w:lineRule="exact"/>
              <w:rPr>
                <w:sz w:val="20"/>
                <w:szCs w:val="20"/>
                <w:color w:val="auto"/>
              </w:rPr>
            </w:pPr>
            <w:r>
              <w:rPr>
                <w:rFonts w:ascii="Arial" w:cs="Arial" w:eastAsia="Arial" w:hAnsi="Arial"/>
                <w:sz w:val="14"/>
                <w:szCs w:val="14"/>
                <w:color w:val="auto"/>
              </w:rPr>
              <w:t>3.1</w:t>
            </w:r>
          </w:p>
        </w:tc>
        <w:tc>
          <w:tcPr>
            <w:tcW w:w="3140" w:type="dxa"/>
            <w:vAlign w:val="bottom"/>
            <w:gridSpan w:val="30"/>
          </w:tcPr>
          <w:p>
            <w:pPr>
              <w:spacing w:after="0" w:line="155" w:lineRule="exact"/>
              <w:rPr>
                <w:rFonts w:ascii="Arial" w:cs="Arial" w:eastAsia="Arial" w:hAnsi="Arial"/>
                <w:sz w:val="14"/>
                <w:szCs w:val="14"/>
                <w:color w:val="0000FF"/>
              </w:rPr>
            </w:pPr>
            <w:hyperlink r:id="rId53">
              <w:r>
                <w:rPr>
                  <w:rFonts w:ascii="Arial" w:cs="Arial" w:eastAsia="Arial" w:hAnsi="Arial"/>
                  <w:sz w:val="14"/>
                  <w:szCs w:val="14"/>
                  <w:color w:val="0000FF"/>
                </w:rPr>
                <w:t>Amended and Restated Certificate of</w:t>
              </w:r>
            </w:hyperlink>
          </w:p>
        </w:tc>
        <w:tc>
          <w:tcPr>
            <w:tcW w:w="800" w:type="dxa"/>
            <w:vAlign w:val="bottom"/>
          </w:tcPr>
          <w:p>
            <w:pPr>
              <w:jc w:val="center"/>
              <w:ind w:left="68"/>
              <w:spacing w:after="0" w:line="155" w:lineRule="exact"/>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line="155" w:lineRule="exact"/>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line="155" w:lineRule="exact"/>
              <w:rPr>
                <w:sz w:val="20"/>
                <w:szCs w:val="20"/>
                <w:color w:val="auto"/>
              </w:rPr>
            </w:pPr>
            <w:r>
              <w:rPr>
                <w:rFonts w:ascii="Arial" w:cs="Arial" w:eastAsia="Arial" w:hAnsi="Arial"/>
                <w:sz w:val="14"/>
                <w:szCs w:val="14"/>
                <w:color w:val="auto"/>
              </w:rPr>
              <w:t>3.1</w:t>
            </w:r>
          </w:p>
        </w:tc>
        <w:tc>
          <w:tcPr>
            <w:tcW w:w="1140" w:type="dxa"/>
            <w:vAlign w:val="bottom"/>
          </w:tcPr>
          <w:p>
            <w:pPr>
              <w:jc w:val="center"/>
              <w:spacing w:after="0" w:line="155" w:lineRule="exact"/>
              <w:rPr>
                <w:sz w:val="20"/>
                <w:szCs w:val="20"/>
                <w:color w:val="auto"/>
              </w:rPr>
            </w:pPr>
            <w:r>
              <w:rPr>
                <w:rFonts w:ascii="Arial" w:cs="Arial" w:eastAsia="Arial" w:hAnsi="Arial"/>
                <w:sz w:val="14"/>
                <w:szCs w:val="14"/>
                <w:color w:val="auto"/>
              </w:rPr>
              <w:t>9/23/2019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88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rPr>
            </w:pPr>
            <w:hyperlink r:id="rId53">
              <w:r>
                <w:rPr>
                  <w:rFonts w:ascii="Arial" w:cs="Arial" w:eastAsia="Arial" w:hAnsi="Arial"/>
                  <w:sz w:val="14"/>
                  <w:szCs w:val="14"/>
                  <w:color w:val="0000FF"/>
                </w:rPr>
                <w:t>Incorporation.</w:t>
              </w:r>
            </w:hyperlink>
          </w:p>
        </w:tc>
        <w:tc>
          <w:tcPr>
            <w:tcW w:w="1480" w:type="dxa"/>
            <w:vAlign w:val="bottom"/>
            <w:tcBorders>
              <w:top w:val="single" w:sz="8" w:color="0000FF"/>
            </w:tcBorders>
            <w:gridSpan w:val="8"/>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3.2</w:t>
            </w:r>
          </w:p>
        </w:tc>
        <w:tc>
          <w:tcPr>
            <w:tcW w:w="3140" w:type="dxa"/>
            <w:vAlign w:val="bottom"/>
            <w:gridSpan w:val="30"/>
          </w:tcPr>
          <w:p>
            <w:pPr>
              <w:spacing w:after="0"/>
              <w:rPr>
                <w:rFonts w:ascii="Arial" w:cs="Arial" w:eastAsia="Arial" w:hAnsi="Arial"/>
                <w:sz w:val="14"/>
                <w:szCs w:val="14"/>
                <w:color w:val="0000FF"/>
              </w:rPr>
            </w:pPr>
            <w:hyperlink r:id="rId54">
              <w:r>
                <w:rPr>
                  <w:rFonts w:ascii="Arial" w:cs="Arial" w:eastAsia="Arial" w:hAnsi="Arial"/>
                  <w:sz w:val="14"/>
                  <w:szCs w:val="14"/>
                  <w:color w:val="0000FF"/>
                </w:rPr>
                <w:t>Amended and Restated Bylaws.</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tcPr>
          <w:p>
            <w:pPr>
              <w:jc w:val="center"/>
              <w:spacing w:after="0"/>
              <w:rPr>
                <w:sz w:val="20"/>
                <w:szCs w:val="20"/>
                <w:color w:val="auto"/>
              </w:rPr>
            </w:pPr>
            <w:r>
              <w:rPr>
                <w:rFonts w:ascii="Arial" w:cs="Arial" w:eastAsia="Arial" w:hAnsi="Arial"/>
                <w:sz w:val="14"/>
                <w:szCs w:val="14"/>
                <w:color w:val="auto"/>
              </w:rPr>
              <w:t>3/22/2021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3.3</w:t>
            </w:r>
          </w:p>
        </w:tc>
        <w:tc>
          <w:tcPr>
            <w:tcW w:w="3140" w:type="dxa"/>
            <w:vAlign w:val="bottom"/>
            <w:gridSpan w:val="30"/>
          </w:tcPr>
          <w:p>
            <w:pPr>
              <w:spacing w:after="0"/>
              <w:rPr>
                <w:rFonts w:ascii="Arial" w:cs="Arial" w:eastAsia="Arial" w:hAnsi="Arial"/>
                <w:sz w:val="14"/>
                <w:szCs w:val="14"/>
                <w:color w:val="0000FF"/>
              </w:rPr>
            </w:pPr>
            <w:hyperlink r:id="rId55">
              <w:r>
                <w:rPr>
                  <w:rFonts w:ascii="Arial" w:cs="Arial" w:eastAsia="Arial" w:hAnsi="Arial"/>
                  <w:sz w:val="14"/>
                  <w:szCs w:val="14"/>
                  <w:color w:val="0000FF"/>
                </w:rPr>
                <w:t>Amendment to Amended and Restated Bylaws,</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tcPr>
          <w:p>
            <w:pPr>
              <w:jc w:val="center"/>
              <w:spacing w:after="0"/>
              <w:rPr>
                <w:sz w:val="20"/>
                <w:szCs w:val="20"/>
                <w:color w:val="auto"/>
              </w:rPr>
            </w:pPr>
            <w:r>
              <w:rPr>
                <w:rFonts w:ascii="Arial" w:cs="Arial" w:eastAsia="Arial" w:hAnsi="Arial"/>
                <w:sz w:val="14"/>
                <w:szCs w:val="14"/>
                <w:color w:val="auto"/>
              </w:rPr>
              <w:t>1/23/2023</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040" w:type="dxa"/>
            <w:vAlign w:val="bottom"/>
            <w:tcBorders>
              <w:top w:val="single" w:sz="8" w:color="0000FF"/>
            </w:tcBorders>
            <w:gridSpan w:val="26"/>
          </w:tcPr>
          <w:p>
            <w:pPr>
              <w:spacing w:after="0" w:line="129" w:lineRule="exact"/>
              <w:rPr>
                <w:rFonts w:ascii="Arial" w:cs="Arial" w:eastAsia="Arial" w:hAnsi="Arial"/>
                <w:sz w:val="14"/>
                <w:szCs w:val="14"/>
                <w:color w:val="0000FF"/>
              </w:rPr>
            </w:pPr>
            <w:hyperlink r:id="rId55">
              <w:r>
                <w:rPr>
                  <w:rFonts w:ascii="Arial" w:cs="Arial" w:eastAsia="Arial" w:hAnsi="Arial"/>
                  <w:sz w:val="14"/>
                  <w:szCs w:val="14"/>
                  <w:color w:val="0000FF"/>
                </w:rPr>
                <w:t>dated January 19, 2023</w:t>
              </w:r>
              <w:r>
                <w:rPr>
                  <w:rFonts w:ascii="Arial" w:cs="Arial" w:eastAsia="Arial" w:hAnsi="Arial"/>
                  <w:sz w:val="14"/>
                  <w:szCs w:val="14"/>
                  <w:color w:val="000000"/>
                </w:rPr>
                <w:t>.</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4.1</w:t>
            </w:r>
          </w:p>
        </w:tc>
        <w:tc>
          <w:tcPr>
            <w:tcW w:w="3140" w:type="dxa"/>
            <w:vAlign w:val="bottom"/>
            <w:gridSpan w:val="30"/>
          </w:tcPr>
          <w:p>
            <w:pPr>
              <w:spacing w:after="0"/>
              <w:rPr>
                <w:rFonts w:ascii="Arial" w:cs="Arial" w:eastAsia="Arial" w:hAnsi="Arial"/>
                <w:sz w:val="14"/>
                <w:szCs w:val="14"/>
                <w:color w:val="0000FF"/>
              </w:rPr>
            </w:pPr>
            <w:hyperlink r:id="rId56">
              <w:r>
                <w:rPr>
                  <w:rFonts w:ascii="Arial" w:cs="Arial" w:eastAsia="Arial" w:hAnsi="Arial"/>
                  <w:sz w:val="14"/>
                  <w:szCs w:val="14"/>
                  <w:color w:val="0000FF"/>
                </w:rPr>
                <w:t>Specimen stock certificate evidencing the shares</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4.1</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120" w:type="dxa"/>
            <w:vAlign w:val="bottom"/>
            <w:tcBorders>
              <w:top w:val="single" w:sz="8" w:color="0000FF"/>
            </w:tcBorders>
            <w:gridSpan w:val="29"/>
          </w:tcPr>
          <w:p>
            <w:pPr>
              <w:spacing w:after="0" w:line="129" w:lineRule="exact"/>
              <w:rPr>
                <w:rFonts w:ascii="Arial" w:cs="Arial" w:eastAsia="Arial" w:hAnsi="Arial"/>
                <w:sz w:val="14"/>
                <w:szCs w:val="14"/>
                <w:color w:val="0000FF"/>
              </w:rPr>
            </w:pPr>
            <w:hyperlink r:id="rId56">
              <w:r>
                <w:rPr>
                  <w:rFonts w:ascii="Arial" w:cs="Arial" w:eastAsia="Arial" w:hAnsi="Arial"/>
                  <w:sz w:val="14"/>
                  <w:szCs w:val="14"/>
                  <w:color w:val="0000FF"/>
                </w:rPr>
                <w:t>of common stock.</w:t>
              </w:r>
            </w:hyperlink>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4.2</w:t>
            </w:r>
          </w:p>
        </w:tc>
        <w:tc>
          <w:tcPr>
            <w:tcW w:w="3140" w:type="dxa"/>
            <w:vAlign w:val="bottom"/>
            <w:gridSpan w:val="30"/>
          </w:tcPr>
          <w:p>
            <w:pPr>
              <w:spacing w:after="0"/>
              <w:rPr>
                <w:rFonts w:ascii="Arial" w:cs="Arial" w:eastAsia="Arial" w:hAnsi="Arial"/>
                <w:sz w:val="14"/>
                <w:szCs w:val="14"/>
                <w:color w:val="0000FF"/>
              </w:rPr>
            </w:pPr>
            <w:hyperlink r:id="rId57">
              <w:r>
                <w:rPr>
                  <w:rFonts w:ascii="Arial" w:cs="Arial" w:eastAsia="Arial" w:hAnsi="Arial"/>
                  <w:sz w:val="14"/>
                  <w:szCs w:val="14"/>
                  <w:color w:val="0000FF"/>
                </w:rPr>
                <w:t>Form of Common Stock Purchase Warrant</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4.4</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700" w:type="dxa"/>
            <w:vAlign w:val="bottom"/>
            <w:tcBorders>
              <w:top w:val="single" w:sz="8" w:color="0000FF"/>
            </w:tcBorders>
            <w:gridSpan w:val="17"/>
          </w:tcPr>
          <w:p>
            <w:pPr>
              <w:spacing w:after="0" w:line="129" w:lineRule="exact"/>
              <w:rPr>
                <w:rFonts w:ascii="Arial" w:cs="Arial" w:eastAsia="Arial" w:hAnsi="Arial"/>
                <w:sz w:val="14"/>
                <w:szCs w:val="14"/>
                <w:color w:val="0000FF"/>
              </w:rPr>
            </w:pPr>
            <w:hyperlink r:id="rId57">
              <w:r>
                <w:rPr>
                  <w:rFonts w:ascii="Arial" w:cs="Arial" w:eastAsia="Arial" w:hAnsi="Arial"/>
                  <w:sz w:val="14"/>
                  <w:szCs w:val="14"/>
                  <w:color w:val="0000FF"/>
                </w:rPr>
                <w:t>issued to investors by the Company in</w:t>
              </w:r>
            </w:hyperlink>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tcPr>
          <w:p>
            <w:pPr>
              <w:spacing w:after="0"/>
              <w:rPr>
                <w:sz w:val="10"/>
                <w:szCs w:val="10"/>
                <w:color w:val="auto"/>
              </w:rPr>
            </w:pPr>
          </w:p>
        </w:tc>
        <w:tc>
          <w:tcPr>
            <w:tcW w:w="3140" w:type="dxa"/>
            <w:vAlign w:val="bottom"/>
            <w:gridSpan w:val="30"/>
          </w:tcPr>
          <w:p>
            <w:pPr>
              <w:spacing w:after="0" w:line="115" w:lineRule="exact"/>
              <w:rPr>
                <w:rFonts w:ascii="Arial" w:cs="Arial" w:eastAsia="Arial" w:hAnsi="Arial"/>
                <w:sz w:val="13"/>
                <w:szCs w:val="13"/>
                <w:color w:val="0000FF"/>
              </w:rPr>
            </w:pPr>
            <w:hyperlink r:id="rId57">
              <w:r>
                <w:rPr>
                  <w:rFonts w:ascii="Arial" w:cs="Arial" w:eastAsia="Arial" w:hAnsi="Arial"/>
                  <w:sz w:val="13"/>
                  <w:szCs w:val="13"/>
                  <w:color w:val="0000FF"/>
                </w:rPr>
                <w:t>connection with private placement financings.</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4.3</w:t>
            </w:r>
          </w:p>
        </w:tc>
        <w:tc>
          <w:tcPr>
            <w:tcW w:w="2880" w:type="dxa"/>
            <w:vAlign w:val="bottom"/>
            <w:tcBorders>
              <w:top w:val="single" w:sz="8" w:color="0000FF"/>
            </w:tcBorders>
            <w:gridSpan w:val="20"/>
          </w:tcPr>
          <w:p>
            <w:pPr>
              <w:spacing w:after="0"/>
              <w:rPr>
                <w:rFonts w:ascii="Arial" w:cs="Arial" w:eastAsia="Arial" w:hAnsi="Arial"/>
                <w:sz w:val="14"/>
                <w:szCs w:val="14"/>
                <w:color w:val="0000FF"/>
              </w:rPr>
            </w:pPr>
            <w:hyperlink r:id="rId58">
              <w:r>
                <w:rPr>
                  <w:rFonts w:ascii="Arial" w:cs="Arial" w:eastAsia="Arial" w:hAnsi="Arial"/>
                  <w:sz w:val="14"/>
                  <w:szCs w:val="14"/>
                  <w:color w:val="0000FF"/>
                </w:rPr>
                <w:t>Form of Common Stock Purchase Warrant to</w:t>
              </w:r>
            </w:hyperlink>
          </w:p>
        </w:tc>
        <w:tc>
          <w:tcPr>
            <w:tcW w:w="260" w:type="dxa"/>
            <w:vAlign w:val="bottom"/>
            <w:gridSpan w:val="10"/>
          </w:tcPr>
          <w:p>
            <w:pPr>
              <w:spacing w:after="0"/>
              <w:rPr>
                <w:sz w:val="15"/>
                <w:szCs w:val="15"/>
                <w:color w:val="auto"/>
              </w:rPr>
            </w:pPr>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4.8</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40" w:type="dxa"/>
            <w:vAlign w:val="bottom"/>
          </w:tcPr>
          <w:p>
            <w:pPr>
              <w:spacing w:after="0"/>
              <w:rPr>
                <w:sz w:val="11"/>
                <w:szCs w:val="11"/>
                <w:color w:val="auto"/>
              </w:rPr>
            </w:pPr>
          </w:p>
        </w:tc>
        <w:tc>
          <w:tcPr>
            <w:tcW w:w="3140" w:type="dxa"/>
            <w:vAlign w:val="bottom"/>
            <w:gridSpan w:val="30"/>
          </w:tcPr>
          <w:p>
            <w:pPr>
              <w:spacing w:after="0" w:line="129" w:lineRule="exact"/>
              <w:rPr>
                <w:rFonts w:ascii="Arial" w:cs="Arial" w:eastAsia="Arial" w:hAnsi="Arial"/>
                <w:sz w:val="14"/>
                <w:szCs w:val="14"/>
                <w:color w:val="0000FF"/>
              </w:rPr>
            </w:pPr>
            <w:hyperlink r:id="rId58">
              <w:r>
                <w:rPr>
                  <w:rFonts w:ascii="Arial" w:cs="Arial" w:eastAsia="Arial" w:hAnsi="Arial"/>
                  <w:sz w:val="14"/>
                  <w:szCs w:val="14"/>
                  <w:color w:val="0000FF"/>
                </w:rPr>
                <w:t>purchase common stock issued to investors by</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980" w:type="dxa"/>
            <w:vAlign w:val="bottom"/>
            <w:tcBorders>
              <w:top w:val="single" w:sz="8" w:color="0000FF"/>
            </w:tcBorders>
            <w:gridSpan w:val="23"/>
          </w:tcPr>
          <w:p>
            <w:pPr>
              <w:spacing w:after="0" w:line="115" w:lineRule="exact"/>
              <w:rPr>
                <w:rFonts w:ascii="Arial" w:cs="Arial" w:eastAsia="Arial" w:hAnsi="Arial"/>
                <w:sz w:val="13"/>
                <w:szCs w:val="13"/>
                <w:color w:val="0000FF"/>
              </w:rPr>
            </w:pPr>
            <w:hyperlink r:id="rId58">
              <w:r>
                <w:rPr>
                  <w:rFonts w:ascii="Arial" w:cs="Arial" w:eastAsia="Arial" w:hAnsi="Arial"/>
                  <w:sz w:val="13"/>
                  <w:szCs w:val="13"/>
                  <w:color w:val="0000FF"/>
                </w:rPr>
                <w:t>the Company in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4.4</w:t>
            </w:r>
          </w:p>
        </w:tc>
        <w:tc>
          <w:tcPr>
            <w:tcW w:w="1720" w:type="dxa"/>
            <w:vAlign w:val="bottom"/>
            <w:tcBorders>
              <w:bottom w:val="single" w:sz="8" w:color="0000FF"/>
            </w:tcBorders>
            <w:gridSpan w:val="8"/>
          </w:tcPr>
          <w:p>
            <w:pPr>
              <w:spacing w:after="0"/>
              <w:rPr>
                <w:rFonts w:ascii="Arial" w:cs="Arial" w:eastAsia="Arial" w:hAnsi="Arial"/>
                <w:sz w:val="14"/>
                <w:szCs w:val="14"/>
                <w:color w:val="0000FF"/>
              </w:rPr>
            </w:pPr>
            <w:hyperlink r:id="rId59">
              <w:r>
                <w:rPr>
                  <w:rFonts w:ascii="Arial" w:cs="Arial" w:eastAsia="Arial" w:hAnsi="Arial"/>
                  <w:sz w:val="14"/>
                  <w:szCs w:val="14"/>
                  <w:color w:val="0000FF"/>
                </w:rPr>
                <w:t>Form of Exchange Warrant</w:t>
              </w:r>
            </w:hyperlink>
          </w:p>
        </w:tc>
        <w:tc>
          <w:tcPr>
            <w:tcW w:w="1420" w:type="dxa"/>
            <w:vAlign w:val="bottom"/>
            <w:gridSpan w:val="22"/>
          </w:tcPr>
          <w:p>
            <w:pPr>
              <w:spacing w:after="0"/>
              <w:rPr>
                <w:sz w:val="15"/>
                <w:szCs w:val="15"/>
                <w:color w:val="auto"/>
              </w:rPr>
            </w:pPr>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4.5</w:t>
            </w:r>
          </w:p>
        </w:tc>
        <w:tc>
          <w:tcPr>
            <w:tcW w:w="1140" w:type="dxa"/>
            <w:vAlign w:val="bottom"/>
          </w:tcPr>
          <w:p>
            <w:pPr>
              <w:jc w:val="center"/>
              <w:spacing w:after="0"/>
              <w:rPr>
                <w:sz w:val="20"/>
                <w:szCs w:val="20"/>
                <w:color w:val="auto"/>
              </w:rPr>
            </w:pPr>
            <w:r>
              <w:rPr>
                <w:rFonts w:ascii="Arial" w:cs="Arial" w:eastAsia="Arial" w:hAnsi="Arial"/>
                <w:sz w:val="14"/>
                <w:szCs w:val="14"/>
                <w:color w:val="auto"/>
              </w:rPr>
              <w:t>8/9/2021</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4.5</w:t>
            </w:r>
          </w:p>
        </w:tc>
        <w:tc>
          <w:tcPr>
            <w:tcW w:w="3140" w:type="dxa"/>
            <w:vAlign w:val="bottom"/>
            <w:gridSpan w:val="30"/>
          </w:tcPr>
          <w:p>
            <w:pPr>
              <w:spacing w:after="0"/>
              <w:rPr>
                <w:rFonts w:ascii="Arial" w:cs="Arial" w:eastAsia="Arial" w:hAnsi="Arial"/>
                <w:sz w:val="14"/>
                <w:szCs w:val="14"/>
                <w:color w:val="0000FF"/>
              </w:rPr>
            </w:pPr>
            <w:hyperlink r:id="rId60">
              <w:r>
                <w:rPr>
                  <w:rFonts w:ascii="Arial" w:cs="Arial" w:eastAsia="Arial" w:hAnsi="Arial"/>
                  <w:sz w:val="14"/>
                  <w:szCs w:val="14"/>
                  <w:color w:val="0000FF"/>
                </w:rPr>
                <w:t>Warrant Certificate, dated April 25, 2025, issued</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4.1</w:t>
            </w:r>
          </w:p>
        </w:tc>
        <w:tc>
          <w:tcPr>
            <w:tcW w:w="1140" w:type="dxa"/>
            <w:vAlign w:val="bottom"/>
          </w:tcPr>
          <w:p>
            <w:pPr>
              <w:jc w:val="center"/>
              <w:spacing w:after="0"/>
              <w:rPr>
                <w:sz w:val="20"/>
                <w:szCs w:val="20"/>
                <w:color w:val="auto"/>
              </w:rPr>
            </w:pPr>
            <w:r>
              <w:rPr>
                <w:rFonts w:ascii="Arial" w:cs="Arial" w:eastAsia="Arial" w:hAnsi="Arial"/>
                <w:sz w:val="14"/>
                <w:szCs w:val="14"/>
                <w:color w:val="auto"/>
              </w:rPr>
              <w:t>4/28/2025</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060" w:type="dxa"/>
            <w:vAlign w:val="bottom"/>
            <w:tcBorders>
              <w:top w:val="single" w:sz="8" w:color="0000FF"/>
            </w:tcBorders>
            <w:gridSpan w:val="27"/>
          </w:tcPr>
          <w:p>
            <w:pPr>
              <w:spacing w:after="0" w:line="129" w:lineRule="exact"/>
              <w:rPr>
                <w:rFonts w:ascii="Arial" w:cs="Arial" w:eastAsia="Arial" w:hAnsi="Arial"/>
                <w:sz w:val="14"/>
                <w:szCs w:val="14"/>
                <w:color w:val="0000FF"/>
              </w:rPr>
            </w:pPr>
            <w:hyperlink r:id="rId60">
              <w:r>
                <w:rPr>
                  <w:rFonts w:ascii="Arial" w:cs="Arial" w:eastAsia="Arial" w:hAnsi="Arial"/>
                  <w:sz w:val="14"/>
                  <w:szCs w:val="14"/>
                  <w:color w:val="0000FF"/>
                </w:rPr>
                <w:t>by the Company to Perceptive Credit Holdings</w:t>
              </w:r>
            </w:hyperlink>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40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w w:val="97"/>
              </w:rPr>
            </w:pPr>
            <w:hyperlink r:id="rId60">
              <w:r>
                <w:rPr>
                  <w:rFonts w:ascii="Arial" w:cs="Arial" w:eastAsia="Arial" w:hAnsi="Arial"/>
                  <w:sz w:val="13"/>
                  <w:szCs w:val="13"/>
                  <w:color w:val="0000FF"/>
                  <w:w w:val="97"/>
                </w:rPr>
                <w:t>IV, LP.</w:t>
              </w:r>
            </w:hyperlink>
          </w:p>
        </w:tc>
        <w:tc>
          <w:tcPr>
            <w:tcW w:w="2540" w:type="dxa"/>
            <w:vAlign w:val="bottom"/>
            <w:tcBorders>
              <w:top w:val="single" w:sz="8" w:color="0000FF"/>
            </w:tcBorders>
            <w:gridSpan w:val="21"/>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10.1</w:t>
            </w:r>
          </w:p>
        </w:tc>
        <w:tc>
          <w:tcPr>
            <w:tcW w:w="3140" w:type="dxa"/>
            <w:vAlign w:val="bottom"/>
            <w:gridSpan w:val="30"/>
          </w:tcPr>
          <w:p>
            <w:pPr>
              <w:spacing w:after="0"/>
              <w:rPr>
                <w:rFonts w:ascii="Arial" w:cs="Arial" w:eastAsia="Arial" w:hAnsi="Arial"/>
                <w:sz w:val="14"/>
                <w:szCs w:val="14"/>
                <w:color w:val="0000FF"/>
              </w:rPr>
            </w:pPr>
            <w:hyperlink r:id="rId61">
              <w:r>
                <w:rPr>
                  <w:rFonts w:ascii="Arial" w:cs="Arial" w:eastAsia="Arial" w:hAnsi="Arial"/>
                  <w:sz w:val="14"/>
                  <w:szCs w:val="14"/>
                  <w:color w:val="0000FF"/>
                </w:rPr>
                <w:t>Amended &amp; Restated Non-Employee Director</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10.1</w:t>
            </w:r>
          </w:p>
        </w:tc>
        <w:tc>
          <w:tcPr>
            <w:tcW w:w="1140" w:type="dxa"/>
            <w:vAlign w:val="bottom"/>
          </w:tcPr>
          <w:p>
            <w:pPr>
              <w:jc w:val="center"/>
              <w:spacing w:after="0"/>
              <w:rPr>
                <w:sz w:val="20"/>
                <w:szCs w:val="20"/>
                <w:color w:val="auto"/>
              </w:rPr>
            </w:pPr>
            <w:r>
              <w:rPr>
                <w:rFonts w:ascii="Arial" w:cs="Arial" w:eastAsia="Arial" w:hAnsi="Arial"/>
                <w:sz w:val="14"/>
                <w:szCs w:val="14"/>
                <w:color w:val="auto"/>
              </w:rPr>
              <w:t>7/17/2025</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152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rPr>
            </w:pPr>
            <w:hyperlink r:id="rId61">
              <w:r>
                <w:rPr>
                  <w:rFonts w:ascii="Arial" w:cs="Arial" w:eastAsia="Arial" w:hAnsi="Arial"/>
                  <w:sz w:val="14"/>
                  <w:szCs w:val="14"/>
                  <w:color w:val="0000FF"/>
                </w:rPr>
                <w:t>Compensation Program</w:t>
              </w:r>
            </w:hyperlink>
          </w:p>
        </w:tc>
        <w:tc>
          <w:tcPr>
            <w:tcW w:w="1380" w:type="dxa"/>
            <w:vAlign w:val="bottom"/>
            <w:tcBorders>
              <w:top w:val="single" w:sz="8" w:color="0000FF"/>
            </w:tcBorders>
            <w:gridSpan w:val="14"/>
          </w:tcPr>
          <w:p>
            <w:pPr>
              <w:spacing w:after="0"/>
              <w:rPr>
                <w:sz w:val="11"/>
                <w:szCs w:val="11"/>
                <w:color w:val="auto"/>
              </w:rPr>
            </w:pPr>
          </w:p>
        </w:tc>
        <w:tc>
          <w:tcPr>
            <w:tcW w:w="1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31.1</w:t>
            </w:r>
          </w:p>
        </w:tc>
        <w:tc>
          <w:tcPr>
            <w:tcW w:w="3140" w:type="dxa"/>
            <w:vAlign w:val="bottom"/>
            <w:gridSpan w:val="30"/>
          </w:tcPr>
          <w:p>
            <w:pPr>
              <w:spacing w:after="0"/>
              <w:rPr>
                <w:sz w:val="20"/>
                <w:szCs w:val="20"/>
                <w:color w:val="auto"/>
              </w:rPr>
            </w:pPr>
            <w:r>
              <w:rPr>
                <w:rFonts w:ascii="Arial" w:cs="Arial" w:eastAsia="Arial" w:hAnsi="Arial"/>
                <w:sz w:val="14"/>
                <w:szCs w:val="14"/>
                <w:color w:val="0000FF"/>
              </w:rPr>
              <w:t>Certificate of Principal Executive Officer,</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80" w:type="dxa"/>
            <w:vAlign w:val="bottom"/>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0" w:type="dxa"/>
            <w:vAlign w:val="bottom"/>
          </w:tcPr>
          <w:p>
            <w:pPr>
              <w:spacing w:after="0"/>
              <w:rPr>
                <w:sz w:val="11"/>
                <w:szCs w:val="11"/>
                <w:color w:val="auto"/>
              </w:rPr>
            </w:pPr>
          </w:p>
        </w:tc>
        <w:tc>
          <w:tcPr>
            <w:tcW w:w="3140" w:type="dxa"/>
            <w:vAlign w:val="bottom"/>
            <w:gridSpan w:val="30"/>
          </w:tcPr>
          <w:p>
            <w:pPr>
              <w:spacing w:after="0" w:line="129" w:lineRule="exact"/>
              <w:rPr>
                <w:sz w:val="20"/>
                <w:szCs w:val="20"/>
                <w:color w:val="auto"/>
              </w:rPr>
            </w:pPr>
            <w:r>
              <w:rPr>
                <w:rFonts w:ascii="Arial" w:cs="Arial" w:eastAsia="Arial" w:hAnsi="Arial"/>
                <w:sz w:val="14"/>
                <w:szCs w:val="14"/>
                <w:color w:val="0000FF"/>
              </w:rPr>
              <w:t>pursuant to Rule 13a-14(a)/15d-14(a), as</w:t>
            </w: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600" w:type="dxa"/>
            <w:vAlign w:val="bottom"/>
            <w:tcBorders>
              <w:top w:val="single" w:sz="8" w:color="0000FF"/>
            </w:tcBorders>
            <w:gridSpan w:val="16"/>
          </w:tcPr>
          <w:p>
            <w:pPr>
              <w:spacing w:after="0" w:line="115" w:lineRule="exact"/>
              <w:rPr>
                <w:sz w:val="20"/>
                <w:szCs w:val="20"/>
                <w:color w:val="auto"/>
              </w:rPr>
            </w:pPr>
            <w:r>
              <w:rPr>
                <w:rFonts w:ascii="Arial" w:cs="Arial" w:eastAsia="Arial" w:hAnsi="Arial"/>
                <w:sz w:val="13"/>
                <w:szCs w:val="13"/>
                <w:color w:val="0000FF"/>
              </w:rPr>
              <w:t>adopted pursuant to Section 302 of the</w:t>
            </w:r>
          </w:p>
        </w:tc>
        <w:tc>
          <w:tcPr>
            <w:tcW w:w="120" w:type="dxa"/>
            <w:vAlign w:val="bottom"/>
            <w:gridSpan w:val="2"/>
          </w:tcPr>
          <w:p>
            <w:pPr>
              <w:spacing w:after="0"/>
              <w:rPr>
                <w:sz w:val="10"/>
                <w:szCs w:val="10"/>
                <w:color w:val="auto"/>
              </w:rPr>
            </w:pPr>
          </w:p>
        </w:tc>
        <w:tc>
          <w:tcPr>
            <w:tcW w:w="28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1840" w:type="dxa"/>
            <w:vAlign w:val="bottom"/>
            <w:tcBorders>
              <w:top w:val="single" w:sz="8" w:color="0000FF"/>
              <w:bottom w:val="single" w:sz="8" w:color="0000FF"/>
            </w:tcBorders>
            <w:gridSpan w:val="9"/>
          </w:tcPr>
          <w:p>
            <w:pPr>
              <w:spacing w:after="0" w:line="129" w:lineRule="exact"/>
              <w:rPr>
                <w:sz w:val="20"/>
                <w:szCs w:val="20"/>
                <w:color w:val="auto"/>
              </w:rPr>
            </w:pPr>
            <w:r>
              <w:rPr>
                <w:rFonts w:ascii="Arial" w:cs="Arial" w:eastAsia="Arial" w:hAnsi="Arial"/>
                <w:sz w:val="14"/>
                <w:szCs w:val="14"/>
                <w:color w:val="0000FF"/>
              </w:rPr>
              <w:t>Sarbanes-Oxley Act of 2002.</w:t>
            </w:r>
          </w:p>
        </w:tc>
        <w:tc>
          <w:tcPr>
            <w:tcW w:w="700" w:type="dxa"/>
            <w:vAlign w:val="bottom"/>
            <w:tcBorders>
              <w:top w:val="single" w:sz="8" w:color="0000FF"/>
            </w:tcBorders>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28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31.2</w:t>
            </w:r>
          </w:p>
        </w:tc>
        <w:tc>
          <w:tcPr>
            <w:tcW w:w="3140" w:type="dxa"/>
            <w:vAlign w:val="bottom"/>
            <w:gridSpan w:val="30"/>
          </w:tcPr>
          <w:p>
            <w:pPr>
              <w:spacing w:after="0"/>
              <w:rPr>
                <w:sz w:val="20"/>
                <w:szCs w:val="20"/>
                <w:color w:val="auto"/>
              </w:rPr>
            </w:pPr>
            <w:r>
              <w:rPr>
                <w:rFonts w:ascii="Arial" w:cs="Arial" w:eastAsia="Arial" w:hAnsi="Arial"/>
                <w:sz w:val="14"/>
                <w:szCs w:val="14"/>
                <w:color w:val="0000FF"/>
              </w:rPr>
              <w:t>Certificate of Principal Financial Officer, pursuant</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3100" w:type="dxa"/>
            <w:vAlign w:val="bottom"/>
            <w:tcBorders>
              <w:top w:val="single" w:sz="8" w:color="0000FF"/>
            </w:tcBorders>
            <w:gridSpan w:val="28"/>
          </w:tcPr>
          <w:p>
            <w:pPr>
              <w:spacing w:after="0" w:line="115" w:lineRule="exact"/>
              <w:rPr>
                <w:sz w:val="20"/>
                <w:szCs w:val="20"/>
                <w:color w:val="auto"/>
              </w:rPr>
            </w:pPr>
            <w:r>
              <w:rPr>
                <w:rFonts w:ascii="Arial" w:cs="Arial" w:eastAsia="Arial" w:hAnsi="Arial"/>
                <w:sz w:val="13"/>
                <w:szCs w:val="13"/>
                <w:color w:val="0000FF"/>
              </w:rPr>
              <w:t>to Rule 13a-14(a)/15d-14(a), as adopted</w:t>
            </w: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2560" w:type="dxa"/>
            <w:vAlign w:val="bottom"/>
            <w:tcBorders>
              <w:top w:val="single" w:sz="8" w:color="0000FF"/>
            </w:tcBorders>
            <w:gridSpan w:val="14"/>
          </w:tcPr>
          <w:p>
            <w:pPr>
              <w:spacing w:after="0" w:line="122" w:lineRule="exact"/>
              <w:rPr>
                <w:sz w:val="20"/>
                <w:szCs w:val="20"/>
                <w:color w:val="auto"/>
              </w:rPr>
            </w:pPr>
            <w:r>
              <w:rPr>
                <w:rFonts w:ascii="Arial" w:cs="Arial" w:eastAsia="Arial" w:hAnsi="Arial"/>
                <w:sz w:val="14"/>
                <w:szCs w:val="14"/>
                <w:color w:val="0000FF"/>
              </w:rPr>
              <w:t>pursuant to Section 302 of the Sarbanes</w:t>
            </w:r>
          </w:p>
        </w:tc>
        <w:tc>
          <w:tcPr>
            <w:tcW w:w="580" w:type="dxa"/>
            <w:vAlign w:val="bottom"/>
            <w:gridSpan w:val="16"/>
          </w:tcPr>
          <w:p>
            <w:pPr>
              <w:spacing w:after="0" w:line="122" w:lineRule="exact"/>
              <w:rPr>
                <w:sz w:val="20"/>
                <w:szCs w:val="20"/>
                <w:color w:val="auto"/>
              </w:rPr>
            </w:pPr>
            <w:r>
              <w:rPr>
                <w:rFonts w:ascii="Arial" w:cs="Arial" w:eastAsia="Arial" w:hAnsi="Arial"/>
                <w:sz w:val="14"/>
                <w:szCs w:val="14"/>
                <w:color w:val="0000FF"/>
              </w:rPr>
              <w:t>-Oxley</w:t>
            </w: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020" w:type="dxa"/>
            <w:vAlign w:val="bottom"/>
            <w:tcBorders>
              <w:top w:val="single" w:sz="8" w:color="0000FF"/>
            </w:tcBorders>
            <w:gridSpan w:val="25"/>
          </w:tcPr>
          <w:p>
            <w:pPr>
              <w:spacing w:after="0" w:line="129" w:lineRule="exact"/>
              <w:rPr>
                <w:sz w:val="20"/>
                <w:szCs w:val="20"/>
                <w:color w:val="auto"/>
              </w:rPr>
            </w:pPr>
            <w:r>
              <w:rPr>
                <w:rFonts w:ascii="Arial" w:cs="Arial" w:eastAsia="Arial" w:hAnsi="Arial"/>
                <w:sz w:val="14"/>
                <w:szCs w:val="14"/>
                <w:color w:val="0000FF"/>
              </w:rPr>
              <w:t>Act of 2002.</w:t>
            </w:r>
          </w:p>
        </w:tc>
        <w:tc>
          <w:tcPr>
            <w:tcW w:w="120" w:type="dxa"/>
            <w:vAlign w:val="bottom"/>
            <w:gridSpan w:val="5"/>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32.1*</w:t>
            </w:r>
          </w:p>
        </w:tc>
        <w:tc>
          <w:tcPr>
            <w:tcW w:w="3140" w:type="dxa"/>
            <w:vAlign w:val="bottom"/>
            <w:gridSpan w:val="30"/>
          </w:tcPr>
          <w:p>
            <w:pPr>
              <w:spacing w:after="0"/>
              <w:rPr>
                <w:sz w:val="20"/>
                <w:szCs w:val="20"/>
                <w:color w:val="auto"/>
              </w:rPr>
            </w:pPr>
            <w:r>
              <w:rPr>
                <w:rFonts w:ascii="Arial" w:cs="Arial" w:eastAsia="Arial" w:hAnsi="Arial"/>
                <w:sz w:val="14"/>
                <w:szCs w:val="14"/>
                <w:color w:val="0000FF"/>
              </w:rPr>
              <w:t>Certifications Pursuant to U.S.C. Section 1350,</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000" w:type="dxa"/>
            <w:vAlign w:val="bottom"/>
            <w:tcBorders>
              <w:top w:val="single" w:sz="8" w:color="0000FF"/>
            </w:tcBorders>
            <w:gridSpan w:val="24"/>
          </w:tcPr>
          <w:p>
            <w:pPr>
              <w:spacing w:after="0" w:line="129" w:lineRule="exact"/>
              <w:rPr>
                <w:sz w:val="20"/>
                <w:szCs w:val="20"/>
                <w:color w:val="auto"/>
              </w:rPr>
            </w:pPr>
            <w:r>
              <w:rPr>
                <w:rFonts w:ascii="Arial" w:cs="Arial" w:eastAsia="Arial" w:hAnsi="Arial"/>
                <w:sz w:val="14"/>
                <w:szCs w:val="14"/>
                <w:color w:val="0000FF"/>
              </w:rPr>
              <w:t>As Adopted Pursuant to Section 906 of the</w:t>
            </w:r>
          </w:p>
        </w:tc>
        <w:tc>
          <w:tcPr>
            <w:tcW w:w="140" w:type="dxa"/>
            <w:vAlign w:val="bottom"/>
            <w:gridSpan w:val="6"/>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720" w:type="dxa"/>
            <w:vAlign w:val="bottom"/>
            <w:tcBorders>
              <w:top w:val="single" w:sz="8" w:color="0000FF"/>
            </w:tcBorders>
            <w:gridSpan w:val="18"/>
          </w:tcPr>
          <w:p>
            <w:pPr>
              <w:spacing w:after="0" w:line="115" w:lineRule="exact"/>
              <w:rPr>
                <w:sz w:val="20"/>
                <w:szCs w:val="20"/>
                <w:color w:val="auto"/>
              </w:rPr>
            </w:pPr>
            <w:r>
              <w:rPr>
                <w:rFonts w:ascii="Arial" w:cs="Arial" w:eastAsia="Arial" w:hAnsi="Arial"/>
                <w:sz w:val="13"/>
                <w:szCs w:val="13"/>
                <w:color w:val="0000FF"/>
              </w:rPr>
              <w:t>Public Company Accounting Reform and</w:t>
            </w:r>
          </w:p>
        </w:tc>
        <w:tc>
          <w:tcPr>
            <w:tcW w:w="420" w:type="dxa"/>
            <w:vAlign w:val="bottom"/>
            <w:gridSpan w:val="1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2580" w:type="dxa"/>
            <w:vAlign w:val="bottom"/>
            <w:tcBorders>
              <w:top w:val="single" w:sz="8" w:color="0000FF"/>
            </w:tcBorders>
            <w:gridSpan w:val="15"/>
          </w:tcPr>
          <w:p>
            <w:pPr>
              <w:spacing w:after="0" w:line="129" w:lineRule="exact"/>
              <w:rPr>
                <w:sz w:val="20"/>
                <w:szCs w:val="20"/>
                <w:color w:val="auto"/>
              </w:rPr>
            </w:pPr>
            <w:r>
              <w:rPr>
                <w:rFonts w:ascii="Arial" w:cs="Arial" w:eastAsia="Arial" w:hAnsi="Arial"/>
                <w:sz w:val="14"/>
                <w:szCs w:val="14"/>
                <w:color w:val="0000FF"/>
              </w:rPr>
              <w:t>Investor Protection Act of 2002.</w:t>
            </w:r>
          </w:p>
        </w:tc>
        <w:tc>
          <w:tcPr>
            <w:tcW w:w="560" w:type="dxa"/>
            <w:vAlign w:val="bottom"/>
            <w:gridSpan w:val="15"/>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0" w:type="dxa"/>
            <w:vAlign w:val="bottom"/>
            <w:gridSpan w:val="10"/>
            <w:shd w:val="clear" w:color="auto" w:fill="0000FF"/>
          </w:tcPr>
          <w:p>
            <w:pPr>
              <w:spacing w:after="0" w:line="20" w:lineRule="exact"/>
              <w:rPr>
                <w:sz w:val="1"/>
                <w:szCs w:val="1"/>
                <w:color w:val="auto"/>
              </w:rPr>
            </w:pPr>
          </w:p>
        </w:tc>
        <w:tc>
          <w:tcPr>
            <w:tcW w:w="1140" w:type="dxa"/>
            <w:vAlign w:val="bottom"/>
            <w:gridSpan w:val="2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40" w:type="dxa"/>
            <w:vAlign w:val="bottom"/>
          </w:tcPr>
          <w:p>
            <w:pPr>
              <w:ind w:left="20"/>
              <w:spacing w:after="0"/>
              <w:rPr>
                <w:sz w:val="20"/>
                <w:szCs w:val="20"/>
                <w:color w:val="auto"/>
              </w:rPr>
            </w:pPr>
            <w:r>
              <w:rPr>
                <w:rFonts w:ascii="Arial" w:cs="Arial" w:eastAsia="Arial" w:hAnsi="Arial"/>
                <w:sz w:val="14"/>
                <w:szCs w:val="14"/>
                <w:color w:val="auto"/>
              </w:rPr>
              <w:t>101.INS</w:t>
            </w:r>
          </w:p>
        </w:tc>
        <w:tc>
          <w:tcPr>
            <w:tcW w:w="3140" w:type="dxa"/>
            <w:vAlign w:val="bottom"/>
            <w:gridSpan w:val="30"/>
          </w:tcPr>
          <w:p>
            <w:pPr>
              <w:spacing w:after="0"/>
              <w:rPr>
                <w:sz w:val="20"/>
                <w:szCs w:val="20"/>
                <w:color w:val="auto"/>
              </w:rPr>
            </w:pPr>
            <w:r>
              <w:rPr>
                <w:rFonts w:ascii="Arial" w:cs="Arial" w:eastAsia="Arial" w:hAnsi="Arial"/>
                <w:sz w:val="14"/>
                <w:szCs w:val="14"/>
                <w:color w:val="auto"/>
              </w:rPr>
              <w:t>Inline XBRL Instance Document - the instance</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140" w:type="dxa"/>
            <w:vAlign w:val="bottom"/>
            <w:gridSpan w:val="30"/>
          </w:tcPr>
          <w:p>
            <w:pPr>
              <w:spacing w:after="0" w:line="145" w:lineRule="exact"/>
              <w:rPr>
                <w:sz w:val="20"/>
                <w:szCs w:val="20"/>
                <w:color w:val="auto"/>
              </w:rPr>
            </w:pPr>
            <w:r>
              <w:rPr>
                <w:rFonts w:ascii="Arial" w:cs="Arial" w:eastAsia="Arial" w:hAnsi="Arial"/>
                <w:sz w:val="14"/>
                <w:szCs w:val="14"/>
                <w:color w:val="auto"/>
              </w:rPr>
              <w:t>document does not appear in the Interactive</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40" w:type="dxa"/>
            <w:vAlign w:val="bottom"/>
          </w:tcPr>
          <w:p>
            <w:pPr>
              <w:spacing w:after="0"/>
              <w:rPr>
                <w:sz w:val="12"/>
                <w:szCs w:val="12"/>
                <w:color w:val="auto"/>
              </w:rPr>
            </w:pPr>
          </w:p>
        </w:tc>
        <w:tc>
          <w:tcPr>
            <w:tcW w:w="3140" w:type="dxa"/>
            <w:vAlign w:val="bottom"/>
            <w:gridSpan w:val="30"/>
          </w:tcPr>
          <w:p>
            <w:pPr>
              <w:spacing w:after="0" w:line="139" w:lineRule="exact"/>
              <w:rPr>
                <w:sz w:val="20"/>
                <w:szCs w:val="20"/>
                <w:color w:val="auto"/>
              </w:rPr>
            </w:pPr>
            <w:r>
              <w:rPr>
                <w:rFonts w:ascii="Arial" w:cs="Arial" w:eastAsia="Arial" w:hAnsi="Arial"/>
                <w:sz w:val="14"/>
                <w:szCs w:val="14"/>
                <w:color w:val="auto"/>
              </w:rPr>
              <w:t>Data File because its XBRL tags are embedded</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40" w:type="dxa"/>
            <w:vAlign w:val="bottom"/>
          </w:tcPr>
          <w:p>
            <w:pPr>
              <w:spacing w:after="0"/>
              <w:rPr>
                <w:sz w:val="16"/>
                <w:szCs w:val="16"/>
                <w:color w:val="auto"/>
              </w:rPr>
            </w:pPr>
          </w:p>
        </w:tc>
        <w:tc>
          <w:tcPr>
            <w:tcW w:w="3140" w:type="dxa"/>
            <w:vAlign w:val="bottom"/>
            <w:gridSpan w:val="30"/>
          </w:tcPr>
          <w:p>
            <w:pPr>
              <w:spacing w:after="0"/>
              <w:rPr>
                <w:sz w:val="20"/>
                <w:szCs w:val="20"/>
                <w:color w:val="auto"/>
              </w:rPr>
            </w:pPr>
            <w:r>
              <w:rPr>
                <w:rFonts w:ascii="Arial" w:cs="Arial" w:eastAsia="Arial" w:hAnsi="Arial"/>
                <w:sz w:val="14"/>
                <w:szCs w:val="14"/>
                <w:color w:val="auto"/>
              </w:rPr>
              <w:t>within the Inline XBRL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40" w:type="dxa"/>
            <w:vAlign w:val="bottom"/>
          </w:tcPr>
          <w:p>
            <w:pPr>
              <w:ind w:left="20"/>
              <w:spacing w:after="0"/>
              <w:rPr>
                <w:sz w:val="20"/>
                <w:szCs w:val="20"/>
                <w:color w:val="auto"/>
              </w:rPr>
            </w:pPr>
            <w:r>
              <w:rPr>
                <w:rFonts w:ascii="Arial" w:cs="Arial" w:eastAsia="Arial" w:hAnsi="Arial"/>
                <w:sz w:val="14"/>
                <w:szCs w:val="14"/>
                <w:color w:val="auto"/>
              </w:rPr>
              <w:t>101.SCH</w:t>
            </w:r>
          </w:p>
        </w:tc>
        <w:tc>
          <w:tcPr>
            <w:tcW w:w="3140" w:type="dxa"/>
            <w:vAlign w:val="bottom"/>
            <w:gridSpan w:val="30"/>
          </w:tcPr>
          <w:p>
            <w:pPr>
              <w:spacing w:after="0"/>
              <w:rPr>
                <w:sz w:val="20"/>
                <w:szCs w:val="20"/>
                <w:color w:val="auto"/>
              </w:rPr>
            </w:pPr>
            <w:r>
              <w:rPr>
                <w:rFonts w:ascii="Arial" w:cs="Arial" w:eastAsia="Arial" w:hAnsi="Arial"/>
                <w:sz w:val="14"/>
                <w:szCs w:val="14"/>
                <w:color w:val="auto"/>
              </w:rPr>
              <w:t>Inline XBRL Taxonomy Extension Schema</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0"/>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101.CAL</w:t>
            </w:r>
          </w:p>
        </w:tc>
        <w:tc>
          <w:tcPr>
            <w:tcW w:w="3140" w:type="dxa"/>
            <w:vAlign w:val="bottom"/>
            <w:gridSpan w:val="30"/>
          </w:tcPr>
          <w:p>
            <w:pPr>
              <w:spacing w:after="0" w:line="149" w:lineRule="exact"/>
              <w:rPr>
                <w:sz w:val="20"/>
                <w:szCs w:val="20"/>
                <w:color w:val="auto"/>
              </w:rPr>
            </w:pPr>
            <w:r>
              <w:rPr>
                <w:rFonts w:ascii="Arial" w:cs="Arial" w:eastAsia="Arial" w:hAnsi="Arial"/>
                <w:sz w:val="14"/>
                <w:szCs w:val="14"/>
                <w:color w:val="auto"/>
              </w:rPr>
              <w:t>Inline XBRL Taxonomy Extension Calculation</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0"/>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101.DEF</w:t>
            </w:r>
          </w:p>
        </w:tc>
        <w:tc>
          <w:tcPr>
            <w:tcW w:w="3140" w:type="dxa"/>
            <w:vAlign w:val="bottom"/>
            <w:gridSpan w:val="30"/>
          </w:tcPr>
          <w:p>
            <w:pPr>
              <w:spacing w:after="0" w:line="149" w:lineRule="exact"/>
              <w:rPr>
                <w:sz w:val="20"/>
                <w:szCs w:val="20"/>
                <w:color w:val="auto"/>
              </w:rPr>
            </w:pPr>
            <w:r>
              <w:rPr>
                <w:rFonts w:ascii="Arial" w:cs="Arial" w:eastAsia="Arial" w:hAnsi="Arial"/>
                <w:sz w:val="14"/>
                <w:szCs w:val="14"/>
                <w:color w:val="auto"/>
              </w:rPr>
              <w:t>Inline XBRL Taxonomy Extension Definition</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0"/>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101.LAB</w:t>
            </w:r>
          </w:p>
        </w:tc>
        <w:tc>
          <w:tcPr>
            <w:tcW w:w="3140" w:type="dxa"/>
            <w:vAlign w:val="bottom"/>
            <w:gridSpan w:val="30"/>
          </w:tcPr>
          <w:p>
            <w:pPr>
              <w:spacing w:after="0" w:line="149" w:lineRule="exact"/>
              <w:rPr>
                <w:sz w:val="20"/>
                <w:szCs w:val="20"/>
                <w:color w:val="auto"/>
              </w:rPr>
            </w:pPr>
            <w:r>
              <w:rPr>
                <w:rFonts w:ascii="Arial" w:cs="Arial" w:eastAsia="Arial" w:hAnsi="Arial"/>
                <w:sz w:val="14"/>
                <w:szCs w:val="14"/>
                <w:color w:val="auto"/>
              </w:rPr>
              <w:t>Inline XBRL Taxonomy Extension Labels</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0"/>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101.PRE</w:t>
            </w:r>
          </w:p>
        </w:tc>
        <w:tc>
          <w:tcPr>
            <w:tcW w:w="3140" w:type="dxa"/>
            <w:vAlign w:val="bottom"/>
            <w:gridSpan w:val="30"/>
          </w:tcPr>
          <w:p>
            <w:pPr>
              <w:spacing w:after="0" w:line="149" w:lineRule="exact"/>
              <w:rPr>
                <w:sz w:val="20"/>
                <w:szCs w:val="20"/>
                <w:color w:val="auto"/>
              </w:rPr>
            </w:pPr>
            <w:r>
              <w:rPr>
                <w:rFonts w:ascii="Arial" w:cs="Arial" w:eastAsia="Arial" w:hAnsi="Arial"/>
                <w:sz w:val="14"/>
                <w:szCs w:val="14"/>
                <w:color w:val="auto"/>
              </w:rPr>
              <w:t>Inline XBRL Taxonomy Extension Presentation</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0"/>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104</w:t>
            </w:r>
          </w:p>
        </w:tc>
        <w:tc>
          <w:tcPr>
            <w:tcW w:w="3140" w:type="dxa"/>
            <w:vAlign w:val="bottom"/>
            <w:gridSpan w:val="30"/>
          </w:tcPr>
          <w:p>
            <w:pPr>
              <w:spacing w:after="0" w:line="149" w:lineRule="exact"/>
              <w:rPr>
                <w:sz w:val="20"/>
                <w:szCs w:val="20"/>
                <w:color w:val="auto"/>
              </w:rPr>
            </w:pPr>
            <w:r>
              <w:rPr>
                <w:rFonts w:ascii="Arial" w:cs="Arial" w:eastAsia="Arial" w:hAnsi="Arial"/>
                <w:sz w:val="14"/>
                <w:szCs w:val="14"/>
                <w:color w:val="auto"/>
              </w:rPr>
              <w:t>The cover page from the Company's Quarterly</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140" w:type="dxa"/>
            <w:vAlign w:val="bottom"/>
            <w:gridSpan w:val="30"/>
          </w:tcPr>
          <w:p>
            <w:pPr>
              <w:spacing w:after="0" w:line="145" w:lineRule="exact"/>
              <w:rPr>
                <w:sz w:val="20"/>
                <w:szCs w:val="20"/>
                <w:color w:val="auto"/>
              </w:rPr>
            </w:pPr>
            <w:r>
              <w:rPr>
                <w:rFonts w:ascii="Arial" w:cs="Arial" w:eastAsia="Arial" w:hAnsi="Arial"/>
                <w:sz w:val="14"/>
                <w:szCs w:val="14"/>
                <w:color w:val="auto"/>
              </w:rPr>
              <w:t>Report on Form 10-Q for the quarter ended</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3140" w:type="dxa"/>
            <w:vAlign w:val="bottom"/>
            <w:gridSpan w:val="30"/>
          </w:tcPr>
          <w:p>
            <w:pPr>
              <w:spacing w:after="0" w:line="153" w:lineRule="exact"/>
              <w:rPr>
                <w:sz w:val="20"/>
                <w:szCs w:val="20"/>
                <w:color w:val="auto"/>
              </w:rPr>
            </w:pPr>
            <w:r>
              <w:rPr>
                <w:rFonts w:ascii="Arial" w:cs="Arial" w:eastAsia="Arial" w:hAnsi="Arial"/>
                <w:sz w:val="14"/>
                <w:szCs w:val="14"/>
                <w:color w:val="auto"/>
              </w:rPr>
              <w:t>September 30, 2025, has been formatted in</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943"/>
        <w:spacing w:after="0"/>
        <w:rPr>
          <w:sz w:val="20"/>
          <w:szCs w:val="20"/>
          <w:color w:val="auto"/>
        </w:rPr>
      </w:pPr>
      <w:r>
        <w:rPr>
          <w:rFonts w:ascii="Arial" w:cs="Arial" w:eastAsia="Arial" w:hAnsi="Arial"/>
          <w:sz w:val="14"/>
          <w:szCs w:val="14"/>
          <w:color w:val="auto"/>
        </w:rPr>
        <w:t>Inline XBRL.</w:t>
      </w:r>
    </w:p>
    <w:p>
      <w:pPr>
        <w:spacing w:after="0" w:line="342" w:lineRule="exact"/>
        <w:rPr>
          <w:sz w:val="20"/>
          <w:szCs w:val="20"/>
          <w:color w:val="auto"/>
        </w:rPr>
      </w:pPr>
    </w:p>
    <w:p>
      <w:pPr>
        <w:ind w:left="643" w:hanging="643"/>
        <w:spacing w:after="0" w:line="268" w:lineRule="auto"/>
        <w:tabs>
          <w:tab w:leader="none" w:pos="342"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Furnished herewith. 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84" w:lineRule="exact"/>
        <w:rPr>
          <w:sz w:val="20"/>
          <w:szCs w:val="20"/>
          <w:color w:val="auto"/>
        </w:rPr>
      </w:pPr>
    </w:p>
    <w:p>
      <w:pPr>
        <w:ind w:left="643" w:right="740" w:hanging="643"/>
        <w:spacing w:after="0" w:line="271" w:lineRule="auto"/>
        <w:tabs>
          <w:tab w:leader="none" w:pos="279"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pursuant to Item 601(a)(5) of Regulation S-K. Copies of the omitted schedules will be furnished to the SEC upon request.</w:t>
      </w:r>
    </w:p>
    <w:p>
      <w:pPr>
        <w:spacing w:after="0" w:line="200" w:lineRule="exact"/>
        <w:rPr>
          <w:sz w:val="20"/>
          <w:szCs w:val="20"/>
          <w:color w:val="auto"/>
        </w:rPr>
      </w:pPr>
    </w:p>
    <w:p>
      <w:pPr>
        <w:spacing w:after="0" w:line="305" w:lineRule="exact"/>
        <w:rPr>
          <w:sz w:val="20"/>
          <w:szCs w:val="20"/>
          <w:color w:val="auto"/>
        </w:rPr>
      </w:pPr>
    </w:p>
    <w:p>
      <w:pPr>
        <w:ind w:left="4803"/>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3"/>
          </w:cols>
          <w:pgMar w:left="1057" w:top="890"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9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EXAGEN INC.</w:t>
            </w:r>
          </w:p>
        </w:tc>
      </w:tr>
      <w:tr>
        <w:trPr>
          <w:trHeight w:val="765"/>
        </w:trPr>
        <w:tc>
          <w:tcPr>
            <w:tcW w:w="3960" w:type="dxa"/>
            <w:vAlign w:val="bottom"/>
          </w:tcPr>
          <w:p>
            <w:pPr>
              <w:spacing w:after="0"/>
              <w:rPr>
                <w:sz w:val="20"/>
                <w:szCs w:val="20"/>
                <w:color w:val="auto"/>
              </w:rPr>
            </w:pPr>
            <w:r>
              <w:rPr>
                <w:rFonts w:ascii="Arial" w:cs="Arial" w:eastAsia="Arial" w:hAnsi="Arial"/>
                <w:sz w:val="18"/>
                <w:szCs w:val="18"/>
                <w:color w:val="auto"/>
              </w:rPr>
              <w:t>Date: November 4, 2025</w:t>
            </w:r>
          </w:p>
        </w:tc>
        <w:tc>
          <w:tcPr>
            <w:tcW w:w="2640" w:type="dxa"/>
            <w:vAlign w:val="bottom"/>
          </w:tcPr>
          <w:p>
            <w:pPr>
              <w:ind w:left="20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Aballi</w:t>
            </w:r>
          </w:p>
        </w:tc>
      </w:tr>
      <w:tr>
        <w:trPr>
          <w:trHeight w:val="218"/>
        </w:trPr>
        <w:tc>
          <w:tcPr>
            <w:tcW w:w="39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John Aballi</w:t>
            </w:r>
          </w:p>
        </w:tc>
      </w:tr>
      <w:tr>
        <w:trPr>
          <w:trHeight w:val="229"/>
        </w:trPr>
        <w:tc>
          <w:tcPr>
            <w:tcW w:w="39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39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5"/>
        </w:trPr>
        <w:tc>
          <w:tcPr>
            <w:tcW w:w="3960" w:type="dxa"/>
            <w:vAlign w:val="bottom"/>
          </w:tcPr>
          <w:p>
            <w:pPr>
              <w:spacing w:after="0"/>
              <w:rPr>
                <w:sz w:val="20"/>
                <w:szCs w:val="20"/>
                <w:color w:val="auto"/>
              </w:rPr>
            </w:pPr>
            <w:r>
              <w:rPr>
                <w:rFonts w:ascii="Arial" w:cs="Arial" w:eastAsia="Arial" w:hAnsi="Arial"/>
                <w:sz w:val="18"/>
                <w:szCs w:val="18"/>
                <w:color w:val="auto"/>
              </w:rPr>
              <w:t>Date: November 4, 2025</w:t>
            </w:r>
          </w:p>
        </w:tc>
        <w:tc>
          <w:tcPr>
            <w:tcW w:w="2640" w:type="dxa"/>
            <w:vAlign w:val="bottom"/>
          </w:tcPr>
          <w:p>
            <w:pPr>
              <w:ind w:left="20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G. Black</w:t>
            </w:r>
          </w:p>
        </w:tc>
      </w:tr>
      <w:tr>
        <w:trPr>
          <w:trHeight w:val="218"/>
        </w:trPr>
        <w:tc>
          <w:tcPr>
            <w:tcW w:w="39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Jeffrey G. Black</w:t>
            </w:r>
          </w:p>
        </w:tc>
      </w:tr>
      <w:tr>
        <w:trPr>
          <w:trHeight w:val="229"/>
        </w:trPr>
        <w:tc>
          <w:tcPr>
            <w:tcW w:w="39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9"/>
        </w:trPr>
        <w:tc>
          <w:tcPr>
            <w:tcW w:w="39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1133"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John Aballi, certify that:</w:t>
      </w:r>
    </w:p>
    <w:p>
      <w:pPr>
        <w:spacing w:after="0" w:line="306"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70" w:lineRule="auto"/>
        <w:tabs>
          <w:tab w:leader="none" w:pos="4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right="380" w:firstLine="8"/>
        <w:spacing w:after="0" w:line="381" w:lineRule="auto"/>
        <w:tabs>
          <w:tab w:leader="none" w:pos="3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ind w:right="40" w:firstLine="8"/>
        <w:spacing w:after="0" w:line="362" w:lineRule="auto"/>
        <w:tabs>
          <w:tab w:leader="none" w:pos="3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right="200" w:firstLine="332"/>
        <w:spacing w:after="0" w:line="370" w:lineRule="auto"/>
        <w:tabs>
          <w:tab w:leader="none" w:pos="78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right="500" w:firstLine="332"/>
        <w:spacing w:after="0" w:line="370" w:lineRule="auto"/>
        <w:tabs>
          <w:tab w:leader="none" w:pos="78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right="440" w:firstLine="332"/>
        <w:spacing w:after="0" w:line="362" w:lineRule="auto"/>
        <w:tabs>
          <w:tab w:leader="none" w:pos="779"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right="220" w:firstLine="332"/>
        <w:spacing w:after="0" w:line="362" w:lineRule="auto"/>
        <w:tabs>
          <w:tab w:leader="none" w:pos="80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60" w:firstLine="8"/>
        <w:spacing w:after="0" w:line="362" w:lineRule="auto"/>
        <w:tabs>
          <w:tab w:leader="none" w:pos="3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8" w:right="339" w:bottom="1440" w:gutter="0" w:footer="0" w:header="0"/>
        </w:sectPr>
      </w:pPr>
    </w:p>
    <w:bookmarkStart w:id="42" w:name="page43"/>
    <w:bookmarkEnd w:id="42"/>
    <w:p>
      <w:pPr>
        <w:ind w:left="-20" w:firstLine="332"/>
        <w:spacing w:after="0" w:line="396" w:lineRule="auto"/>
        <w:tabs>
          <w:tab w:leader="none" w:pos="7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20" w:right="240" w:firstLine="332"/>
        <w:spacing w:after="0" w:line="381" w:lineRule="auto"/>
        <w:tabs>
          <w:tab w:leader="none" w:pos="7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Date: November 4, 2025</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Aballi</w:t>
            </w:r>
          </w:p>
        </w:tc>
      </w:tr>
      <w:tr>
        <w:trPr>
          <w:trHeight w:val="232"/>
        </w:trPr>
        <w:tc>
          <w:tcPr>
            <w:tcW w:w="50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John Aballi</w:t>
            </w:r>
          </w:p>
        </w:tc>
      </w:tr>
      <w:tr>
        <w:trPr>
          <w:trHeight w:val="292"/>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100"/>
          </w:cols>
          <w:pgMar w:left="340" w:top="1093" w:right="4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Jeffrey G. Black, certify that:</w:t>
      </w:r>
    </w:p>
    <w:p>
      <w:pPr>
        <w:spacing w:after="0" w:line="306"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70" w:lineRule="auto"/>
        <w:tabs>
          <w:tab w:leader="none" w:pos="4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right="380" w:firstLine="8"/>
        <w:spacing w:after="0" w:line="381" w:lineRule="auto"/>
        <w:tabs>
          <w:tab w:leader="none" w:pos="3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ind w:right="40" w:firstLine="8"/>
        <w:spacing w:after="0" w:line="362" w:lineRule="auto"/>
        <w:tabs>
          <w:tab w:leader="none" w:pos="3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right="200" w:firstLine="332"/>
        <w:spacing w:after="0" w:line="370" w:lineRule="auto"/>
        <w:tabs>
          <w:tab w:leader="none" w:pos="78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right="500" w:firstLine="332"/>
        <w:spacing w:after="0" w:line="370" w:lineRule="auto"/>
        <w:tabs>
          <w:tab w:leader="none" w:pos="78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right="440" w:firstLine="332"/>
        <w:spacing w:after="0" w:line="362" w:lineRule="auto"/>
        <w:tabs>
          <w:tab w:leader="none" w:pos="779"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right="220" w:firstLine="332"/>
        <w:spacing w:after="0" w:line="362" w:lineRule="auto"/>
        <w:tabs>
          <w:tab w:leader="none" w:pos="80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60" w:firstLine="8"/>
        <w:spacing w:after="0" w:line="362" w:lineRule="auto"/>
        <w:tabs>
          <w:tab w:leader="none" w:pos="3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8" w:right="339" w:bottom="1440" w:gutter="0" w:footer="0" w:header="0"/>
        </w:sectPr>
      </w:pPr>
    </w:p>
    <w:bookmarkStart w:id="44" w:name="page45"/>
    <w:bookmarkEnd w:id="44"/>
    <w:p>
      <w:pPr>
        <w:ind w:left="-20" w:firstLine="332"/>
        <w:spacing w:after="0" w:line="396" w:lineRule="auto"/>
        <w:tabs>
          <w:tab w:leader="none" w:pos="7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20" w:right="240" w:firstLine="332"/>
        <w:spacing w:after="0" w:line="381" w:lineRule="auto"/>
        <w:tabs>
          <w:tab w:leader="none" w:pos="7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Date: November 4, 2025</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G. Black</w:t>
            </w:r>
          </w:p>
        </w:tc>
      </w:tr>
      <w:tr>
        <w:trPr>
          <w:trHeight w:val="232"/>
        </w:trPr>
        <w:tc>
          <w:tcPr>
            <w:tcW w:w="50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Jeffrey G. Black</w:t>
            </w:r>
          </w:p>
        </w:tc>
      </w:tr>
      <w:tr>
        <w:trPr>
          <w:trHeight w:val="292"/>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100"/>
          </w:cols>
          <w:pgMar w:left="340" w:top="1093" w:right="4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660" w:right="320" w:hanging="4"/>
        <w:spacing w:after="0" w:line="362" w:lineRule="auto"/>
        <w:tabs>
          <w:tab w:leader="none" w:pos="11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30, 2025 (the "Report") fully complies with the requirements of Section 13(a) or 15(d), as applicable, of the Securities Exchange Act of 1934, as amended; and</w:t>
      </w:r>
    </w:p>
    <w:p>
      <w:pPr>
        <w:spacing w:after="0" w:line="129" w:lineRule="exact"/>
        <w:rPr>
          <w:rFonts w:ascii="Arial" w:cs="Arial" w:eastAsia="Arial" w:hAnsi="Arial"/>
          <w:sz w:val="18"/>
          <w:szCs w:val="18"/>
          <w:color w:val="auto"/>
        </w:rPr>
      </w:pPr>
    </w:p>
    <w:p>
      <w:pPr>
        <w:ind w:left="660" w:right="40" w:hanging="4"/>
        <w:spacing w:after="0" w:line="381" w:lineRule="auto"/>
        <w:tabs>
          <w:tab w:leader="none" w:pos="11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2025</w:t>
      </w:r>
    </w:p>
    <w:p>
      <w:pPr>
        <w:spacing w:after="0" w:line="7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John Aballi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17780</wp:posOffset>
            </wp:positionV>
            <wp:extent cx="30689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John Aballi</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 and Chief Executive Officer</w:t>
      </w:r>
    </w:p>
    <w:p>
      <w:pPr>
        <w:spacing w:after="0" w:line="2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45" w:lineRule="exact"/>
        <w:rPr>
          <w:sz w:val="20"/>
          <w:szCs w:val="20"/>
          <w:color w:val="auto"/>
        </w:rPr>
      </w:pPr>
    </w:p>
    <w:p>
      <w:pPr>
        <w:ind w:right="20" w:firstLine="648"/>
        <w:spacing w:after="0" w:line="3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660" w:right="320" w:hanging="4"/>
        <w:spacing w:after="0" w:line="370" w:lineRule="auto"/>
        <w:tabs>
          <w:tab w:leader="none" w:pos="11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30, 2025 (the "Report") fully complies with the requirements of Section 13(a) or 15(d), as applicable, of the Securities Exchange Act of 1934, as amended; and</w:t>
      </w:r>
    </w:p>
    <w:p>
      <w:pPr>
        <w:spacing w:after="0" w:line="109" w:lineRule="exact"/>
        <w:rPr>
          <w:rFonts w:ascii="Arial" w:cs="Arial" w:eastAsia="Arial" w:hAnsi="Arial"/>
          <w:sz w:val="18"/>
          <w:szCs w:val="18"/>
          <w:color w:val="auto"/>
        </w:rPr>
      </w:pPr>
    </w:p>
    <w:p>
      <w:pPr>
        <w:ind w:left="660" w:right="40" w:hanging="4"/>
        <w:spacing w:after="0" w:line="381" w:lineRule="auto"/>
        <w:tabs>
          <w:tab w:leader="none" w:pos="11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2025</w:t>
      </w:r>
    </w:p>
    <w:p>
      <w:pPr>
        <w:sectPr>
          <w:pgSz w:w="11900" w:h="16838" w:orient="portrait"/>
          <w:cols w:equalWidth="0" w:num="1">
            <w:col w:w="11240"/>
          </w:cols>
          <w:pgMar w:left="320" w:top="958" w:right="339" w:bottom="1440" w:gutter="0" w:footer="0" w:header="0"/>
        </w:sectPr>
      </w:pPr>
    </w:p>
    <w:bookmarkStart w:id="46" w:name="page47"/>
    <w:bookmarkEnd w:id="46"/>
    <w:p>
      <w:pPr>
        <w:ind w:left="6420"/>
        <w:spacing w:after="0"/>
        <w:rPr>
          <w:sz w:val="20"/>
          <w:szCs w:val="20"/>
          <w:color w:val="auto"/>
        </w:rPr>
      </w:pPr>
      <w:r>
        <w:rPr>
          <w:rFonts w:ascii="Arial" w:cs="Arial" w:eastAsia="Arial" w:hAnsi="Arial"/>
          <w:sz w:val="18"/>
          <w:szCs w:val="18"/>
          <w:color w:val="auto"/>
        </w:rPr>
        <w:t>/s/ Jeffrey G.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17780</wp:posOffset>
            </wp:positionV>
            <wp:extent cx="30689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Jeffrey G. Black</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22" w:lineRule="exact"/>
        <w:rPr>
          <w:sz w:val="20"/>
          <w:szCs w:val="20"/>
          <w:color w:val="auto"/>
        </w:rPr>
      </w:pPr>
    </w:p>
    <w:p>
      <w:pPr>
        <w:ind w:firstLine="648"/>
        <w:spacing w:after="0" w:line="3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20"/>
      </w:cols>
      <w:pgMar w:left="320" w:top="9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lowerRoman"/>
      <w:start w:val="2"/>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lvl w:ilvl="1">
      <w:lvlJc w:val="left"/>
      <w:lvlText w:val="(%2)"/>
      <w:numFmt w:val="lowerLetter"/>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53" Type="http://schemas.openxmlformats.org/officeDocument/2006/relationships/hyperlink" Target="https://www.sec.gov/Archives/edgar/data/1274737/000119312519252366/d769261dex31.htm" TargetMode="External"/><Relationship Id="rId54" Type="http://schemas.openxmlformats.org/officeDocument/2006/relationships/hyperlink" Target="https://www.sec.gov/Archives/edgar/data/1274737/000127473721000017/ex31-amendedandrestatedbyl.htm" TargetMode="External"/><Relationship Id="rId55" Type="http://schemas.openxmlformats.org/officeDocument/2006/relationships/hyperlink" Target="https://www.sec.gov/Archives/edgar/data/1274737/000127473723000004/exhibit-exagenxamendmentto.htm" TargetMode="External"/><Relationship Id="rId56" Type="http://schemas.openxmlformats.org/officeDocument/2006/relationships/hyperlink" Target="https://www.sec.gov/Archives/edgar/data/1274737/000119312519240403/d692844dex41.htm" TargetMode="External"/><Relationship Id="rId57" Type="http://schemas.openxmlformats.org/officeDocument/2006/relationships/hyperlink" Target="https://www.sec.gov/Archives/edgar/data/1274737/000119312519228011/d692844dex44.htm" TargetMode="External"/><Relationship Id="rId58" Type="http://schemas.openxmlformats.org/officeDocument/2006/relationships/hyperlink" Target="https://www.sec.gov/Archives/edgar/data/1274737/000119312519228011/d692844dex48.htm" TargetMode="External"/><Relationship Id="rId59" Type="http://schemas.openxmlformats.org/officeDocument/2006/relationships/hyperlink" Target="https://www.sec.gov/Archives/edgar/data/1274737/000127473721000094/ex45-formofprexfundedwarra.htm" TargetMode="External"/><Relationship Id="rId60" Type="http://schemas.openxmlformats.org/officeDocument/2006/relationships/hyperlink" Target="https://www.sec.gov/Archives/edgar/data/1274737/000119312525100447/d811854dex41.htm" TargetMode="External"/><Relationship Id="rId61" Type="http://schemas.openxmlformats.org/officeDocument/2006/relationships/hyperlink" Target="https://www.sec.gov/Archives/edgar/data/1274737/000127473725000055/directorcompensationprogr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2025-11-04T08:22:19Z</dcterms:created>
  <dcterms:modified xsi:type="dcterms:W3CDTF">2025-11-04T08:22:19Z</dcterms:modified>
</cp:coreProperties>
</file>