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2025</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Exagen Inc. (the "Company") held its 2025 annual meeting of stockholders (the "Annual Meeting") on June 10, 2025. At the Annual Meeting, the Company's stockholders voted on four proposals, as described below. Each of the proposals was described in detail in the Company's definitive proxy statement on Schedule 14A filed with the U.S. Securities and Exchange Commission on April 30, 2025 (the “Proxy Statement”). The vote totals noted below are final voting results from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1</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two Class III directors for a three-year term of office expiring at the Company's 2028 annual meeting of stockholders and until their successors are duly elected and qualified or until such director's earlier death, resignation or removal.</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38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277"/>
        </w:trPr>
        <w:tc>
          <w:tcPr>
            <w:tcW w:w="28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rPr>
              <w:t>John Aballi</w:t>
            </w:r>
          </w:p>
        </w:tc>
        <w:tc>
          <w:tcPr>
            <w:tcW w:w="1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7"/>
              </w:rPr>
              <w:t>8,593,115</w:t>
            </w:r>
          </w:p>
        </w:tc>
        <w:tc>
          <w:tcPr>
            <w:tcW w:w="940" w:type="dxa"/>
            <w:vAlign w:val="bottom"/>
          </w:tcPr>
          <w:p>
            <w:pPr>
              <w:spacing w:after="0"/>
              <w:rPr>
                <w:sz w:val="24"/>
                <w:szCs w:val="24"/>
                <w:color w:val="auto"/>
              </w:rPr>
            </w:pPr>
          </w:p>
        </w:tc>
        <w:tc>
          <w:tcPr>
            <w:tcW w:w="2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32,626</w:t>
            </w:r>
          </w:p>
        </w:tc>
        <w:tc>
          <w:tcPr>
            <w:tcW w:w="12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2,997,490</w:t>
            </w:r>
          </w:p>
        </w:tc>
      </w:tr>
      <w:tr>
        <w:trPr>
          <w:trHeight w:val="257"/>
        </w:trPr>
        <w:tc>
          <w:tcPr>
            <w:tcW w:w="28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Bruce C. Robertson, Ph.D.</w:t>
            </w:r>
          </w:p>
        </w:tc>
        <w:tc>
          <w:tcPr>
            <w:tcW w:w="1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7"/>
              </w:rPr>
              <w:t>5,656,283</w:t>
            </w:r>
          </w:p>
        </w:tc>
        <w:tc>
          <w:tcPr>
            <w:tcW w:w="940" w:type="dxa"/>
            <w:vAlign w:val="bottom"/>
          </w:tcPr>
          <w:p>
            <w:pPr>
              <w:spacing w:after="0"/>
              <w:rPr>
                <w:sz w:val="22"/>
                <w:szCs w:val="22"/>
                <w:color w:val="auto"/>
              </w:rPr>
            </w:pPr>
          </w:p>
        </w:tc>
        <w:tc>
          <w:tcPr>
            <w:tcW w:w="2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2,969,458</w:t>
            </w:r>
          </w:p>
        </w:tc>
        <w:tc>
          <w:tcPr>
            <w:tcW w:w="126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2,997,490</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2</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BDO USA, P.C. as the Company's independent registered public accounting firm for the fiscal year ending December 31, 2025.</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30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84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77"/>
        </w:trPr>
        <w:tc>
          <w:tcPr>
            <w:tcW w:w="19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w w:val="96"/>
              </w:rPr>
              <w:t>11,532,748</w:t>
            </w:r>
          </w:p>
        </w:tc>
        <w:tc>
          <w:tcPr>
            <w:tcW w:w="2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74,611</w:t>
            </w:r>
          </w:p>
        </w:tc>
        <w:tc>
          <w:tcPr>
            <w:tcW w:w="940" w:type="dxa"/>
            <w:vAlign w:val="bottom"/>
          </w:tcPr>
          <w:p>
            <w:pPr>
              <w:spacing w:after="0"/>
              <w:rPr>
                <w:sz w:val="24"/>
                <w:szCs w:val="24"/>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15,872</w:t>
            </w:r>
          </w:p>
        </w:tc>
        <w:tc>
          <w:tcPr>
            <w:tcW w:w="27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__</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3</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by an advisory vote, the compensation of the Company’s named executive officers as disclosed in the Proxy Statement.</w:t>
      </w:r>
    </w:p>
    <w:p>
      <w:pPr>
        <w:spacing w:after="0" w:line="135"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1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84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7"/>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8,599,414</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16,752</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9,575</w:t>
            </w:r>
          </w:p>
        </w:tc>
        <w:tc>
          <w:tcPr>
            <w:tcW w:w="1400" w:type="dxa"/>
            <w:vAlign w:val="bottom"/>
          </w:tcPr>
          <w:p>
            <w:pPr>
              <w:spacing w:after="0"/>
              <w:rPr>
                <w:sz w:val="24"/>
                <w:szCs w:val="24"/>
                <w:color w:val="auto"/>
              </w:rPr>
            </w:pPr>
          </w:p>
        </w:tc>
        <w:tc>
          <w:tcPr>
            <w:tcW w:w="13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2,997,490</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Proposal 4</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by an advisory vote, the frequency of holding future advisory votes to approve the compensation of the Company’s named executive officers.</w:t>
      </w:r>
    </w:p>
    <w:p>
      <w:pPr>
        <w:spacing w:after="0" w:line="135"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142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2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298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9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77"/>
        </w:trPr>
        <w:tc>
          <w:tcPr>
            <w:tcW w:w="154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w w:val="97"/>
              </w:rPr>
              <w:t>8,376,265</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86,357</w:t>
            </w:r>
          </w:p>
        </w:tc>
        <w:tc>
          <w:tcPr>
            <w:tcW w:w="860" w:type="dxa"/>
            <w:vAlign w:val="bottom"/>
          </w:tcPr>
          <w:p>
            <w:pPr>
              <w:spacing w:after="0"/>
              <w:rPr>
                <w:sz w:val="24"/>
                <w:szCs w:val="24"/>
                <w:color w:val="auto"/>
              </w:rPr>
            </w:pPr>
          </w:p>
        </w:tc>
        <w:tc>
          <w:tcPr>
            <w:tcW w:w="29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155,681</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7,438</w:t>
            </w:r>
          </w:p>
        </w:tc>
        <w:tc>
          <w:tcPr>
            <w:tcW w:w="560" w:type="dxa"/>
            <w:vAlign w:val="bottom"/>
          </w:tcPr>
          <w:p>
            <w:pPr>
              <w:spacing w:after="0"/>
              <w:rPr>
                <w:sz w:val="24"/>
                <w:szCs w:val="24"/>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2,997,490</w:t>
            </w:r>
          </w:p>
        </w:tc>
      </w:tr>
    </w:tbl>
    <w:p>
      <w:pPr>
        <w:spacing w:after="0" w:line="26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light of these results, and consistent with the recommendation of the Company's board of directors to stockholders in the Proxy Statement, the Company's policy will be to hold an advisory vote on executive compensation every year until the next required vote by stockholders on the frequency of future advisory votes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June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2025-06-11T15:53:59Z</dcterms:created>
  <dcterms:modified xsi:type="dcterms:W3CDTF">2025-06-11T15:53:59Z</dcterms:modified>
</cp:coreProperties>
</file>