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80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June 30, 2025</w:t>
      </w:r>
    </w:p>
    <w:p>
      <w:pPr>
        <w:spacing w:after="0" w:line="52"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2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2200" w:type="dxa"/>
            <w:vAlign w:val="bottom"/>
          </w:tcPr>
          <w:p>
            <w:pPr>
              <w:spacing w:after="0"/>
              <w:rPr>
                <w:sz w:val="18"/>
                <w:szCs w:val="18"/>
                <w:color w:val="auto"/>
              </w:rPr>
            </w:pPr>
          </w:p>
        </w:tc>
        <w:tc>
          <w:tcPr>
            <w:tcW w:w="1540" w:type="dxa"/>
            <w:vAlign w:val="bottom"/>
          </w:tcPr>
          <w:p>
            <w:pPr>
              <w:jc w:val="center"/>
              <w:ind w:right="528"/>
              <w:spacing w:after="0"/>
              <w:rPr>
                <w:sz w:val="20"/>
                <w:szCs w:val="20"/>
                <w:color w:val="auto"/>
              </w:rPr>
            </w:pPr>
            <w:r>
              <w:rPr>
                <w:rFonts w:ascii="Arial" w:cs="Arial" w:eastAsia="Arial" w:hAnsi="Arial"/>
                <w:sz w:val="14"/>
                <w:szCs w:val="14"/>
                <w:b w:val="1"/>
                <w:bCs w:val="1"/>
                <w:color w:val="auto"/>
              </w:rPr>
              <w:t>Delaware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0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740" w:type="dxa"/>
            <w:vAlign w:val="bottom"/>
            <w:gridSpan w:val="2"/>
          </w:tcPr>
          <w:p>
            <w:pPr>
              <w:ind w:left="1840"/>
              <w:spacing w:after="0"/>
              <w:rPr>
                <w:sz w:val="20"/>
                <w:szCs w:val="20"/>
                <w:color w:val="auto"/>
              </w:rPr>
            </w:pPr>
            <w:r>
              <w:rPr>
                <w:rFonts w:ascii="Arial" w:cs="Arial" w:eastAsia="Arial" w:hAnsi="Arial"/>
                <w:sz w:val="14"/>
                <w:szCs w:val="14"/>
                <w:b w:val="1"/>
                <w:bCs w:val="1"/>
                <w:color w:val="auto"/>
              </w:rPr>
              <w:t>1261 Liberty Way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jc w:val="center"/>
              <w:ind w:left="1468"/>
              <w:spacing w:after="0"/>
              <w:rPr>
                <w:sz w:val="20"/>
                <w:szCs w:val="20"/>
                <w:color w:val="auto"/>
              </w:rPr>
            </w:pPr>
            <w:r>
              <w:rPr>
                <w:rFonts w:ascii="Arial" w:cs="Arial" w:eastAsia="Arial" w:hAnsi="Arial"/>
                <w:sz w:val="14"/>
                <w:szCs w:val="14"/>
                <w:b w:val="1"/>
                <w:bCs w:val="1"/>
                <w:color w:val="auto"/>
              </w:rPr>
              <w:t>Vista,</w:t>
            </w:r>
          </w:p>
        </w:tc>
        <w:tc>
          <w:tcPr>
            <w:tcW w:w="1540" w:type="dxa"/>
            <w:vAlign w:val="bottom"/>
          </w:tcPr>
          <w:p>
            <w:pPr>
              <w:ind w:left="620"/>
              <w:spacing w:after="0"/>
              <w:rPr>
                <w:sz w:val="20"/>
                <w:szCs w:val="20"/>
                <w:color w:val="auto"/>
              </w:rPr>
            </w:pPr>
            <w:r>
              <w:rPr>
                <w:rFonts w:ascii="Arial" w:cs="Arial" w:eastAsia="Arial" w:hAnsi="Arial"/>
                <w:sz w:val="14"/>
                <w:szCs w:val="14"/>
                <w:b w:val="1"/>
                <w:bCs w:val="1"/>
                <w:color w:val="auto"/>
              </w:rPr>
              <w:t>CA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7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6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5"/>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65"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00"/>
        <w:spacing w:after="0" w:line="25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July 24, 2025 was 22,003,641.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20" w:type="dxa"/>
            <w:vAlign w:val="bottom"/>
            <w:gridSpan w:val="9"/>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0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500" w:type="dxa"/>
            <w:vAlign w:val="bottom"/>
            <w:gridSpan w:val="17"/>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3520" w:type="dxa"/>
            <w:vAlign w:val="bottom"/>
            <w:gridSpan w:val="9"/>
          </w:tcPr>
          <w:p>
            <w:pPr>
              <w:spacing w:after="0" w:line="195" w:lineRule="exact"/>
              <w:rPr>
                <w:sz w:val="20"/>
                <w:szCs w:val="20"/>
                <w:color w:val="auto"/>
              </w:rPr>
            </w:pPr>
            <w:r>
              <w:rPr>
                <w:rFonts w:ascii="Arial" w:cs="Arial" w:eastAsia="Arial" w:hAnsi="Arial"/>
                <w:sz w:val="18"/>
                <w:szCs w:val="18"/>
                <w:color w:val="0000FF"/>
                <w:w w:val="99"/>
              </w:rPr>
              <w:t>Unaudited Condensed Financial Statements</w:t>
            </w:r>
          </w:p>
        </w:tc>
        <w:tc>
          <w:tcPr>
            <w:tcW w:w="4980" w:type="dxa"/>
            <w:vAlign w:val="bottom"/>
            <w:gridSpan w:val="8"/>
          </w:tcPr>
          <w:p>
            <w:pPr>
              <w:spacing w:after="0"/>
              <w:rPr>
                <w:sz w:val="16"/>
                <w:szCs w:val="16"/>
                <w:color w:val="auto"/>
              </w:rPr>
            </w:pPr>
          </w:p>
        </w:tc>
        <w:tc>
          <w:tcPr>
            <w:tcW w:w="280" w:type="dxa"/>
            <w:vAlign w:val="bottom"/>
            <w:gridSpan w:val="2"/>
          </w:tcPr>
          <w:p>
            <w:pPr>
              <w:ind w:left="18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00" w:type="dxa"/>
            <w:vAlign w:val="bottom"/>
            <w:gridSpan w:val="17"/>
          </w:tcPr>
          <w:p>
            <w:pPr>
              <w:spacing w:after="0"/>
              <w:rPr>
                <w:sz w:val="20"/>
                <w:szCs w:val="20"/>
                <w:color w:val="auto"/>
              </w:rPr>
            </w:pPr>
            <w:r>
              <w:rPr>
                <w:rFonts w:ascii="Arial" w:cs="Arial" w:eastAsia="Arial" w:hAnsi="Arial"/>
                <w:sz w:val="18"/>
                <w:szCs w:val="18"/>
                <w:color w:val="0000FF"/>
              </w:rPr>
              <w:t>Unaudited Condensed Balance Sheets as of June 30, 2025 and December 31, 2024</w:t>
            </w: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00" w:type="dxa"/>
            <w:vAlign w:val="bottom"/>
            <w:gridSpan w:val="17"/>
          </w:tcPr>
          <w:p>
            <w:pPr>
              <w:spacing w:after="0"/>
              <w:rPr>
                <w:sz w:val="20"/>
                <w:szCs w:val="20"/>
                <w:color w:val="auto"/>
              </w:rPr>
            </w:pPr>
            <w:r>
              <w:rPr>
                <w:rFonts w:ascii="Arial" w:cs="Arial" w:eastAsia="Arial" w:hAnsi="Arial"/>
                <w:sz w:val="18"/>
                <w:szCs w:val="18"/>
                <w:color w:val="0000FF"/>
              </w:rPr>
              <w:t>Unaudited Condensed Statements of Operations for the Three and Six Months ended June 30, 2025 and</w:t>
            </w: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2024</w:t>
            </w: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500" w:type="dxa"/>
            <w:vAlign w:val="bottom"/>
            <w:gridSpan w:val="17"/>
            <w:vMerge w:val="restart"/>
          </w:tcPr>
          <w:p>
            <w:pPr>
              <w:spacing w:after="0"/>
              <w:rPr>
                <w:sz w:val="20"/>
                <w:szCs w:val="20"/>
                <w:color w:val="auto"/>
              </w:rPr>
            </w:pPr>
            <w:r>
              <w:rPr>
                <w:rFonts w:ascii="Arial" w:cs="Arial" w:eastAsia="Arial" w:hAnsi="Arial"/>
                <w:sz w:val="18"/>
                <w:szCs w:val="18"/>
                <w:color w:val="0000FF"/>
              </w:rPr>
              <w:t>Unaudited Condensed Statements of Stockholders' Equity for the Three and Six Months ended June 30,</w:t>
            </w: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500" w:type="dxa"/>
            <w:vAlign w:val="bottom"/>
            <w:gridSpan w:val="17"/>
            <w:vMerge w:val="continue"/>
          </w:tcPr>
          <w:p>
            <w:pPr>
              <w:spacing w:after="0"/>
              <w:rPr>
                <w:sz w:val="17"/>
                <w:szCs w:val="17"/>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4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2025 and 2024</w:t>
            </w:r>
          </w:p>
        </w:tc>
        <w:tc>
          <w:tcPr>
            <w:tcW w:w="6880" w:type="dxa"/>
            <w:vAlign w:val="bottom"/>
            <w:tcBorders>
              <w:top w:val="single" w:sz="8" w:color="0000FF"/>
            </w:tcBorders>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7980" w:type="dxa"/>
            <w:vAlign w:val="bottom"/>
            <w:gridSpan w:val="14"/>
          </w:tcPr>
          <w:p>
            <w:pPr>
              <w:spacing w:after="0"/>
              <w:rPr>
                <w:sz w:val="20"/>
                <w:szCs w:val="20"/>
                <w:color w:val="auto"/>
              </w:rPr>
            </w:pPr>
            <w:r>
              <w:rPr>
                <w:rFonts w:ascii="Arial" w:cs="Arial" w:eastAsia="Arial" w:hAnsi="Arial"/>
                <w:sz w:val="18"/>
                <w:szCs w:val="18"/>
                <w:color w:val="0000FF"/>
                <w:w w:val="99"/>
              </w:rPr>
              <w:t>Unaudited Condensed Statements of Cash Flows for the Six Months ended June 30, 2025 and 2024</w:t>
            </w:r>
          </w:p>
        </w:tc>
        <w:tc>
          <w:tcPr>
            <w:tcW w:w="520" w:type="dxa"/>
            <w:vAlign w:val="bottom"/>
            <w:gridSpan w:val="3"/>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240" w:type="dxa"/>
            <w:vAlign w:val="bottom"/>
            <w:gridSpan w:val="10"/>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3740" w:type="dxa"/>
            <w:vAlign w:val="bottom"/>
            <w:gridSpan w:val="4"/>
          </w:tcPr>
          <w:p>
            <w:pPr>
              <w:spacing w:after="0"/>
              <w:rPr>
                <w:sz w:val="18"/>
                <w:szCs w:val="18"/>
                <w:color w:val="auto"/>
              </w:rPr>
            </w:pPr>
          </w:p>
        </w:tc>
        <w:tc>
          <w:tcPr>
            <w:tcW w:w="520" w:type="dxa"/>
            <w:vAlign w:val="bottom"/>
            <w:gridSpan w:val="3"/>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20" w:type="dxa"/>
            <w:vAlign w:val="bottom"/>
            <w:gridSpan w:val="4"/>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20" w:type="dxa"/>
            <w:vAlign w:val="bottom"/>
            <w:gridSpan w:val="4"/>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6"/>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652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500" w:type="dxa"/>
            <w:vAlign w:val="bottom"/>
            <w:gridSpan w:val="17"/>
          </w:tcPr>
          <w:p>
            <w:pPr>
              <w:spacing w:after="0" w:line="195" w:lineRule="exact"/>
              <w:rPr>
                <w:sz w:val="20"/>
                <w:szCs w:val="20"/>
                <w:color w:val="auto"/>
              </w:rPr>
            </w:pPr>
            <w:r>
              <w:rPr>
                <w:rFonts w:ascii="Arial" w:cs="Arial" w:eastAsia="Arial" w:hAnsi="Arial"/>
                <w:sz w:val="18"/>
                <w:szCs w:val="18"/>
                <w:color w:val="0000FF"/>
              </w:rPr>
              <w:t>Legal Proceedings</w:t>
            </w:r>
          </w:p>
        </w:tc>
        <w:tc>
          <w:tcPr>
            <w:tcW w:w="1440" w:type="dxa"/>
            <w:vAlign w:val="bottom"/>
            <w:gridSpan w:val="4"/>
          </w:tcPr>
          <w:p>
            <w:pPr>
              <w:ind w:left="180"/>
              <w:spacing w:after="0" w:line="195"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18"/>
                <w:szCs w:val="18"/>
                <w:color w:val="auto"/>
              </w:rPr>
            </w:pPr>
          </w:p>
        </w:tc>
        <w:tc>
          <w:tcPr>
            <w:tcW w:w="7020" w:type="dxa"/>
            <w:vAlign w:val="bottom"/>
            <w:gridSpan w:val="10"/>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7100" w:type="dxa"/>
            <w:vAlign w:val="bottom"/>
            <w:gridSpan w:val="11"/>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6"/>
          </w:tcPr>
          <w:p>
            <w:pPr>
              <w:spacing w:after="0"/>
              <w:rPr>
                <w:sz w:val="20"/>
                <w:szCs w:val="20"/>
                <w:color w:val="auto"/>
              </w:rPr>
            </w:pPr>
            <w:r>
              <w:rPr>
                <w:rFonts w:ascii="Arial" w:cs="Arial" w:eastAsia="Arial" w:hAnsi="Arial"/>
                <w:sz w:val="18"/>
                <w:szCs w:val="18"/>
                <w:color w:val="0000FF"/>
              </w:rPr>
              <w:t>Exhibits</w:t>
            </w:r>
          </w:p>
        </w:tc>
        <w:tc>
          <w:tcPr>
            <w:tcW w:w="7100" w:type="dxa"/>
            <w:vAlign w:val="bottom"/>
            <w:gridSpan w:val="11"/>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0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2025</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50,986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58,760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 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current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as of June 30, 2025</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and December 31, 2024</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as of June 30, 2025 and December 31, 2024;</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21,998,739 and 17,640,328 shares issued and outstanding as of June 30, 2025 and December 31, 2024,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323,534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(302,522)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0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r>
      <w:tr>
        <w:trPr>
          <w:trHeight w:val="238"/>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r>
      <w:tr>
        <w:trPr>
          <w:trHeight w:val="19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17,654</w:t>
            </w:r>
          </w:p>
        </w:tc>
      </w:tr>
      <w:tr>
        <w:trPr>
          <w:trHeight w:val="179"/>
        </w:trPr>
        <w:tc>
          <w:tcPr>
            <w:tcW w:w="6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6"/>
        </w:trPr>
        <w:tc>
          <w:tcPr>
            <w:tcW w:w="6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21,006</w:t>
            </w:r>
          </w:p>
        </w:tc>
      </w:tr>
      <w:tr>
        <w:trPr>
          <w:trHeight w:val="198"/>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r>
      <w:tr>
        <w:trPr>
          <w:trHeight w:val="200"/>
        </w:trPr>
        <w:tc>
          <w:tcPr>
            <w:tcW w:w="68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23,244</w:t>
            </w:r>
          </w:p>
        </w:tc>
      </w:tr>
      <w:tr>
        <w:trPr>
          <w:trHeight w:val="192"/>
        </w:trPr>
        <w:tc>
          <w:tcPr>
            <w:tcW w:w="68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(5,590)</w:t>
            </w:r>
          </w:p>
        </w:tc>
      </w:tr>
      <w:tr>
        <w:trPr>
          <w:trHeight w:val="207"/>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w:t>
            </w: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86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21,085,749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18,178,185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19,830,265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18,061,312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2024</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17,640,328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303,853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229,151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80,554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2025</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17,950,033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304,468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(298,083)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6,403</w:t>
            </w:r>
          </w:p>
        </w:tc>
        <w:tc>
          <w:tcPr>
            <w:tcW w:w="0" w:type="dxa"/>
            <w:vAlign w:val="bottom"/>
          </w:tcPr>
          <w:p>
            <w:pPr>
              <w:spacing w:after="0"/>
              <w:rPr>
                <w:sz w:val="1"/>
                <w:szCs w:val="1"/>
                <w:color w:val="auto"/>
              </w:rPr>
            </w:pPr>
          </w:p>
        </w:tc>
      </w:tr>
      <w:tr>
        <w:trPr>
          <w:trHeight w:val="154"/>
        </w:trPr>
        <w:tc>
          <w:tcPr>
            <w:tcW w:w="3740" w:type="dxa"/>
            <w:vAlign w:val="bottom"/>
            <w:shd w:val="clear" w:color="auto" w:fill="CCEEFF"/>
          </w:tcPr>
          <w:p>
            <w:pPr>
              <w:ind w:left="360"/>
              <w:spacing w:after="0" w:line="154" w:lineRule="exact"/>
              <w:rPr>
                <w:sz w:val="20"/>
                <w:szCs w:val="20"/>
                <w:color w:val="auto"/>
              </w:rPr>
            </w:pPr>
            <w:r>
              <w:rPr>
                <w:rFonts w:ascii="Arial" w:cs="Arial" w:eastAsia="Arial" w:hAnsi="Arial"/>
                <w:sz w:val="14"/>
                <w:szCs w:val="14"/>
                <w:color w:val="auto"/>
              </w:rPr>
              <w:t>Issuance of stock from public offering, net of</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3,852,500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18,627</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costs of $1,598</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warrant exercises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107,969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(4,439)</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2025</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21,998,739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restart"/>
          </w:tcPr>
          <w:p>
            <w:pPr>
              <w:jc w:val="center"/>
              <w:ind w:right="320"/>
              <w:spacing w:after="0" w:line="122"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4"/>
                <w:szCs w:val="4"/>
                <w:color w:val="auto"/>
              </w:rPr>
            </w:pPr>
          </w:p>
        </w:tc>
        <w:tc>
          <w:tcPr>
            <w:tcW w:w="1560" w:type="dxa"/>
            <w:vAlign w:val="bottom"/>
            <w:gridSpan w:val="2"/>
            <w:vMerge w:val="restart"/>
          </w:tcPr>
          <w:p>
            <w:pPr>
              <w:ind w:left="140"/>
              <w:spacing w:after="0" w:line="12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4"/>
                <w:szCs w:val="4"/>
                <w:color w:val="auto"/>
              </w:rPr>
            </w:pPr>
          </w:p>
        </w:tc>
        <w:tc>
          <w:tcPr>
            <w:tcW w:w="142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2023</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17,045,954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301,893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217,056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54,605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2024</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17,317,941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302,550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19,991</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62,998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2024</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17,381,575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303,110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(285,542)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7"/>
                <w:szCs w:val="17"/>
                <w:color w:val="auto"/>
              </w:rPr>
            </w:pPr>
          </w:p>
        </w:tc>
      </w:tr>
      <w:tr>
        <w:trPr>
          <w:trHeight w:val="196"/>
        </w:trPr>
        <w:tc>
          <w:tcPr>
            <w:tcW w:w="75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183"/>
        </w:trPr>
        <w:tc>
          <w:tcPr>
            <w:tcW w:w="7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(8,191)</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(6,326)</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887</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Amortization of loan commitment fees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Loss on extinguishment of debt</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Bad debt expense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137</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lease expense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1,113</w:t>
            </w:r>
          </w:p>
        </w:tc>
      </w:tr>
      <w:tr>
        <w:trPr>
          <w:trHeight w:val="207"/>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r>
      <w:tr>
        <w:trPr>
          <w:trHeight w:val="198"/>
        </w:trPr>
        <w:tc>
          <w:tcPr>
            <w:tcW w:w="754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185</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198"/>
        </w:trPr>
        <w:tc>
          <w:tcPr>
            <w:tcW w:w="7540" w:type="dxa"/>
            <w:vAlign w:val="bottom"/>
          </w:tcPr>
          <w:p>
            <w:pPr>
              <w:ind w:left="660"/>
              <w:spacing w:after="0"/>
              <w:rPr>
                <w:sz w:val="20"/>
                <w:szCs w:val="20"/>
                <w:color w:val="auto"/>
              </w:rPr>
            </w:pPr>
            <w:r>
              <w:rPr>
                <w:rFonts w:ascii="Arial" w:cs="Arial" w:eastAsia="Arial" w:hAnsi="Arial"/>
                <w:sz w:val="14"/>
                <w:szCs w:val="14"/>
                <w:color w:val="auto"/>
              </w:rPr>
              <w:t>Deferred revenue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w:t>
            </w: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(11,466)</w:t>
            </w:r>
          </w:p>
        </w:tc>
      </w:tr>
      <w:tr>
        <w:trPr>
          <w:trHeight w:val="18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7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r>
      <w:tr>
        <w:trPr>
          <w:trHeight w:val="18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common stock issued, net of issuance costs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18,777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notes payable obligations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issuance of debt and warrants, net of discounts</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23,672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to extinguish debt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 of debt issuance costs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7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financing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21,869</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192"/>
        </w:trPr>
        <w:tc>
          <w:tcPr>
            <w:tcW w:w="75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7,997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(12,014)</w:t>
            </w: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22,236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36,693</w:t>
            </w:r>
          </w:p>
        </w:tc>
      </w:tr>
      <w:tr>
        <w:trPr>
          <w:trHeight w:val="200"/>
        </w:trPr>
        <w:tc>
          <w:tcPr>
            <w:tcW w:w="75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30,233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24,679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871</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Unpaid equipment settled under financing arrangement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Recognition of warrant liability</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540" w:type="dxa"/>
            <w:vAlign w:val="bottom"/>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706</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financing costs included in accounts payable and accrued liabilities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4"/>
        </w:trPr>
        <w:tc>
          <w:tcPr>
            <w:tcW w:w="754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w:t>
            </w:r>
          </w:p>
        </w:tc>
      </w:tr>
    </w:tbl>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00" w:top="89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Exagen Inc. (the Company) is a medical technology company primarily focused on the design, development and commercialization of a next-generation portfolio of testing products under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 future periods. As of June 30, 2025, the Company had cash and cash equivalents of $30.0 million and had an accumulated deficit of $302.5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25, 2025, the Company and Perceptive Credit Holdings IV, LP (Perceptive) entered into the Credit Agreement (as defined below), under which an initial term loan of $25.0 million was funded, $19.7 million of which the Company used to repay the 2017 Term Loan (as defined below). The Company received $3.0 million in proceeds, net of issuance costs and repayment of the 2017 Term Loan. The term loan facility allows the Company to draw up to an aggregate principal amount of $75.0 million in several tranches, subject to specified milestone requirements. Additionally, pursuant to the Credit Agreement, the Company also issued a warrant certificate to purchase up to 1,150,000 shares of common stock (the Warrant Certificate), 400,000 of which vested and became exercisable upon issuance (the Tranche A Warrant Shares) and up to 750,000 of which will vest and become exercisable if and when the additional debt tranches are drawn by the Company. See “Note 4 </w:t>
      </w:r>
      <w:r>
        <w:rPr>
          <w:rFonts w:ascii="Arial" w:cs="Arial" w:eastAsia="Arial" w:hAnsi="Arial"/>
          <w:sz w:val="18"/>
          <w:szCs w:val="18"/>
          <w:i w:val="1"/>
          <w:iCs w:val="1"/>
          <w:color w:val="auto"/>
        </w:rPr>
        <w:t>Borrowings—Perceptive Term Loan Facility</w:t>
      </w:r>
      <w:r>
        <w:rPr>
          <w:rFonts w:ascii="Arial" w:cs="Arial" w:eastAsia="Arial" w:hAnsi="Arial"/>
          <w:sz w:val="18"/>
          <w:szCs w:val="18"/>
          <w:color w:val="auto"/>
        </w:rPr>
        <w:t>” for more information.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May 9, 2025, the Company issued and sold an aggregate of 3,852,500 shares of its common stock at a public offering price of $5.25 per share, for aggregate net proceeds of $18.6 million after deducting underwriting discounts and commissions and other offering expenses. See “Note 7 </w:t>
      </w:r>
      <w:r>
        <w:rPr>
          <w:rFonts w:ascii="Arial" w:cs="Arial" w:eastAsia="Arial" w:hAnsi="Arial"/>
          <w:sz w:val="18"/>
          <w:szCs w:val="18"/>
          <w:i w:val="1"/>
          <w:iCs w:val="1"/>
          <w:color w:val="auto"/>
        </w:rPr>
        <w:t>Stockholders' Equity—2025 Public Offering</w:t>
      </w:r>
      <w:r>
        <w:rPr>
          <w:rFonts w:ascii="Arial" w:cs="Arial" w:eastAsia="Arial" w:hAnsi="Arial"/>
          <w:sz w:val="18"/>
          <w:szCs w:val="18"/>
          <w:color w:val="auto"/>
        </w:rPr>
        <w:t>” for more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Although management believes the Company's existing capital resources are adequate to fund operations for the next twelve months, if the Company is unable to obtain additional funding in the future,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unaudited interim condensed balance sheets as of June 30, 2025, condensed statements of operations and stockholders' equity for the three and six months ended June 30, 2025 and 2024, cash flows for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six months ended June 30, 2025 and 2024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2024, included in its Annual Report on Form 10-K filed with the SEC on March 11, 2025 (the 2024 Annual Report). In management's opinion, the unaudited interim condensed financial statements have been prepared on the same basis as the audited financial statements included in the 2024 Annual Report and include all normal adjustments, necessary for the fair presentation of the Company's financial position as of June 30, 2025 and its results of operations for the periods presented. The results for the three and six months ended June 30, 2025 are not necessarily indicative of the results expected for the full fiscal year or any other interim period. The year-end condensed balance sheet data was derived from audited financial statements, but does not include all disclosures required by GAAP. Certain reclassifications have been made to prior period amounts to conform to the current presentation.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preparation of the accompanying unaudited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estimates and assumptions made in the accompanying unaudited condensed financial statements include, but are not limited to revenue recognition, the fair value of the warrant liability, the estimated incremental borrowing rate for the determination of the Company's operating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Revenue</w:t>
            </w:r>
          </w:p>
        </w:tc>
        <w:tc>
          <w:tcPr>
            <w:tcW w:w="1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7"/>
        </w:trPr>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20" w:type="dxa"/>
            <w:vAlign w:val="bottom"/>
            <w:gridSpan w:val="7"/>
          </w:tcPr>
          <w:p>
            <w:pPr>
              <w:jc w:val="center"/>
              <w:ind w:right="340"/>
              <w:spacing w:after="0" w:line="147" w:lineRule="exact"/>
              <w:rPr>
                <w:sz w:val="20"/>
                <w:szCs w:val="20"/>
                <w:color w:val="auto"/>
              </w:rPr>
            </w:pPr>
            <w:r>
              <w:rPr>
                <w:rFonts w:ascii="Arial" w:cs="Arial" w:eastAsia="Arial" w:hAnsi="Arial"/>
                <w:sz w:val="14"/>
                <w:szCs w:val="14"/>
                <w:b w:val="1"/>
                <w:bCs w:val="1"/>
                <w:color w:val="auto"/>
              </w:rPr>
              <w:t>Six Months Ended</w:t>
            </w:r>
          </w:p>
        </w:tc>
      </w:tr>
      <w:tr>
        <w:trPr>
          <w:trHeight w:val="185"/>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left="1148"/>
              <w:spacing w:after="0"/>
              <w:rPr>
                <w:sz w:val="20"/>
                <w:szCs w:val="20"/>
                <w:color w:val="auto"/>
              </w:rPr>
            </w:pPr>
            <w:r>
              <w:rPr>
                <w:rFonts w:ascii="Arial" w:cs="Arial" w:eastAsia="Arial" w:hAnsi="Arial"/>
                <w:sz w:val="14"/>
                <w:szCs w:val="14"/>
                <w:b w:val="1"/>
                <w:bCs w:val="1"/>
                <w:color w:val="auto"/>
              </w:rPr>
              <w:t>June 30,</w:t>
            </w:r>
          </w:p>
        </w:tc>
        <w:tc>
          <w:tcPr>
            <w:tcW w:w="1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628"/>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2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23 %</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Customer B</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17 %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21 %</w:t>
            </w:r>
          </w:p>
        </w:tc>
        <w:tc>
          <w:tcPr>
            <w:tcW w:w="4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2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4"/>
        </w:trPr>
        <w:tc>
          <w:tcPr>
            <w:tcW w:w="6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Customer D</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642"/>
        </w:trPr>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rPr>
              <w:t>Accounts Receivable, Net</w:t>
            </w:r>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rPr>
              <w:t>June 30, 2025</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1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2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13 %</w:t>
            </w:r>
          </w:p>
        </w:tc>
      </w:tr>
      <w:tr>
        <w:trPr>
          <w:trHeight w:val="195"/>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color w:val="auto"/>
              </w:rPr>
              <w:t>25 %</w:t>
            </w:r>
          </w:p>
        </w:tc>
      </w:tr>
      <w:tr>
        <w:trPr>
          <w:trHeight w:val="183"/>
        </w:trPr>
        <w:tc>
          <w:tcPr>
            <w:tcW w:w="1000" w:type="dxa"/>
            <w:vAlign w:val="bottom"/>
            <w:tcBorders>
              <w:bottom w:val="single" w:sz="8" w:color="auto"/>
            </w:tcBorders>
            <w:gridSpan w:val="2"/>
          </w:tcPr>
          <w:p>
            <w:pPr>
              <w:spacing w:after="0"/>
              <w:rPr>
                <w:sz w:val="15"/>
                <w:szCs w:val="15"/>
                <w:color w:val="auto"/>
              </w:rPr>
            </w:pPr>
          </w:p>
        </w:tc>
        <w:tc>
          <w:tcPr>
            <w:tcW w:w="38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23"/>
        </w:trPr>
        <w:tc>
          <w:tcPr>
            <w:tcW w:w="10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820" w:type="dxa"/>
            <w:vAlign w:val="bottom"/>
            <w:gridSpan w:val="2"/>
          </w:tcPr>
          <w:p>
            <w:pPr>
              <w:jc w:val="right"/>
              <w:ind w:right="2820"/>
              <w:spacing w:after="0"/>
              <w:rPr>
                <w:sz w:val="20"/>
                <w:szCs w:val="20"/>
                <w:color w:val="auto"/>
              </w:rPr>
            </w:pPr>
            <w:r>
              <w:rPr>
                <w:rFonts w:ascii="Arial" w:cs="Arial" w:eastAsia="Arial" w:hAnsi="Arial"/>
                <w:sz w:val="14"/>
                <w:szCs w:val="14"/>
                <w:color w:val="auto"/>
              </w:rPr>
              <w:t>Less than 10%.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18"/>
          <w:szCs w:val="18"/>
          <w:color w:val="auto"/>
        </w:rPr>
        <w:t>For the three months ended June 30, 2025 and 2024, approximately 91% and 90%,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Revenue related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2025 and 2024 was approximately 91% and 90%, respectively.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key suppliers for certain laboratory materials, consisting primarily of reagents and biomarkers used in our diagnostic tests. For the three months ended June 30, 2025 and 2024 approximately 87% and 99%, respectively, of the Company's diagnostic testing supplies were purchased from two suppliers. For the six months ended June 30, 2025 and 2024, approximately 92% and 97%, respectively, of the Company's diagnostic testing supplies were purchased from three suppliers. An interruption in the supply of these materials would impact the Company's ability to perform testing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8,811</w:t>
            </w:r>
          </w:p>
        </w:tc>
        <w:tc>
          <w:tcPr>
            <w:tcW w:w="100" w:type="dxa"/>
            <w:vAlign w:val="bottom"/>
          </w:tcPr>
          <w:p>
            <w:pPr>
              <w:spacing w:after="0"/>
              <w:rPr>
                <w:sz w:val="17"/>
                <w:szCs w:val="17"/>
                <w:color w:val="auto"/>
              </w:rPr>
            </w:pP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8,672</w:t>
            </w:r>
          </w:p>
        </w:tc>
        <w:tc>
          <w:tcPr>
            <w:tcW w:w="1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15,535</w:t>
            </w:r>
          </w:p>
        </w:tc>
      </w:tr>
      <w:tr>
        <w:trPr>
          <w:trHeight w:val="20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Client direct bill(1)</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4,371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2,910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6,194</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00"/>
        </w:trPr>
        <w:tc>
          <w:tcPr>
            <w:tcW w:w="39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17,202</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15,064</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29,479</w:t>
            </w:r>
          </w:p>
        </w:tc>
      </w:tr>
      <w:tr>
        <w:trPr>
          <w:trHeight w:val="20"/>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considers all highly liquid investments purchased with a remaining maturity date of three months or less upon acquisition to be cash equivalents. These investments are stated at cost, which approximates fair value.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Credit Card Program).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22,036</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(hospitals, other laboratories, etc.) and patient self-pay.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and follows a five-step process to determine the amount and timing of revenue recognized: (1) identify the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June 30, 2025 and 2024 was a $0.1 million and a $3.1 million net revenue increase, respectively, associated with changes in estimated variable consideration related to performance obligations satisfied in previous periods. Included in revenues for the six months ended June 30, 2025 and 2024 was a $1.0 million and a $5.1 million net revenue increase, respectively, associated with changes in estimated variable consideration related to performance obligations satisfied in previous periods. The transaction price is estimated using an expected value method on a portfolio basis.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w:t>
      </w:r>
    </w:p>
    <w:p>
      <w:pPr>
        <w:jc w:val="both"/>
        <w:spacing w:after="0" w:line="226" w:lineRule="auto"/>
        <w:rPr>
          <w:sz w:val="20"/>
          <w:szCs w:val="20"/>
          <w:color w:val="auto"/>
        </w:rPr>
      </w:pPr>
      <w:r>
        <w:rPr>
          <w:rFonts w:ascii="Arial" w:cs="Arial" w:eastAsia="Arial" w:hAnsi="Arial"/>
          <w:sz w:val="18"/>
          <w:szCs w:val="18"/>
          <w:color w:val="auto"/>
        </w:rPr>
        <w:t>grouped per payor (i.e. each individual commercial payor, Medicare, Medicaid, client payors, patient self-pay, etc.) and per test. Consideration may be constrained and excluded from the transaction price in situations where there is no contractually agreed upon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condensed statements of operations as an element of variable consideration. The estimated expected refunds are accrued as a liability on the Company’s condensed balance sheets.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Amounts received prior to satisfying the above revenue recognition criteria are recognized as deferred revenue until all applicable revenue recognition criteria are met. Deferred revenue represented the portion of payments received that have not been earned. During the fourth quarter of 2024 and the first quarter of 2025, the Company entered into various work orders to perform diagnostic testing services including identifying and evaluating biomarkers, and received nonrefundable, upfront payments for these services. The Company had deferred revenue related to these contracts of $1.0 million and $0.7 million as of June 30, 2025 and December 31, 2024, respectively. The Company recognized revenue of $0.2 million out of the beginning deferred revenue balance during the six months ended June 30, 2025 and no revenue was recognized out of the beginning deferred revenue balance during the six months ended June 30, 2024. The Company expects to recognize revenue from unfulfilled performance obligations associated with service contracts within one year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accrues an allowance for credit losses against its accounts receivable based on management’s current estimate of amounts that will not be collected. Management’s estimates are typically based on historical loss information adjusted for current conditions. The Company generally does not perform evaluations of the financial condition of the Company's customers and generally does not require collateral. The allowance for credit losses was $0.5 million and zero as of June 30, 2025 and 2024, respectively. Adjustments for implicit price concessions attributable to variable consideration, as discussed above, are incorporated into the measurement of the accounts receivable balances and are not part of the allowance for credit losses. Accounts receivable was $14.3 million and $7.8 million at June 30, 2025, and December 31, 2024,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 Fees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Loan commitment fees are generally included as a reduction of the proceeds from the outstanding debt. If there were no borrowings drawn on the related credit facility, the loan commitment fees are classified as assets until the related debt is drawn. The Company’s loan commitment fee is comprised of an upfront cash payment and a contingent obligation to issue future warrants to Perceptive in connection with the Credit Agreement (as defined below). The amounts have been recognized in prepaid expenses and other current assets for the short-term portion of $ 1.1 million and within other assets for the long-term portion of $0.8 million on the condensed balance sheets as of June 30, 2025. As the Company is not reasonably certain it will draw on the future debt tranches, the loan commitment fees are amortized ratably into interest expense over the outstanding draw periods. During the three and six months ended June 30, 2025, the Company recognized $0.2 million in non-cash interest expense related to the amortization of the loan commitment fees within the Company's condensed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 date estimated fair values over the requisite service period of the awards (usually the vesting period) on a straight-line basis. The fair value of stock options and purchases under the Company's 2019 Employee Stock Purchase Plan (ESPP) is determined using the Black-Scholes-Merton (BSM) option pricing model, which requires management to make certain assumptions regarding a number of complex and subjective variables. Equity award forfeitures are recorded as they occur.</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Company computes the historical volatility data using the daily closing prices of the Company’s common stock during the equivalent period that approximates the calculated expected term of the stock options. The weighted-average expected term of options was calculated using the simplified method, as the Company has concluded that its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the three and six months ended June 30, 2025 and 2024,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88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2025</w:t>
            </w:r>
          </w:p>
        </w:tc>
        <w:tc>
          <w:tcPr>
            <w:tcW w:w="176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580,339</w:t>
            </w: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564,441</w:t>
            </w: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817,046</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1,679,624</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1,679,469</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54,454</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38,299</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2,878,858</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2,943,922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FASB issued ASU 2023-09, Income Taxes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This update will result in enhanced income tax disclosures, and the Company does not expect any impact to income tax expense.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(Subtopic 220-40) (ASU 2024-03). This update requires entities to include more detailed information about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purchases of inventory, employee compensation, depreciation, amortization, and depletion, in commonly presented expense captions such as cost of sales, research and development, and selling, general and administrative expenses. ASU 2024-03 is effective for annual reporting periods beginning after December 15, 2026, and interim reporting periods beginning after December 15, 2027, with early adoption permitted. The Company is currently evaluating the impact of this standard on its financial statement presentation and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commitment fees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5,366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4,248</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3,286</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11,295</w:t>
            </w:r>
          </w:p>
        </w:tc>
      </w:tr>
      <w:tr>
        <w:trPr>
          <w:trHeight w:val="203"/>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(6,012)</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and amortization expense for the three months ended June 30, 2025 and 2024 was approximately $0.5 million and $0.4 million, respectively. For the six months ended June 30, 2025 and 2024, depreciation and amortization expense was approximately $0.9 million and $0.9 million, respectively. At June 30, 2025 and December 31, 2024, the gross book value of assets under finance leases was $0.7 million and $2.0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5,046</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w:t>
            </w:r>
          </w:p>
        </w:tc>
      </w:tr>
      <w:tr>
        <w:trPr>
          <w:trHeight w:val="22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Perceptive Term Loan Facility</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25, 2025, the Company entered into a Credit Agreement and Guaranty (the Credit Agreement) with Perceptive, which provides for a senior secured delayed draw term loan facility in an aggregate principal amount of up to $75.0 million (the Perceptive Term Loan Facility) broken into four tranches. An initial tranche of $25.0 million (the Tranche A Loan) was funded on April 25, 2025, of which $19.7 million was used to repay the 2017 Term Loan (as defined below) with Innovatus Life Sciences Lending Fund I, LP (Innovatus). Additional tranches of up to $10.0 million (the Tranche B Loan), $10.0 million (the Tranche C Loan), and $30.0 million (the Tranche D Loan,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collectively with the Tranche A Loan, the Tranche B Loan and the Tranche C Loan, the Term Loans) may be drawn at the Company's option subject to the Company’s satisfaction of certain conditions, including specified revenue milestones. The Perceptive Term Loan Facility matures on April 25, 2030, and includes an interest-only period through maturity, with all outstanding principal and accrued interest due on the maturity date.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is secured by a first-priority lien on substantially all of the Company’s existing and future assets and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beginning with the quarter ending June 30, 2025. As of June 30, 2025, the Company was in compliance with all covenants required under the Credit Agreement.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April 25, 2025, as consideration for the Credit Agreement, the Company issued to Perceptive the Warrant Certificate. The 400,000 Tranche A Warrant Shares vested and became exercisable on the date of issuance, and warrants to purchase up to 750,000 shares of the Company's common stock will vest and become exercisable if and when the additional debt tranches are drawn by the Company. The Warrant Certificate has a ten-year term from the applicable vesting date and includes broad-based weighted anti-dilution protection for certain dilutive issuances and for certain recapitalization events and registration rights provisions.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concluded that the Tranche A Warrant qualifies for liability classification and recorded the fair value of $2.2 million at issuance as a debt discount. The Company also recognized debt issuance costs of $1.4 million as additional debt discount. These amounts are amortized over the remaining term of the Perceptive Term Loan Facility under the effective interest method. The proportionate amount of the upfront closing fee paid of $1.1 million and the fair value of $1.3 million related to the contingent warrants that may be issued for future debt tranches are recorded as a loan commitment asset and amortized as discussed in Note 2.</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six months ended June 30, 2025, the Company recognized $ 0.8 million of interest expense, including $0.1 million of debt discount amortization, in connection with the Perceptive Term Loan Facility. The effective interest rate was 16.2% per annum. As of June 30, 2025, the Perceptive Term Loan Facility had a carrying value of $21.4 million, classified within borrowings, non-current, net of discounts and debt issuance costs in the accompanying condensed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2017, the Company executed a term loan agreement (the 2017 Term Loan) with Innovatus, as amended (the Amended Loan Agreement), pursuant to which the Company borrowed $25.0 million. As of March 31, 2025, the Term Loan Facility was fully drawn with an outstanding principal balance of $19.8 million and a carrying value of $19.3 million. The interest rate on all borrowings under the Amended Loan Agreement was the sum of (a) the greater of 8.0% or The Wall Street Journal prime rate (the Prime Rate), plus (b) 2.0%. Interest on any outstanding term loan advances was due and payable monthly, unless the Company elected to pay paid-in-kind interest. In addition to the monthly interest payments, a final payment equal to $1.0 million was due the earlier of the maturity date or the date the advance is repaid. Principal balances were required to be repaid in 24 equal installments which began on August 1, 2023.</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25, 2025, the Company fully repaid all $19.7 million in outstanding indebtedness owed to Innovatus pursuant to its Amended Loan Agreement and terminated the agreement. During the six months ended June 30, 2025, the Company recognized a $0.3 million loss on extinguishment of debt in connection with the early repayment of the 2017 Term Loan on the Company's condensed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 Payable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May 2022, the Company purchased laboratory equipment in the normal course of business using notes payable. In January 2025, the Company entered into a financing arrangement to procure additional laboratory equipment. At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June 30, 2025, the total liability balance related to the financed equipment was $ 1.5 million, with $ 0.7 million classified within borrowings, current and $0.8 million within borrowings, non-current, net of discounts and debt issuance costs in the accompanying condensed balance sheets. At December 31, 2024, the total liability balance related to the financed equipment was $1.1 million, with $0.4 million classified within borrowings, current and $0.7 million within borrowings, non-current, net of discounts and debt issuance costs in the accompanying condensed balance sheets. The financed equipment is subject to effective interest rates between 5.28% and 10.50%, and will mature between October 1, 2026 and April 1, 2028.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future minimum aggregate payments, including interest, for outstanding borrowings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(remaining)</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2026</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3,700</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2028</w:t>
            </w: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3,117</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r>
      <w:tr>
        <w:trPr>
          <w:trHeight w:val="198"/>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2030</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25,930</w:t>
            </w:r>
          </w:p>
        </w:tc>
      </w:tr>
      <w:tr>
        <w:trPr>
          <w:trHeight w:val="200"/>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41,063</w:t>
            </w:r>
          </w:p>
        </w:tc>
      </w:tr>
      <w:tr>
        <w:trPr>
          <w:trHeight w:val="198"/>
        </w:trPr>
        <w:tc>
          <w:tcPr>
            <w:tcW w:w="9440" w:type="dxa"/>
            <w:vAlign w:val="bottom"/>
          </w:tcPr>
          <w:p>
            <w:pPr>
              <w:ind w:left="360"/>
              <w:spacing w:after="0"/>
              <w:rPr>
                <w:sz w:val="20"/>
                <w:szCs w:val="20"/>
                <w:color w:val="auto"/>
              </w:rPr>
            </w:pPr>
            <w:r>
              <w:rPr>
                <w:rFonts w:ascii="Arial" w:cs="Arial" w:eastAsia="Arial" w:hAnsi="Arial"/>
                <w:sz w:val="14"/>
                <w:szCs w:val="14"/>
                <w:color w:val="auto"/>
              </w:rPr>
              <w:t>Less:</w:t>
            </w: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w:t>
            </w:r>
          </w:p>
        </w:tc>
      </w:tr>
      <w:tr>
        <w:trPr>
          <w:trHeight w:val="198"/>
        </w:trPr>
        <w:tc>
          <w:tcPr>
            <w:tcW w:w="94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Interest</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(14,526)</w:t>
            </w:r>
          </w:p>
        </w:tc>
      </w:tr>
      <w:tr>
        <w:trPr>
          <w:trHeight w:val="200"/>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22,977</w:t>
            </w:r>
          </w:p>
        </w:tc>
      </w:tr>
      <w:tr>
        <w:trPr>
          <w:trHeight w:val="198"/>
        </w:trPr>
        <w:tc>
          <w:tcPr>
            <w:tcW w:w="9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Borrowings, current</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r>
      <w:tr>
        <w:trPr>
          <w:trHeight w:val="401"/>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of less than 1% on net sales of products which incorporate licensed technology, as defined in such agreements. Royalties are accrued when incurred and recorded in cost of revenue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 supply agreement with one of its suppliers for certain reagents, which includes pricing terms and minimum purchase commitments, through December 31, 2025, for consumable products related to the Company's biomarkers. The aggregate minimum annual purchase commitment related to such agreement for the year ending December 31, 2025 is $10.4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settlement agreement with the Department of Justice (DOJ), which has been previously disclosed, the Company made a single lump-sum remittance to the government in the amount of $ 0.7 million plus interest in October 2023. The U.S. Attorney’s Office dismissed the “covered conduct” elements in the qui tam with prejudice, while non-covered conduct was dismissed without prejudice. The DOJ excused itself from the case in connection with the settlement. The Company’s ability to participate in federally funded healthcare programs was unaffected by the settlement. In November 2023, the complaint was unsealed and served on the Company. The Company filed a motion to dismiss the complaint. In February 2024, the relator filed a motion for leave to amend the complaint. The Company opposed this motion. In March 2025, the court granted the Company’s motion to dismiss with prejudice and denied the relator’s motion for leave to amend. On April 14, 2025, the relator filed an appeal with respect to this ruling. On July 15, 2025, the qui tam case was dismissed with prejudice by the presiding judge. Both the DOJ and the relator’s counsel filed a stipulation of dismissal in the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the same or similar issues. As of June 30, 2025, the Perceptive Term Loan Facility had a carrying value of $21.4 million and a fair value of $22.0 million. The estimated fair value of the Perceptive Term Loan Facility was determined based on a discounted cash flow approach using available market information on discount and borrowing rates with similar terms, maturities, and credit ratings. The aggregate carrying value of the Company's other long-term borrowings as of June 30, 2025 and December 31, 2024 was $1.5 million and $1.1 million, respectively, and approximated its fair value.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jc w:val="both"/>
        <w:ind w:left="1320" w:hanging="1295"/>
        <w:spacing w:after="0" w:line="268" w:lineRule="auto"/>
        <w:tabs>
          <w:tab w:leader="none" w:pos="130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4"/>
        </w:trPr>
        <w:tc>
          <w:tcPr>
            <w:tcW w:w="6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Warrant liability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3"/>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15,144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15,144</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760"/>
              <w:spacing w:after="0"/>
              <w:rPr>
                <w:sz w:val="20"/>
                <w:szCs w:val="20"/>
                <w:color w:val="auto"/>
              </w:rPr>
            </w:pPr>
            <w:r>
              <w:rPr>
                <w:rFonts w:ascii="Arial" w:cs="Arial" w:eastAsia="Arial" w:hAnsi="Arial"/>
                <w:sz w:val="14"/>
                <w:szCs w:val="14"/>
                <w:color w:val="auto"/>
              </w:rPr>
              <w:t>—   $</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liability for the Warrant Certificate issued in connection with the Perceptive Term Loan Facility at fair value utilizing a probability-weighted BSM option pricing model using significant unobservable inputs consisting of the Company's probability assessment of drawing future debt tranches, the inputs used for the Company’s stock-based compensation expense adjusted for the Warrant Certificate’s expected term, which is calculated based on the remaining contractual term, and the fair value of the underlying common stock. As such, the warrant liability was determined to be a Level 3 fair value measurement.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BSM option pricing model to determine the fair value of the warrant liability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April 25, 2025 (Warrant</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Certificate Issuance</w:t>
            </w:r>
          </w:p>
        </w:tc>
        <w:tc>
          <w:tcPr>
            <w:tcW w:w="220" w:type="dxa"/>
            <w:vAlign w:val="bottom"/>
          </w:tcPr>
          <w:p>
            <w:pPr>
              <w:spacing w:after="0"/>
              <w:rPr>
                <w:sz w:val="12"/>
                <w:szCs w:val="12"/>
                <w:color w:val="auto"/>
              </w:rPr>
            </w:pPr>
          </w:p>
        </w:tc>
        <w:tc>
          <w:tcPr>
            <w:tcW w:w="14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197"/>
        </w:trPr>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underlying common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99"/>
        </w:trPr>
        <w:tc>
          <w:tcPr>
            <w:tcW w:w="778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$4.96 - $6.99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$4.96 - $7.85</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- 4.3%</w:t>
            </w:r>
          </w:p>
        </w:tc>
        <w:tc>
          <w:tcPr>
            <w:tcW w:w="0" w:type="dxa"/>
            <w:vAlign w:val="bottom"/>
          </w:tcPr>
          <w:p>
            <w:pPr>
              <w:spacing w:after="0"/>
              <w:rPr>
                <w:sz w:val="1"/>
                <w:szCs w:val="1"/>
                <w:color w:val="auto"/>
              </w:rPr>
            </w:pPr>
          </w:p>
        </w:tc>
      </w:tr>
      <w:tr>
        <w:trPr>
          <w:trHeight w:val="199"/>
        </w:trPr>
        <w:tc>
          <w:tcPr>
            <w:tcW w:w="77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88.8 %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88.1% - 88.3%</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9.8 - 10.0</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4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probability assessment considers both the likelihood of the Company satisfying certain conditions, including specified revenue milestones, which give the Company the option to draw future debt tranches as well as the likelihood that the Company will exercise the right to draw one or more future debt tranches. The Company assessed these factors at inception and as of June 30, 2025 and applied a weighted-average probability of approximately 33% in the measurement of fair value, given current and forecasted capital needs. Significant increases or decreases in the probability assessment in future periods may increase or decrease the fair value estimate of the warrant liability, respectively. The interrelationship between these inputs is insignificant.</w:t>
      </w:r>
    </w:p>
    <w:p>
      <w:pPr>
        <w:spacing w:after="0" w:line="209"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The following table provides a reconciliation of the warrant liability measured at fair value using Level 3 significant unobservable inputs (in thousands):</w:t>
      </w:r>
    </w:p>
    <w:p>
      <w:pPr>
        <w:sectPr>
          <w:pgSz w:w="11900" w:h="16838" w:orient="portrait"/>
          <w:cols w:equalWidth="0" w:num="1">
            <w:col w:w="11240"/>
          </w:cols>
          <w:pgMar w:left="320" w:top="1197"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fair value of warrant liability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2025</w:t>
      </w:r>
    </w:p>
    <w:p>
      <w:pPr>
        <w:spacing w:after="0" w:line="20" w:lineRule="exact"/>
        <w:rPr>
          <w:sz w:val="20"/>
          <w:szCs w:val="20"/>
          <w:color w:val="auto"/>
        </w:rPr>
      </w:pPr>
      <w:r>
        <w:rPr>
          <w:sz w:val="20"/>
          <w:szCs w:val="20"/>
          <w:color w:val="auto"/>
        </w:rPr>
        <w:br w:type="column"/>
      </w:r>
    </w:p>
    <w:p>
      <w:pPr>
        <w:ind w:left="244"/>
        <w:spacing w:after="0"/>
        <w:rPr>
          <w:sz w:val="20"/>
          <w:szCs w:val="20"/>
          <w:color w:val="auto"/>
        </w:rPr>
      </w:pPr>
      <w:r>
        <w:rPr>
          <w:rFonts w:ascii="Arial" w:cs="Arial" w:eastAsia="Arial" w:hAnsi="Arial"/>
          <w:sz w:val="14"/>
          <w:szCs w:val="14"/>
          <w:b w:val="1"/>
          <w:bCs w:val="1"/>
          <w:color w:val="auto"/>
        </w:rPr>
        <w:t>Warrant Liability</w:t>
      </w:r>
    </w:p>
    <w:p>
      <w:pPr>
        <w:spacing w:after="0" w:line="55" w:lineRule="exact"/>
        <w:rPr>
          <w:sz w:val="20"/>
          <w:szCs w:val="20"/>
          <w:color w:val="auto"/>
        </w:rPr>
      </w:pPr>
    </w:p>
    <w:p>
      <w:pPr>
        <w:ind w:left="1404" w:hanging="1404"/>
        <w:spacing w:after="0"/>
        <w:tabs>
          <w:tab w:leader="none" w:pos="1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1184"/>
        <w:spacing w:after="0"/>
        <w:rPr>
          <w:rFonts w:ascii="Arial" w:cs="Arial" w:eastAsia="Arial" w:hAnsi="Arial"/>
          <w:sz w:val="14"/>
          <w:szCs w:val="14"/>
          <w:color w:val="auto"/>
        </w:rPr>
      </w:pPr>
      <w:r>
        <w:rPr>
          <w:rFonts w:ascii="Arial" w:cs="Arial" w:eastAsia="Arial" w:hAnsi="Arial"/>
          <w:sz w:val="14"/>
          <w:szCs w:val="14"/>
          <w:color w:val="auto"/>
        </w:rPr>
        <w:t>3,525</w:t>
      </w:r>
    </w:p>
    <w:p>
      <w:pPr>
        <w:spacing w:after="0" w:line="41" w:lineRule="exact"/>
        <w:rPr>
          <w:rFonts w:ascii="Arial" w:cs="Arial" w:eastAsia="Arial" w:hAnsi="Arial"/>
          <w:sz w:val="14"/>
          <w:szCs w:val="14"/>
          <w:color w:val="auto"/>
        </w:rPr>
      </w:pPr>
    </w:p>
    <w:p>
      <w:pPr>
        <w:ind w:left="1304"/>
        <w:spacing w:after="0"/>
        <w:rPr>
          <w:rFonts w:ascii="Arial" w:cs="Arial" w:eastAsia="Arial" w:hAnsi="Arial"/>
          <w:sz w:val="14"/>
          <w:szCs w:val="14"/>
          <w:color w:val="auto"/>
        </w:rPr>
      </w:pPr>
      <w:r>
        <w:rPr>
          <w:rFonts w:ascii="Arial" w:cs="Arial" w:eastAsia="Arial" w:hAnsi="Arial"/>
          <w:sz w:val="14"/>
          <w:szCs w:val="14"/>
          <w:color w:val="auto"/>
        </w:rPr>
        <w:t>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369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5" w:lineRule="exact"/>
        <w:rPr>
          <w:sz w:val="20"/>
          <w:szCs w:val="20"/>
          <w:color w:val="auto"/>
        </w:rPr>
      </w:pPr>
    </w:p>
    <w:p>
      <w:pPr>
        <w:ind w:left="1184" w:hanging="1184"/>
        <w:spacing w:after="0"/>
        <w:tabs>
          <w:tab w:leader="none" w:pos="1184" w:val="left"/>
        </w:tabs>
        <w:numPr>
          <w:ilvl w:val="0"/>
          <w:numId w:val="5"/>
        </w:numPr>
        <w:rPr>
          <w:rFonts w:ascii="Arial" w:cs="Arial" w:eastAsia="Arial" w:hAnsi="Arial"/>
          <w:sz w:val="14"/>
          <w:szCs w:val="14"/>
          <w:color w:val="auto"/>
        </w:rPr>
      </w:pPr>
      <w:r>
        <w:rPr>
          <w:rFonts w:ascii="Arial" w:cs="Arial" w:eastAsia="Arial" w:hAnsi="Arial"/>
          <w:sz w:val="14"/>
          <w:szCs w:val="14"/>
          <w:color w:val="auto"/>
        </w:rPr>
        <w:t>3,963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36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1036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96" w:space="720"/>
            <w:col w:w="1724"/>
          </w:cols>
          <w:pgMar w:left="320" w:top="1197"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the Company's common stock, preferred stock, debt securities, warrants and units. The 2023 Shelf Registration Statement became effective on November 29, 2023, and $129.8 million remain available for sale as of June 30,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15, 2022, the Company entered into a sales agreement, as amended on November 17, 2023 (the Sales Agreement) with TD Securities (USA) LLC (TD Securities), as sales agent, pursuant to which the Company may offer and sell, from time to time, shares of the Company's common stock having an aggregate offering price of up to $50.0 million. The Company is not obligated to sell any shares of the Company's common stock in the offering. As of June 30, 2025, the Company has not sold any shares of its common stock pursuant to the Sales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Public Offering</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May 8, 2025, the Company entered into an underwriting agreement (the Underwriting Agreement) with Canaccord Genuity LLC (the Underwriter) relating to the issuance and sale of an aggregate of 3,852,500 shares of its common stock, including 502,500 shares of the Company's common stock issued and sold pursuant to the exercise in full of the Underwriters’ option to purchase additional shares, to the Underwriter at a price to the public of $5.25 per share (the 2025 Public Offering). The 2025 Public Offering closed on May 9, 2025. The net proceeds to the Company from the 2025 Public Offering were approximately $18.6 million after deducting $1.6 million of the underwriting discounts and commissions and other offering expenses payable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of the Company were outstanding and exercisable as of June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w:t>
            </w:r>
          </w:p>
        </w:tc>
        <w:tc>
          <w:tcPr>
            <w:tcW w:w="2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vMerge w:val="restart"/>
          </w:tcPr>
          <w:p>
            <w:pPr>
              <w:spacing w:after="0"/>
              <w:rPr>
                <w:sz w:val="14"/>
                <w:szCs w:val="14"/>
                <w:color w:val="auto"/>
              </w:rPr>
            </w:pPr>
          </w:p>
        </w:tc>
        <w:tc>
          <w:tcPr>
            <w:tcW w:w="22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34,416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20,944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tcPr>
          <w:p>
            <w:pPr>
              <w:jc w:val="right"/>
              <w:spacing w:after="0"/>
              <w:rPr>
                <w:sz w:val="20"/>
                <w:szCs w:val="20"/>
                <w:color w:val="auto"/>
              </w:rPr>
            </w:pPr>
            <w:r>
              <w:rPr>
                <w:rFonts w:ascii="Arial" w:cs="Arial" w:eastAsia="Arial" w:hAnsi="Arial"/>
                <w:sz w:val="14"/>
                <w:szCs w:val="14"/>
                <w:color w:val="auto"/>
              </w:rPr>
              <w:t>December 7, 2025</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804,951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0.001</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April 25, 2025</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April 25, 2035</w:t>
            </w:r>
          </w:p>
        </w:tc>
        <w:tc>
          <w:tcPr>
            <w:tcW w:w="0" w:type="dxa"/>
            <w:vAlign w:val="bottom"/>
          </w:tcPr>
          <w:p>
            <w:pPr>
              <w:spacing w:after="0"/>
              <w:rPr>
                <w:sz w:val="1"/>
                <w:szCs w:val="1"/>
                <w:color w:val="auto"/>
              </w:rPr>
            </w:pP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1,385,290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Perceptive Term Loan Facility, the Company may issue warrants for the purchase of up to an additional 750,000 shares of the Company’s common stock if and when the Company satisfies certain conditions and chooses to draw additional debt tranches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during the respective draw periods.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issued a total of 107,969 shares of common stock upon the cashless exercise of certain warrants during the three and six months ended June 30, 2025. No warrants to purchase common stock of the Company were exercised during the three and six months ended June 30, 2024.</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2019, the Company's Board of Directors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Pursuant to the evergreen provision, on January 1, 2025, an additional 705,613 shares of the Company's common stock became available for issuance under the 2019 Plan. As of June 30, 2025, 2,533,057 shares of the Company's common stock remained available for future awards under the 2019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5"/>
        </w:trPr>
        <w:tc>
          <w:tcPr>
            <w:tcW w:w="79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1,710,373</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8"/>
        </w:trPr>
        <w:tc>
          <w:tcPr>
            <w:tcW w:w="79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511,340</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(317,280)</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98"/>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(224,809)</w:t>
            </w:r>
          </w:p>
        </w:tc>
        <w:tc>
          <w:tcPr>
            <w:tcW w:w="36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2025</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1,679,624</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June 30, 2025, all of the 1,679,624 outstanding RSUs were unvested. The fair value of RSUs vested in the six months ended June 30, 2025 and 2024 was $1.3 million and $ 0.5 million, respectively. The weighted average grant date fair value for RSUs granted in the six months ended June 30, 2025 and 2024 was $ 3.97 and $1.89 per unit, respectively. As of June 30, 2025, total unrecognized compensation cost related to RSUs was $4.1 million, which is expected to be recognized over a remaining weighted-average vesting period of 2.8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169,570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(94,317)</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8.79</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564,441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tcPr>
          <w:p>
            <w:pPr>
              <w:ind w:left="20"/>
              <w:spacing w:after="0"/>
              <w:rPr>
                <w:sz w:val="20"/>
                <w:szCs w:val="20"/>
                <w:color w:val="auto"/>
              </w:rPr>
            </w:pPr>
            <w:r>
              <w:rPr>
                <w:rFonts w:ascii="Arial" w:cs="Arial" w:eastAsia="Arial" w:hAnsi="Arial"/>
                <w:sz w:val="14"/>
                <w:szCs w:val="14"/>
                <w:color w:val="auto"/>
              </w:rPr>
              <w:t>Vested and expected to vest, June 30,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564,441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June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379,524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169,570 and 55,500 stock options granted in the six months ended June 30, 2025 and 2024, respectively. The intrinsic value is calculated as the difference between the fair value of the Company's common stock and the exercise price of the stock options. The aggregate intrinsic value of options exercised during each of the six months ended June 30, 2025 and 2024 was negligible. As of June 30, 2025, total unrecognized compensation cost related to option awards was $0.6 million, which is expected to be recognized over a remaining weighted-average vesting period of 2.7 years.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shares of the Company's common stock through payroll deductions of up to 20.0% of their eligible compensation. The number of shares of the Company's common stock available for issuance under the ESPP will be annually increased on the first day of each calendar year during the term of the ESPP through January 1, 2029 in an amount equal to the lesser of (i) 1.0% of the outstanding capital stock on each December 31st, or (ii) such lesser amount determined by the Board. Pursuant to the evergreen provision, on January 1, 2025, an additional 176,403 shares of the Company's common stock became available for issuance under the ESPP. As of June 30, 2025, 619,593 shares of the Company's common stock remained available for issuance under the ESPP. During the six months ended June 30, 2025, a total of 80,554 shares of the Company's common stock were issued under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condensed statements of operations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r>
      <w:tr>
        <w:trPr>
          <w:trHeight w:val="19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944</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00"/>
        </w:trPr>
        <w:tc>
          <w:tcPr>
            <w:tcW w:w="3940" w:type="dxa"/>
            <w:vAlign w:val="bottom"/>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w:t>
            </w:r>
          </w:p>
        </w:tc>
      </w:tr>
      <w:tr>
        <w:trPr>
          <w:trHeight w:val="20"/>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(CODM) in making decisions regarding resource allocation and assessing performance. The Company views its operations as, and manages its business in, one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 CTD test.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CODM is its Chief Executive Officer. The CODM assesses performance for the segment and decides how to allocate resources based on revenue and net loss as reported on the condensed statements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$58.8 million and $44.7 million as of June 30, 2025 and December 31, 2024,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Segment revenue and net loss, including significant segment expenses regularly provided to the CODM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29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4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r>
      <w:tr>
        <w:trPr>
          <w:trHeight w:val="238"/>
        </w:trPr>
        <w:tc>
          <w:tcPr>
            <w:tcW w:w="5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r>
      <w:tr>
        <w:trPr>
          <w:trHeight w:val="19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17,654</w:t>
            </w:r>
          </w:p>
        </w:tc>
      </w:tr>
      <w:tr>
        <w:trPr>
          <w:trHeight w:val="178"/>
        </w:trPr>
        <w:tc>
          <w:tcPr>
            <w:tcW w:w="5480" w:type="dxa"/>
            <w:vAlign w:val="bottom"/>
          </w:tcPr>
          <w:p>
            <w:pPr>
              <w:ind w:left="20"/>
              <w:spacing w:after="0"/>
              <w:rPr>
                <w:sz w:val="20"/>
                <w:szCs w:val="20"/>
                <w:color w:val="auto"/>
              </w:rPr>
            </w:pPr>
            <w:r>
              <w:rPr>
                <w:rFonts w:ascii="Arial" w:cs="Arial" w:eastAsia="Arial" w:hAnsi="Arial"/>
                <w:sz w:val="14"/>
                <w:szCs w:val="14"/>
                <w:color w:val="auto"/>
              </w:rPr>
              <w:t>Segment operating expenses: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7"/>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13,415</w:t>
            </w:r>
          </w:p>
        </w:tc>
      </w:tr>
      <w:tr>
        <w:trPr>
          <w:trHeight w:val="198"/>
        </w:trPr>
        <w:tc>
          <w:tcPr>
            <w:tcW w:w="5480" w:type="dxa"/>
            <w:vAlign w:val="bottom"/>
          </w:tcPr>
          <w:p>
            <w:pPr>
              <w:ind w:left="360"/>
              <w:spacing w:after="0"/>
              <w:rPr>
                <w:sz w:val="20"/>
                <w:szCs w:val="20"/>
                <w:color w:val="auto"/>
              </w:rPr>
            </w:pPr>
            <w:r>
              <w:rPr>
                <w:rFonts w:ascii="Arial" w:cs="Arial" w:eastAsia="Arial" w:hAnsi="Arial"/>
                <w:sz w:val="14"/>
                <w:szCs w:val="14"/>
                <w:color w:val="auto"/>
              </w:rPr>
              <w:t>Outside services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2,189</w:t>
            </w:r>
          </w:p>
        </w:tc>
      </w:tr>
      <w:tr>
        <w:trPr>
          <w:trHeight w:val="207"/>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Facilities related</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r>
      <w:tr>
        <w:trPr>
          <w:trHeight w:val="198"/>
        </w:trPr>
        <w:tc>
          <w:tcPr>
            <w:tcW w:w="5480" w:type="dxa"/>
            <w:vAlign w:val="bottom"/>
          </w:tcPr>
          <w:p>
            <w:pPr>
              <w:ind w:left="360"/>
              <w:spacing w:after="0"/>
              <w:rPr>
                <w:sz w:val="20"/>
                <w:szCs w:val="20"/>
                <w:color w:val="auto"/>
              </w:rPr>
            </w:pPr>
            <w:r>
              <w:rPr>
                <w:rFonts w:ascii="Arial" w:cs="Arial" w:eastAsia="Arial" w:hAnsi="Arial"/>
                <w:sz w:val="14"/>
                <w:szCs w:val="14"/>
                <w:color w:val="auto"/>
              </w:rPr>
              <w:t>Travel &amp; entertainment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1,120</w:t>
            </w:r>
          </w:p>
        </w:tc>
      </w:tr>
      <w:tr>
        <w:trPr>
          <w:trHeight w:val="207"/>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compensation</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r>
      <w:tr>
        <w:trPr>
          <w:trHeight w:val="198"/>
        </w:trPr>
        <w:tc>
          <w:tcPr>
            <w:tcW w:w="54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207"/>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w:t>
            </w:r>
          </w:p>
        </w:tc>
      </w:tr>
      <w:tr>
        <w:trPr>
          <w:trHeight w:val="192"/>
        </w:trPr>
        <w:tc>
          <w:tcPr>
            <w:tcW w:w="54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segment operating expenses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23,244</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(5,590)</w:t>
            </w:r>
          </w:p>
        </w:tc>
      </w:tr>
      <w:tr>
        <w:trPr>
          <w:trHeight w:val="198"/>
        </w:trPr>
        <w:tc>
          <w:tcPr>
            <w:tcW w:w="54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(1,109)</w:t>
            </w:r>
          </w:p>
        </w:tc>
      </w:tr>
      <w:tr>
        <w:trPr>
          <w:trHeight w:val="207"/>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192"/>
        </w:trPr>
        <w:tc>
          <w:tcPr>
            <w:tcW w:w="548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(6,326)</w:t>
            </w: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480" w:type="dxa"/>
            <w:vAlign w:val="bottom"/>
          </w:tcPr>
          <w:p>
            <w:pPr>
              <w:ind w:left="20"/>
              <w:spacing w:after="0"/>
              <w:rPr>
                <w:sz w:val="20"/>
                <w:szCs w:val="20"/>
                <w:color w:val="auto"/>
              </w:rPr>
            </w:pPr>
            <w:r>
              <w:rPr>
                <w:rFonts w:ascii="Arial" w:cs="Arial" w:eastAsia="Arial" w:hAnsi="Arial"/>
                <w:sz w:val="14"/>
                <w:szCs w:val="14"/>
                <w:color w:val="auto"/>
              </w:rPr>
              <w:t>Segment net loss</w:t>
            </w: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(8,191)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(6,326)</w:t>
            </w:r>
          </w:p>
        </w:tc>
      </w:tr>
      <w:tr>
        <w:trPr>
          <w:trHeight w:val="20"/>
        </w:trPr>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Other segment items included in Segment net loss include insurance expenses, trade show and conference expenses, fulfillment expenses, board compensation, clinical trial expenses, collaboration expenses and bank fees, among others.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(this Quarterly Report) and with our audited financial statements and notes thereto included in our 2024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IA, "Risk Factors" in our 2024 Annual Report and Part II, Item 1A, “Risk Factors” in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 Beginning in late 2022, we revitalized our organization with the addition of key members to our senior leadership team, including our Chief Executive Officer, Chief Financial Officer, Vice President of Sales, Chief Medical Officer, and Medical and Laboratory Director. By leveraging 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are executing an operational turnaround of the business, resulting in a return to revenue growth and gross margin expansion while significantly reducing operating expenses and cash burn.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our AVISE® tests are performed in our approximately 13,000 square foot laboratory located in Vista, California, which is certified under the clinical laboratory testing administered by the Centers for Medicare &amp;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t>Medicaid Services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launching AVISE® CTD, we have produced an extensive body of peer-reviewed literature supporting the test’s clinical validity and utility, demonstrating the importance of AVISE® CTD in patient care. Revenue from this product comprised 91% and 90% of our revenue for the six months ended June 30, 2025 and 2024,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AVISE®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Public Offering</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8, 2025, we entered into the Underwriting Agreement with the Underwriter relating to the issuance and sale of an aggregate of 3,852,500 shares of our common stock, including 502,500 shares of our common stock issued and sold pursuant to the exercise in full of the Underwriters’ option to purchase additional shares, to the Underwriter at a price to the public of $5.25 per share. The 2025 Public Offering closed on May 9, 2025. The net proceeds to us from the 2025 Public Offering were approximately $18.6 million after deducting $1.6 million of the underwriting discounts and commissions and other offering expenses payable by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Perceptive Term Loan Facility</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25, 2025, we entered into the Credit Agreement with Perceptive, which provides for a senior secured delayed draw term loan facility in an aggregate principal amount of up to $75.0 million. The Tranche A Loan of $25.0 million was funded on April 25, 2025. The Tranche B Loan, the Tranche C Loan, and the Tranche D Loan may be drawn subject to the Company’s satisfaction of certain conditions precedent, including specified revenue milestones (the funding date of the Tranche B Loan, the Tranche B Borrowing Date, the funding date of the Tranche C Loan, the Tranche C Borrowing Date, and the funding date of the Tranche D Loan, the Tranche D Borrowing Date). The Perceptive Term Loan Facility matures on April 25, 2030, and includes an interest-only period through maturity, with all outstanding principal and accrued interest due on the maturity date.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Perceptive Term Loan Facility accrues interest at an annual rate equal to the greater of (i) Term SOFR or (ii) 4.75%, plus the Applicable Margin, payable monthly in arrears. Upon the occurrence and during the continuance of an event of default, the Applicable Margin may be increased by 4.0% at Perceptive’s election. We may prepay the Term Loans at any time, subject to prepayment premiums ranging from 2.0% to 10.0% of the principal amount, depending on the date of prepayment.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color w:val="auto"/>
        </w:rPr>
        <w:t>The Credit Agreement is secured by a first-priority lien on substantially all of our existing and future assets. In connection with the Credit Agreement, we also issued Perceptive the Warrant Certificate, with portions of the Warrant Certificate vesting upon funding of the various tranches. The Warrant Certificate has a ten-year term from the applicable vesting date and includes customary anti-dilution and registration rights provisions.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includes customary affirmative, negative, and financial covenants. These include, among others, restrictions on additional indebtedness, liens, dividends, mergers and acquisitions, and affiliate transactions. The Credit Agreement also requires that we maintain a minimum unrestricted cash balance of $3.0 million and achieve specified net revenue levels on a quarterly basis beginning with the quarter ending June 30,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continue our thoughtful approach to research and development. We believe there is significant potential to enhance existing or develop new testing products with superior clinical utility, on our own or through collaboration with partners.</w:t>
      </w:r>
    </w:p>
    <w:p>
      <w:pPr>
        <w:spacing w:after="0" w:line="193" w:lineRule="exact"/>
        <w:rPr>
          <w:sz w:val="20"/>
          <w:szCs w:val="20"/>
          <w:color w:val="auto"/>
        </w:rPr>
      </w:pPr>
    </w:p>
    <w:p>
      <w:pPr>
        <w:jc w:val="both"/>
        <w:ind w:left="660" w:hanging="328"/>
        <w:spacing w:after="0" w:line="259" w:lineRule="auto"/>
        <w:tabs>
          <w:tab w:leader="none" w:pos="656"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Peptidyl Arginine Deiminase 4 (PAD4) Biomarkers</w:t>
      </w:r>
      <w:r>
        <w:rPr>
          <w:rFonts w:ascii="Arial" w:cs="Arial" w:eastAsia="Arial" w:hAnsi="Arial"/>
          <w:sz w:val="18"/>
          <w:szCs w:val="18"/>
          <w:color w:val="auto"/>
        </w:rPr>
        <w:t>. We currently plan to commercially launch our PAD4 biomarker around the end of this year. We expect to gain ~8% in overall sensitivity for identifying patients with RA who would otherwise be serologically negative. This sensitivity gain would put our overall ability to detect the RA patient population at approximately 85%, far above conventional markers alone.</w:t>
      </w:r>
    </w:p>
    <w:p>
      <w:pPr>
        <w:spacing w:after="0" w:line="217" w:lineRule="exact"/>
        <w:rPr>
          <w:rFonts w:ascii="Arial" w:cs="Arial" w:eastAsia="Arial" w:hAnsi="Arial"/>
          <w:sz w:val="22"/>
          <w:szCs w:val="22"/>
          <w:color w:val="auto"/>
        </w:rPr>
      </w:pPr>
    </w:p>
    <w:p>
      <w:pPr>
        <w:jc w:val="both"/>
        <w:ind w:left="660" w:hanging="328"/>
        <w:spacing w:after="0" w:line="249" w:lineRule="auto"/>
        <w:tabs>
          <w:tab w:leader="none" w:pos="683" w:val="left"/>
        </w:tabs>
        <w:numPr>
          <w:ilvl w:val="0"/>
          <w:numId w:val="6"/>
        </w:numPr>
        <w:rPr>
          <w:rFonts w:ascii="Arial" w:cs="Arial" w:eastAsia="Arial" w:hAnsi="Arial"/>
          <w:sz w:val="22"/>
          <w:szCs w:val="22"/>
          <w:color w:val="auto"/>
        </w:rPr>
      </w:pPr>
      <w:r>
        <w:rPr>
          <w:rFonts w:ascii="Arial" w:cs="Arial" w:eastAsia="Arial" w:hAnsi="Arial"/>
          <w:sz w:val="18"/>
          <w:szCs w:val="18"/>
          <w:u w:val="single" w:color="auto"/>
          <w:color w:val="auto"/>
        </w:rPr>
        <w:t>Lupus Nephritis (LN) Biomarkers</w:t>
      </w:r>
      <w:r>
        <w:rPr>
          <w:rFonts w:ascii="Arial" w:cs="Arial" w:eastAsia="Arial" w:hAnsi="Arial"/>
          <w:sz w:val="18"/>
          <w:szCs w:val="18"/>
          <w:color w:val="auto"/>
        </w:rPr>
        <w:t>. We continue to leverage our intellectual property licensed from Johns Hopkins University to develop a test for detecting protein analytes in urine that can aid rheumatologists in the ongoing management and risk stratification of patients suffering from LN. We are currently testing a new customized array and currently expect to have results of this testing in</w:t>
      </w:r>
    </w:p>
    <w:p>
      <w:pPr>
        <w:spacing w:after="0" w:line="1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third quarter of 2025. We expect to make this panel available initially through Pharma collaborations for research use prior to releasing commercially through our clinical lab.</w:t>
      </w:r>
    </w:p>
    <w:p>
      <w:pPr>
        <w:spacing w:after="0" w:line="193" w:lineRule="exact"/>
        <w:rPr>
          <w:sz w:val="20"/>
          <w:szCs w:val="20"/>
          <w:color w:val="auto"/>
        </w:rPr>
      </w:pPr>
    </w:p>
    <w:p>
      <w:pPr>
        <w:jc w:val="both"/>
        <w:ind w:left="660" w:hanging="328"/>
        <w:spacing w:after="0" w:line="244"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u w:val="single" w:color="auto"/>
          <w:color w:val="auto"/>
        </w:rPr>
        <w:t>SLE Disease Activity</w:t>
      </w:r>
      <w:r>
        <w:rPr>
          <w:rFonts w:ascii="Arial" w:cs="Arial" w:eastAsia="Arial" w:hAnsi="Arial"/>
          <w:sz w:val="18"/>
          <w:szCs w:val="18"/>
          <w:color w:val="auto"/>
        </w:rPr>
        <w:t>. We are continuing to leverage clinical and laboratory data collected across multiple longitudinal SLE cohorts to identify a set of biomarkers that can inform an AI-developed algorithm aimed at guiding ongoing treatment decisions throughout the course of a lupus patient’s journey. This candidate assay for SLE Disease Activity is currently being clinically validated with patient recruitment ongoing.</w:t>
      </w:r>
    </w:p>
    <w:p>
      <w:pPr>
        <w:spacing w:after="0" w:line="232" w:lineRule="exact"/>
        <w:rPr>
          <w:rFonts w:ascii="Arial" w:cs="Arial" w:eastAsia="Arial" w:hAnsi="Arial"/>
          <w:sz w:val="22"/>
          <w:szCs w:val="22"/>
          <w:color w:val="auto"/>
        </w:rPr>
      </w:pPr>
    </w:p>
    <w:p>
      <w:pPr>
        <w:jc w:val="both"/>
        <w:ind w:left="660" w:hanging="328"/>
        <w:spacing w:after="0" w:line="244"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u w:val="single" w:color="auto"/>
          <w:color w:val="auto"/>
        </w:rPr>
        <w:t>RA Disease Activity</w:t>
      </w:r>
      <w:r>
        <w:rPr>
          <w:rFonts w:ascii="Arial" w:cs="Arial" w:eastAsia="Arial" w:hAnsi="Arial"/>
          <w:sz w:val="18"/>
          <w:szCs w:val="18"/>
          <w:color w:val="auto"/>
        </w:rPr>
        <w:t>. We are also continuing to leverage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 This candidate assay for RA disease activity is in development, with the validation cohort procured for analysis.</w:t>
      </w:r>
    </w:p>
    <w:p>
      <w:pPr>
        <w:spacing w:after="0" w:line="232" w:lineRule="exact"/>
        <w:rPr>
          <w:rFonts w:ascii="Arial" w:cs="Arial" w:eastAsia="Arial" w:hAnsi="Arial"/>
          <w:sz w:val="22"/>
          <w:szCs w:val="22"/>
          <w:color w:val="auto"/>
        </w:rPr>
      </w:pPr>
    </w:p>
    <w:p>
      <w:pPr>
        <w:jc w:val="both"/>
        <w:ind w:left="660" w:hanging="328"/>
        <w:spacing w:after="0" w:line="244"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u w:val="single" w:color="auto"/>
          <w:color w:val="auto"/>
        </w:rPr>
        <w:t>Kidney Damage Biomarkers</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developed a four-protein blood-based panel, which sensitively detects kidney damage in early LN and diabetic nephropathy which significantly outperforms creatinine and eGFR. A provisional patent application was filed in November 2024 for methods of detecting kidney damage using the blood-based panel. We continue to expect to make this panel available initially through Pharma collaborations for research use prior to releasing commercially through our clinical lab.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193" w:lineRule="exact"/>
        <w:rPr>
          <w:sz w:val="20"/>
          <w:szCs w:val="20"/>
          <w:color w:val="auto"/>
        </w:rPr>
      </w:pPr>
    </w:p>
    <w:p>
      <w:pPr>
        <w:jc w:val="both"/>
        <w:ind w:left="660" w:hanging="328"/>
        <w:spacing w:after="0" w:line="249" w:lineRule="auto"/>
        <w:tabs>
          <w:tab w:leader="none" w:pos="683" w:val="left"/>
        </w:tabs>
        <w:numPr>
          <w:ilvl w:val="0"/>
          <w:numId w:val="8"/>
        </w:numPr>
        <w:rPr>
          <w:rFonts w:ascii="Arial" w:cs="Arial" w:eastAsia="Arial" w:hAnsi="Arial"/>
          <w:sz w:val="22"/>
          <w:szCs w:val="22"/>
          <w:color w:val="auto"/>
        </w:rPr>
      </w:pPr>
      <w:r>
        <w:rPr>
          <w:rFonts w:ascii="Arial" w:cs="Arial" w:eastAsia="Arial" w:hAnsi="Arial"/>
          <w:sz w:val="18"/>
          <w:szCs w:val="18"/>
          <w:i w:val="1"/>
          <w:iCs w:val="1"/>
          <w:u w:val="single" w:color="auto"/>
          <w:color w:val="auto"/>
        </w:rPr>
        <w:t>Commercial Launch of AVISE® CTD Enhancements.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Our flagship product, AVISE® CTD, enables clinicians to more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 complex autoimmune conditions such as SLE, RA, and Sjögren’s syndrome earlier and with greater accuracy, in each case, as compared to the current standard of care. Our laboratory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jc w:val="both"/>
        <w:ind w:left="328"/>
        <w:spacing w:after="0" w:line="268" w:lineRule="auto"/>
        <w:rPr>
          <w:sz w:val="20"/>
          <w:szCs w:val="20"/>
          <w:color w:val="auto"/>
        </w:rPr>
      </w:pPr>
      <w:r>
        <w:rPr>
          <w:rFonts w:ascii="Arial" w:cs="Arial" w:eastAsia="Arial" w:hAnsi="Arial"/>
          <w:sz w:val="18"/>
          <w:szCs w:val="18"/>
          <w:color w:val="auto"/>
        </w:rPr>
        <w:t>specializes in the testing of rheumatic diseases, delivering precise and timely results, supported by a full suite of AVISE®-branded tests for disease diagnosis, prognosis, and monitoring. With a focus on research, innovation, education, and patient-centered care, we are dedicated to addressing the ongoing challenges of autoimmune disease management.</w:t>
      </w:r>
    </w:p>
    <w:p>
      <w:pPr>
        <w:spacing w:after="0" w:line="171"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In January 2025, we announced conditional approval by the New York State Department of Health and commercial launch of our new SLE and RA biomarker assays on the AVISE® CTD platform. Collectively, we believe these new biomarkers will further improve the clinical utility of AVISE® CTD, providing clinicians with the information they need to definitively diagnose patients and shorten their autoimmune diagnostic journeys. We expect the addition of these new biomarkers will continue to drive gains in our AVISE® CTD average selling price, gross margin expansion and increase demand while positioning us for profitability.</w:t>
      </w:r>
    </w:p>
    <w:p>
      <w:pPr>
        <w:spacing w:after="0" w:line="220" w:lineRule="exact"/>
        <w:rPr>
          <w:sz w:val="20"/>
          <w:szCs w:val="20"/>
          <w:color w:val="auto"/>
        </w:rPr>
      </w:pPr>
    </w:p>
    <w:p>
      <w:pPr>
        <w:jc w:val="both"/>
        <w:ind w:left="328" w:hanging="328"/>
        <w:spacing w:after="0" w:line="249" w:lineRule="auto"/>
        <w:tabs>
          <w:tab w:leader="none" w:pos="324"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Reimbursement for Our Testing Products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 depends on achieving broad coverage and reimbursement for our tests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held claims in the first half of the fiscal year ended December 31, 2024, which resulted in increases in our accounts receivable and an accelerated decrease in our cash in the same period. As expected, this trend reversed in the second half of the fiscal year ended December 31, 2024 as cash was collected on billed tests. We held claims in the first quarter of the fiscal year ending December 31, 2025, which resulted in increases in our accounts receivable and an accelerated decrease in our cash in the same period and a reversal of that trend is expected in the remaining two quarters of the fiscal year ending December 31, 2025.</w:t>
      </w:r>
    </w:p>
    <w:p>
      <w:pPr>
        <w:spacing w:after="0" w:line="232" w:lineRule="exact"/>
        <w:rPr>
          <w:rFonts w:ascii="Arial" w:cs="Arial" w:eastAsia="Arial" w:hAnsi="Arial"/>
          <w:sz w:val="22"/>
          <w:szCs w:val="22"/>
          <w:color w:val="auto"/>
        </w:rPr>
      </w:pPr>
    </w:p>
    <w:p>
      <w:pPr>
        <w:jc w:val="both"/>
        <w:ind w:left="328" w:hanging="328"/>
        <w:spacing w:after="0" w:line="237" w:lineRule="auto"/>
        <w:tabs>
          <w:tab w:leader="none" w:pos="324"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Expanding Adoption of AVISE® CTD.</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in 2012 and through June 30, 2025, we have delivered over</w:t>
      </w:r>
      <w:r>
        <w:rPr>
          <w:rFonts w:ascii="Arial" w:cs="Arial" w:eastAsia="Arial" w:hAnsi="Arial"/>
          <w:sz w:val="18"/>
          <w:szCs w:val="18"/>
          <w:i w:val="1"/>
          <w:iCs w:val="1"/>
          <w:color w:val="auto"/>
        </w:rPr>
        <w:t xml:space="preserve"> </w:t>
      </w:r>
      <w:r>
        <w:rPr>
          <w:rFonts w:ascii="Arial" w:cs="Arial" w:eastAsia="Arial" w:hAnsi="Arial"/>
          <w:sz w:val="18"/>
          <w:szCs w:val="18"/>
          <w:color w:val="auto"/>
        </w:rPr>
        <w:t>one million of these tests. During the three months ended June 30, 2025,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increased by approximately 7% over the same period in 2024 and increased by approximately 14% over the first quarter of 2025. Revenue growth for our testing products will depend, in part, on our ability to continue to expand our base of ordering healthcare providers and increase our penetration with existing healthcare providers, and on the success of the T-Cell Biomarkers and RA Sub-Profile Biomarkers which we added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in January 2025.</w:t>
      </w:r>
    </w:p>
    <w:p>
      <w:pPr>
        <w:spacing w:after="0" w:line="155" w:lineRule="exact"/>
        <w:rPr>
          <w:rFonts w:ascii="Arial" w:cs="Arial" w:eastAsia="Arial" w:hAnsi="Arial"/>
          <w:sz w:val="22"/>
          <w:szCs w:val="22"/>
          <w:color w:val="auto"/>
        </w:rPr>
      </w:pPr>
    </w:p>
    <w:p>
      <w:pPr>
        <w:jc w:val="both"/>
        <w:ind w:left="328" w:hanging="328"/>
        <w:spacing w:after="0" w:line="249" w:lineRule="auto"/>
        <w:tabs>
          <w:tab w:leader="none" w:pos="351" w:val="left"/>
        </w:tabs>
        <w:numPr>
          <w:ilvl w:val="0"/>
          <w:numId w:val="9"/>
        </w:numPr>
        <w:rPr>
          <w:rFonts w:ascii="Arial" w:cs="Arial" w:eastAsia="Arial" w:hAnsi="Arial"/>
          <w:sz w:val="22"/>
          <w:szCs w:val="22"/>
          <w:color w:val="auto"/>
        </w:rPr>
      </w:pPr>
      <w:r>
        <w:rPr>
          <w:rFonts w:ascii="Arial" w:cs="Arial" w:eastAsia="Arial" w:hAnsi="Arial"/>
          <w:sz w:val="18"/>
          <w:szCs w:val="18"/>
          <w:i w:val="1"/>
          <w:iCs w:val="1"/>
          <w:u w:val="single" w:color="auto"/>
          <w:color w:val="auto"/>
        </w:rPr>
        <w:t>Development of Innovative Testing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continue to invest in research and development in order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w:t>
      </w: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06" w:right="339" w:bottom="1440" w:gutter="0" w:footer="0" w:header="0"/>
        </w:sectPr>
      </w:pPr>
    </w:p>
    <w:bookmarkStart w:id="26" w:name="page27"/>
    <w:bookmarkEnd w:id="26"/>
    <w:p>
      <w:pPr>
        <w:ind w:left="660"/>
        <w:spacing w:after="0" w:line="287" w:lineRule="auto"/>
        <w:rPr>
          <w:sz w:val="20"/>
          <w:szCs w:val="20"/>
          <w:color w:val="auto"/>
        </w:rPr>
      </w:pPr>
      <w:r>
        <w:rPr>
          <w:rFonts w:ascii="Arial" w:cs="Arial" w:eastAsia="Arial" w:hAnsi="Arial"/>
          <w:sz w:val="18"/>
          <w:szCs w:val="18"/>
          <w:color w:val="auto"/>
        </w:rPr>
        <w:t>capabilities, bioinformatic team and proprietary technologies to pursue the development of additional testing products designed to have superior clinical utility for rheumatic conditions.</w:t>
      </w:r>
    </w:p>
    <w:p>
      <w:pPr>
        <w:spacing w:after="0" w:line="193" w:lineRule="exact"/>
        <w:rPr>
          <w:sz w:val="20"/>
          <w:szCs w:val="20"/>
          <w:color w:val="auto"/>
        </w:rPr>
      </w:pPr>
    </w:p>
    <w:p>
      <w:pPr>
        <w:jc w:val="both"/>
        <w:ind w:left="660" w:hanging="328"/>
        <w:spacing w:after="0" w:line="247" w:lineRule="auto"/>
        <w:tabs>
          <w:tab w:leader="none" w:pos="656" w:val="left"/>
        </w:tabs>
        <w:numPr>
          <w:ilvl w:val="0"/>
          <w:numId w:val="10"/>
        </w:numPr>
        <w:rPr>
          <w:rFonts w:ascii="Arial" w:cs="Arial" w:eastAsia="Arial" w:hAnsi="Arial"/>
          <w:sz w:val="22"/>
          <w:szCs w:val="22"/>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a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enhancements and improved operating expense efficiencies through the implementation of certain internal initiatives, such as leveraging validation, utility and reimbursement-oriented clinical studies to facilitate payor coverage of our testing products. We center our efforts around long-term reimbursement and Average Selling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230" w:lineRule="exact"/>
        <w:rPr>
          <w:rFonts w:ascii="Arial" w:cs="Arial" w:eastAsia="Arial" w:hAnsi="Arial"/>
          <w:sz w:val="22"/>
          <w:szCs w:val="22"/>
          <w:color w:val="auto"/>
        </w:rPr>
      </w:pPr>
    </w:p>
    <w:p>
      <w:pPr>
        <w:jc w:val="both"/>
        <w:ind w:left="660" w:hanging="328"/>
        <w:spacing w:after="0" w:line="237" w:lineRule="auto"/>
        <w:tabs>
          <w:tab w:leader="none" w:pos="669" w:val="left"/>
        </w:tabs>
        <w:numPr>
          <w:ilvl w:val="0"/>
          <w:numId w:val="10"/>
        </w:numPr>
        <w:rPr>
          <w:rFonts w:ascii="Arial" w:cs="Arial" w:eastAsia="Arial" w:hAnsi="Arial"/>
          <w:sz w:val="22"/>
          <w:szCs w:val="22"/>
          <w:color w:val="auto"/>
        </w:rPr>
      </w:pPr>
      <w:r>
        <w:rPr>
          <w:rFonts w:ascii="Arial" w:cs="Arial" w:eastAsia="Arial" w:hAnsi="Arial"/>
          <w:sz w:val="18"/>
          <w:szCs w:val="18"/>
          <w:i w:val="1"/>
          <w:iCs w:val="1"/>
          <w:u w:val="single" w:color="auto"/>
          <w:color w:val="auto"/>
        </w:rPr>
        <w:t>Timing of Our Research and Development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conduct clinical studies to validate our new testing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235" w:lineRule="exact"/>
        <w:rPr>
          <w:rFonts w:ascii="Arial" w:cs="Arial" w:eastAsia="Arial" w:hAnsi="Arial"/>
          <w:sz w:val="22"/>
          <w:szCs w:val="22"/>
          <w:color w:val="auto"/>
        </w:rPr>
      </w:pPr>
    </w:p>
    <w:p>
      <w:pPr>
        <w:jc w:val="both"/>
        <w:ind w:left="660" w:hanging="328"/>
        <w:spacing w:after="0" w:line="249" w:lineRule="auto"/>
        <w:tabs>
          <w:tab w:leader="none" w:pos="683" w:val="left"/>
        </w:tabs>
        <w:numPr>
          <w:ilvl w:val="0"/>
          <w:numId w:val="10"/>
        </w:numPr>
        <w:rPr>
          <w:rFonts w:ascii="Arial" w:cs="Arial" w:eastAsia="Arial" w:hAnsi="Arial"/>
          <w:sz w:val="22"/>
          <w:szCs w:val="22"/>
          <w:color w:val="auto"/>
        </w:rPr>
      </w:pPr>
      <w:r>
        <w:rPr>
          <w:rFonts w:ascii="Arial" w:cs="Arial" w:eastAsia="Arial" w:hAnsi="Arial"/>
          <w:sz w:val="18"/>
          <w:szCs w:val="18"/>
          <w:i w:val="1"/>
          <w:iCs w:val="1"/>
          <w:u w:val="single" w:color="auto"/>
          <w:color w:val="auto"/>
        </w:rPr>
        <w:t>How We Recognize Revenue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revenue on an accrual basis, using an estimate of the amount that we will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226" w:lineRule="exact"/>
        <w:rPr>
          <w:rFonts w:ascii="Arial" w:cs="Arial" w:eastAsia="Arial" w:hAnsi="Arial"/>
          <w:sz w:val="22"/>
          <w:szCs w:val="22"/>
          <w:color w:val="auto"/>
        </w:rPr>
      </w:pPr>
    </w:p>
    <w:p>
      <w:pPr>
        <w:jc w:val="both"/>
        <w:ind w:left="660" w:hanging="328"/>
        <w:spacing w:after="0" w:line="247" w:lineRule="auto"/>
        <w:tabs>
          <w:tab w:leader="none" w:pos="656" w:val="left"/>
        </w:tabs>
        <w:numPr>
          <w:ilvl w:val="0"/>
          <w:numId w:val="10"/>
        </w:numPr>
        <w:rPr>
          <w:rFonts w:ascii="Arial" w:cs="Arial" w:eastAsia="Arial" w:hAnsi="Arial"/>
          <w:sz w:val="22"/>
          <w:szCs w:val="22"/>
          <w:color w:val="auto"/>
        </w:rPr>
      </w:pPr>
      <w:r>
        <w:rPr>
          <w:rFonts w:ascii="Arial" w:cs="Arial" w:eastAsia="Arial" w:hAnsi="Arial"/>
          <w:sz w:val="18"/>
          <w:szCs w:val="18"/>
          <w:i w:val="1"/>
          <w:iCs w:val="1"/>
          <w:u w:val="single" w:color="auto"/>
          <w:color w:val="auto"/>
        </w:rPr>
        <w:t>Changes in U.S. Trade Policy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results of operations and financial condition may be adversely affected by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and changes in U.S. trade policies, including tariffs, quotas, trade agreements or other trade restrictions imposed by the U.S. or other governments. Our business requires access to reagents and other materials to run our tests, some of which we source from suppliers located outside the U.S., including Germany. Any imposition of or increase in tariffs or other restrictions on imports of reagents or other materials,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2024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8"/>
          <w:szCs w:val="18"/>
          <w:color w:val="auto"/>
        </w:rPr>
        <w:t>costs. The severity and duration of the current inflationary environment remains uncertain and may continue to impact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increase our revenue will depend on the success of the T-Cell Biomarker and RA Sub-Profile Biomarkers enhancements to our AVISE® CTD test, in addition to our ability to further penetrate the market for our current and future testing products and increase our reimbursement and collection rates (ASP) for tests delivered.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2022, we were granted a Proprietary Laboratory Analyses code (PLA code) for our protein-based test, AVISE® Lupus, which is offered standalone or as part of our AVISE® CTD test. Noridian Healthcare Solutions (Noridian), our Medicare Administrative Contractor (MAC), has set the current pricing for this PLA code at $840.65 per test. CMS will align local MAC pricing with national payment rates for the PLA code on the 2026 Clinical Laboratory Fee Schedule (CLFS) through their annual payment determination process to provide a standardized, nationally determined payment rate.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submitted a formal request to Noridian for coverage of our AVISE® Lupus test under the new PLA Code and on September 27, 2022, we received notice that Noridian deemed our application for a Local Coverage Determination (LCD) to be valid, but our application is still pending. Ultimately receiving a favorable LCD is uncertain and may be time-consuming, resource intensive and require multiple quarterly or annual periods to complete and is subject to risks and uncertainties described in the section entitled "Risk Factors" in our 2024 Annual Report and this Quarterly Report. Further, on January 20, 2025, President Trump issued an Executive Order entitled Regulatory Freeze Pending Review, which halted all federal level regulatory rules and guidance not yet in effect. Because the Executive Order extends to LCDs not yet in effect, it leaves the fate and timing of our LCD application uncertain.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meantime, we have continued to submit Medicare claims for AVISE® Lupus, appeal denials and responses to requests for additional information. On January 31, 2024, CMS released a coverage article under which all multi-analyte proteomic testing will be considered within the scope of the Molecular Diagnostic Services Program administered by Palmetto GBA on behalf of CMS (MolDX) and reviewed through their technology assessment process. The article listed several such tests, including the AVISE® Lupus test, and requires all laboratories furnishing multi-analyte proteomics testing in MolDX jurisdictions to register with the DEX® Diagnostics Exchange Registry and obtain a Z-Code® identifier. We were issued a Z-Code® identifier in May 2024. To determine if the submitted tests are compliant with relevant policy requirements, these tests will undergo technical assessment by Palmetto GBA as part of the MolDX program. That technical assessment is on hold until such time as an LCD is issued by CMS. In the interim, our current status with CMS will remain unchanged.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During the fiscal year ended December 31, 2024, we experienced moderate declines in test volume since the second half of the fiscal year ended December 31, 2023, as rheumatologists and patients adjusted to these changes. During the first half of 2025, we saw a return to volume growth. The number of AVISE® CTD tests delivered during the three months ended June 30, 2025 improved by approximately 7% as compared to the number of AVISE® CTD tests delivered during the three months ended June 30, 2024 due continuing physician demand and adoption, early traction from our new biomarkers, and salesforce expansion. Additionally, the trailing-twelve-month ASP of our AVISE® CTD tests increased by approximately 7% during the three months ended June 30, 2025 compared to the same period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represents the expenses associated with obtaining and testing patient specimens. The components of our cost of revenue include materials costs, direct labor, equipment, infrastructure expenses, shipping charges to transport specimens, blood specimen collections fees, royalties, depreciation and allocated overhead (including rent and utilities).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 of revenue as a percentage of revenue may vary significantly from period to period due to the composition of payors for each period's billings. Our cost per AVISE® CTD test has increased year-over-year as a result of costs associated with the addition of the T-Cell Biomarkers and RA Sub-Profile Biomarkers to our AVISE® CTD test.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We expect interest expense to increase by approximately $1.7 million annually, including an increase of $ 0.9 million in non-cash interest expense, in the year ending December 31, 2025 as compared to the year ended December 31, 2024, as a result of borrowings under the Perceptive Term Loan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Loss on extinguishment of debt consists of the unamortized debt issuance costs and final payment fee due under the terms of the Amended Loan Agreement. The Amended Loan Agreement was fully repaid and terminated on April 25, 2025.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the fair value of the warrant liability relates to our issued warrants and commitments to issue warrants for the purchase of our common stock in connection with the Credit Agreement with Perceptive.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2025 and 2024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w:t>
            </w:r>
          </w:p>
        </w:tc>
      </w:tr>
      <w:tr>
        <w:trPr>
          <w:trHeight w:val="19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w:t>
            </w:r>
          </w:p>
        </w:tc>
      </w:tr>
      <w:tr>
        <w:trPr>
          <w:trHeight w:val="17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5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w:t>
            </w:r>
          </w:p>
        </w:tc>
      </w:tr>
      <w:tr>
        <w:trPr>
          <w:trHeight w:val="198"/>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r>
      <w:tr>
        <w:trPr>
          <w:trHeight w:val="200"/>
        </w:trPr>
        <w:tc>
          <w:tcPr>
            <w:tcW w:w="5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13,025</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25"/>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top w:val="single" w:sz="8" w:color="auto"/>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increased $ 2.1 million, or 14.2%, for the three months ended June 30, 2025 compared to the three months ended June 30, 2024, primarily due to ASP expansion driven primarily by our new biomarkers, and, to a lesser extent, an increase in test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three months ended June 30, 2025 increased by approximately 7% compared to the same period in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increased $0.8 million, or 13.3%, for the three months ended June 30, 2025 compared to the three months ended June 30, 2024. This increase was primarily due to increases of $0.8 million in materials and supplies related to our new biomarkers and $0.1 million in employee-related expenses (including salaries, benefits and stock-based compensation) related to increased headcount, partially offset by a decrease of $0.1 million in shipping and handling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margin as a percentage of revenue increased slightly to 60.4% for the three months ended June 30, 2025 compared to 60.1% for the three months ended June 30, 2024, primarily due to ASP expansion driven by our new biomarkers and improved overhead absorption.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$1.1 million, or 10.3%, for the three months ended June 30, 2025 compared to the three months ended June 30, 2024. This increase was primarily due to an increase of $0.5 million in employee-related expenses (including salaries, benefits and stock-based compensation) related to increased headcount, and an increase of $0.3 million in outside services, and an increase of $0.3 million in other expenses.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expect that our selling, general and administrative expenses may increase moderately in absolute dollars in the near-term as we expand our sales force and invest in infrastructure to support expected volume and revenue growth, but should decrease year-over-year as a percentage of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expenses increased $0.3 million, or 25.8%, for the three months ended June 30, 2025 compared to the three months ended June 30, 2024. This increase was primarily due to an increase of $0.2 million in employee-related expenses (including salaries, benefits and stock-based compensation) and an increase of $0.1 million in outside services.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research and development expenses may increase moderately in absolute dollars in the near-term as we execute on additional pipeline initiatives, but should decrease year-over-year as a percentage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expense increased by $0.6 million, including an increase of $0.2 million in non-cash interest expense, for the three months ended June 30, 2025 compared to the three months ended June 30, 2024, primarily due to the Perceptive Term Loan Facility that we entered into in April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Loss on extinguishment of debt increased by $ 0.3 million for the three months ended June 30, 2025 compared to the three months ended June 30, 2024, as a result of our early payoff of all outstanding indebtedness under the Amended Loan Agreement in April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the warrant liability increased by $0.4 million for the three months ended June 30, 2025 compared to the three months ended June 30, 2024, primarily due to increases in the fair value of the underlying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income remained substantially consistent for the three months ended June 30, 2025 compared to the three months ended June 30,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Comparison of the Six Months Ended June 30, 2025 and 2024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57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19,518</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w:t>
            </w:r>
          </w:p>
        </w:tc>
      </w:tr>
      <w:tr>
        <w:trPr>
          <w:trHeight w:val="178"/>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7"/>
        </w:trPr>
        <w:tc>
          <w:tcPr>
            <w:tcW w:w="5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22,746</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r>
      <w:tr>
        <w:trPr>
          <w:trHeight w:val="198"/>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r>
      <w:tr>
        <w:trPr>
          <w:trHeight w:val="200"/>
        </w:trPr>
        <w:tc>
          <w:tcPr>
            <w:tcW w:w="5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25,513</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r>
      <w:tr>
        <w:trPr>
          <w:trHeight w:val="192"/>
        </w:trPr>
        <w:tc>
          <w:tcPr>
            <w:tcW w:w="57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(5,995)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w:t>
            </w: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25"/>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top w:val="single" w:sz="8" w:color="auto"/>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increased $3.2 million, or 10.9%, for the six months ended June 30, 2025 compared to the six months ended June 30, 2024, primarily due to ASP expansion driven primarily by our new biomarkers, and, to a lesser extent, an increase in test volume.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six months ended June 30, 2025 increased by approximately 5% compared to the same period in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increased $1.4 million, or 11.5%, for the six months ended June 30, 2025 compared to the six months ended June 30, 2024. This increase was primarily due to increases of $1.3 million in materials and supplies and $0.6 million in employee-related expenses (including salaries, benefits and stock-based compensation) related to increased headcount, partially offset by decreases of $0.2 million in shipping and handling costs, $0.1 million in royalties, $0.1 million in facilities and $0.1 million in outside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as a percentage of revenue decreased slightly to 59.7% for the six months ended June 30, 2025 compared to 59.9% for the six months ended June 30, 2024. We invested ahead of the curve in lab operations to accommodate the new biomarker launch and anticipated volume increase in 2025. In addition, during the process of amending our existing client direct bill contracts to include our new biomarkers, we absorbed the cost of running the new biomarkers even in cases where contracted pricing had not yet been fully updated and we were unable to bill for them. The majority of our client direct bill contracts have now been amended accordingly. We believe these factors are transitory headwinds and we expect gross margin to maintain or improve moderately in the second half of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increased $1.7 million, or 8.3%, for the six months ended June 30, 2025 compared to the six months ended June 30, 2024. This increase was primarily due to an increases of $1.0 million in employee-related expenses (including salaries, benefits and stock-based compensation) related to increased headcount, $0.4 million in other expenses, $0.2 million in outside services, partially offset by a decrease of $0.2 million in facilities.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2" w:name="page33"/>
    <w:bookmarkEnd w:id="32"/>
    <w:p>
      <w:pPr>
        <w:jc w:val="both"/>
        <w:ind w:right="20"/>
        <w:spacing w:after="0" w:line="268" w:lineRule="auto"/>
        <w:rPr>
          <w:sz w:val="20"/>
          <w:szCs w:val="20"/>
          <w:color w:val="auto"/>
        </w:rPr>
      </w:pPr>
      <w:r>
        <w:rPr>
          <w:rFonts w:ascii="Arial" w:cs="Arial" w:eastAsia="Arial" w:hAnsi="Arial"/>
          <w:sz w:val="18"/>
          <w:szCs w:val="18"/>
          <w:color w:val="auto"/>
        </w:rPr>
        <w:t>We expect that our selling, general and administrative expenses may increase moderately in absolute dollars in the near-term as we expand our sales force and invest in infrastructure to support expected volume and revenue growth, but should decrease year-over-year as a percentage of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expenses increased $0.5 million, or 23.6%, for the six months ended June 30, 2025 compared to the six months ended June 30, 2024. This increase was primarily due to an increases of $0.3 million in employee-related expenses (including salaries, benefits and stock-based compensation), $0.1 million in outside services and $0.1 million in other expenses.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research and development expenses may increase moderately in absolute dollars in the near-term as we execute on additional pipeline initiatives, but should remain flat or moderately decrease year-over-year as a percentage of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increased by $0.6 million, including an increase of $0.2 million in non-cash interest expense, for the six months ended June 30, 2025 compared to the six months ended June 30, 2024, primarily due to the Perceptive Term Loan Facility that we entered into in April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on extinguishment of debt increased by $0.3 million for the six months ended June 30, 2025 compared to the six months ended June 30, 2024, as a result of our early payoff of all outstanding indebtedness under the Amended Loan Agreement in April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fair value of the warrant liability increased by $0.4 million for the six months ended June 30, 2025 compared to the six months ended June 30, 2024, primarily due to increases in the fair value of the underlying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remained substantially consistent for the six months ended June 30, 2025 compared to the six months ended June 30,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net losses since our inception. For the six months ended June 30, 2025 and 2024, we incurred a net loss of $8.2 million and $6.3 million, respectively, and we expect to incur additional losses in future periods. To date, we have generated only limited revenue, and despite any estimates we may make regarding our ability to become profitable, we may never achieve revenue sufficient to offset our expenses. As of June 30, 2025, we had an accumulated deficit of $ 302.5 million and cash and cash equivalents of $ 30.0 million. Cash in excess of immediate requirements is invested in accordance with our investment policy, primarily with a view to liquidity and capital preservation. Currently, our funds are held in cash. We held claims in the first quarter of the fiscal year ending December 31, 2025, which resulted in increases in its accounts receivable and an accelerated decrease in its cash and cash equivalents in the first quarter of the fiscal year ending December 31, 2025 and a reversal of that trend is expected in the remaining two quarters of the fiscal year ending December 31, 2025. A total of an additional $50.0 million is available at our option under the Perceptive Term Loan Facility should we attain specified revenue levels and satisfy other conditions.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term loan facilities.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obligations under the Perceptive Term Loan Facility are secured by a first-priority lien on substantially all of our existing and future assets. In connection with the Credit Agreement, we have issued the Warrant Certificate to Perceptive. The Warrant Certificate has a ten-year term from the applicable issuance date and includes customary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8"/>
          <w:szCs w:val="18"/>
          <w:color w:val="auto"/>
        </w:rPr>
        <w:t>anti-dilution and registration rights provisions. The Perceptive Term Loan Facility includes customary affirmative, negative, and financial covenants. These include, among others, restrictions on additional indebtedness, liens, dividends, mergers and acquisitions, and affiliate transactions. The Perceptive Term Loan Facility also requires that we maintain a minimum unrestricted cash balance of $ 3.0 million and achieve specified net revenue levels on a quarterly basis beginning with the quarter ending June 30, 2025. In addition, upon the occurrence of an event of default, Perceptive, among other things, can declare all indebtedness due and payable immediately, which would adversely impact our liquidity and reduce the availability of our cash flows to fund working capital needs, capital expenditures and other general corporate purposes. As of June 30, 2025, we were in compliance with all covenants of the Perceptive Term Loan Facility.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9, 2025, we issued and sold an aggregate of 3,852,500 shares of our common stock (inclusive of 502,500 shares pursuant to the exercise in full of the Underwriters’ option to purchase additional shares) at a public offering price of $5.25 per share, for aggregate net proceeds of $18.6 million after deducting underwriting discounts and commissions and other offering expenses.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17, 2023, we filed the 2023 Shelf Registration Statement covering the offering, from time to time, of up to $150.0 million shares of our common stock, preferred stock, debt securities, warrants and units, of which $129.8 million remains available for sale at June 30, 2025.</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15, 2022, we entered into the Sales Agreement with TD Securities, as sales agent, pursuant to which the Company may offer and sell, from time to time, shares of Company common stock having an aggregate offering price of up to $50.0 million. The Company is not obligated to sell any shares of the Company's common stock in the offering and, as of June 30, 2025, the Company has not sold any shares of its common stock pursuant to the Sales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increases in cost of revenue as a result of costs associated with the addition of the T-Cell Biomarkers and RA Sub-Profile Biomarkers to our AVISE® CTD test.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 and our office space in Carlsbad, CA and payments for operating and finance leases related to our laboratory equipment (see Note 4,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financial statements included in this Quarterly Report).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53" w:lineRule="exact"/>
        <w:rPr>
          <w:sz w:val="20"/>
          <w:szCs w:val="20"/>
          <w:color w:val="auto"/>
        </w:rPr>
      </w:pPr>
    </w:p>
    <w:p>
      <w:pPr>
        <w:ind w:left="660" w:hanging="328"/>
        <w:spacing w:after="0" w:line="28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improve AVISE® CTD ASP as a result of the launch of the T-Cell Biomarkers and RA Sub-Profile Biomarkers, in addition to our ability to achieve adequate reimbursement for these additions to our AVISE® CTD test offering;</w:t>
      </w:r>
    </w:p>
    <w:p>
      <w:pPr>
        <w:spacing w:after="0" w:line="1" w:lineRule="exact"/>
        <w:rPr>
          <w:rFonts w:ascii="Arial" w:cs="Arial" w:eastAsia="Arial" w:hAnsi="Arial"/>
          <w:sz w:val="18"/>
          <w:szCs w:val="18"/>
          <w:color w:val="auto"/>
        </w:rPr>
      </w:pPr>
    </w:p>
    <w:p>
      <w:pPr>
        <w:ind w:left="660" w:hanging="328"/>
        <w:spacing w:after="0" w:line="28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ind w:left="660" w:right="20" w:hanging="328"/>
        <w:spacing w:after="0" w:line="23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and commercialization efforts; and</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may be required to finance our operations as needed through equity offerings, debt financings or other capital sources, including potentially collaborations, licenses and other similar arrangements. The Perceptive Term Loan Facility involves, and any additional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5"/>
        </w:trPr>
        <w:tc>
          <w:tcPr>
            <w:tcW w:w="8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84"/>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9"/>
        </w:trPr>
        <w:tc>
          <w:tcPr>
            <w:tcW w:w="81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(13,556)</w:t>
            </w:r>
          </w:p>
        </w:tc>
        <w:tc>
          <w:tcPr>
            <w:tcW w:w="100" w:type="dxa"/>
            <w:vAlign w:val="bottom"/>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(11,466)</w:t>
            </w:r>
          </w:p>
        </w:tc>
      </w:tr>
      <w:tr>
        <w:trPr>
          <w:trHeight w:val="20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r>
        <w:trPr>
          <w:trHeight w:val="19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21,869</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225"/>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for the six months ended June 30, 2025 was $13.6 million, primarily resulting from (i) our net loss of $8.2 million adjusted for non-cash charges of $3.9 million primarily related to stock-based compensation, depreciation, amortization, change in fair value of warrant liability, loss on extinguishment of debt, bad debt expense, non-cash lease expense and non-cash interest and (ii) changes in our net operating assets of $9.2 million primarily related to net increases in accounts receivable and net decreases in accrued and other current liabilities and accounts payable, partially offset by net decreases in prepaid expenses and other current assets. Net cash used in operating activities for the three months ended June 30, 2025 was $2.9 million, which is a $7.8 million decrease compared to the first quarter of 2025.</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2024 was $11.5 million, primarily resulting from (i) our net loss of $6.3 million adjusted for non-cash charges of $2.8 million primarily related to stock-based compensation, depreciation, amortization and non-cash lease expense and (ii) changes in our net operating assets of $7.9 million primarily related to net increases in accounts receivable and net decreases in accounts payable, operating lease liabilities and accrued and other current liabilities, partially offset by net decreases in prepaid expenses. The increase in accounts receivable was primarily due to delays in claim submission as part of our revenue cycle management initiatives.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six months ended June 30, 2025 and 2024 was $0.3 million and $0.2 million, respectively,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2025 was $21.9 million, primarily resulting from $23.7 million in proceeds from the issuance of debt and warrants, net of discounts, $18.8 million in proceeds from common stock issued, net of issuance costs and $0.2 million in proceeds from common stock issued under the ESPP, partially offset by a $19.7 million payment to early extinguish debt, $0.7 million in payments of debt issuance costs, $0.3 million in principal payments on notes payable obligations, and $0.1 million in principal payments on finance lease obligations.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six months ended June 30, 2024 was $0.3 million, primarily resulting from payments on finance lease and notes payable obligations, partially offset by proceeds from purchases under the Company's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our critical accounting estimates,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2024 Annual Report. There have been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our critical accounting policies and estimates during the six months ended June 30, 2025 as compared to the critical accounting policies and estimates disclosed in the Management’s Discussion and Analysis of Financial Condition and Operations included in our 2024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Please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unaudited condensed financial statements included in this Quarterly Report for a summary of recent accounting pronouncements.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6" w:name="page37"/>
    <w:bookmarkEnd w:id="36"/>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June 30, 2025, our disclosure controls and procedures were effective at a reasonable level of assurance.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2025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settlement agreement with the DOJ, which has been previously disclosed, we made a single lump-sum remittance to the government in the amount of $0.7 million plus interest in October 2023. The U.S. Attorney’s Office dismissed the “covered conduct” elements in the qui tam with prejudice, while non-covered conduct was dismissed without prejudice. The DOJ excused itself from the case in connection with the settlement. Our ability to participate in federally funded healthcare programs was unaffected by the settlement. In November 2023, the complaint was unsealed and served on us. We filed a motion to dismiss the complaint. In February 2024, the relator filed a motion for leave to amend the complaint. We opposed this motion. In March 2025, the court granted our motion to dismiss with prejudice and denied the relator’s motion for leave to amend. On April 14, 2025, the relator filed an appeal with respect to this ruling. On July 15, 2025, the qui tam case was dismissed with prejudice by the presiding judge. Both the DOJ and the relator’s counsel filed a stipulation of dismissal in the matter.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2024 Annual Report and Part II, Item IA, “Risk Factors” of our Quarterly Report on Form 10-Q for the quarter ended March 31, 2025.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six months ended June 30, 2025, none of our directors or officers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60" w:type="dxa"/>
            <w:vAlign w:val="bottom"/>
            <w:gridSpan w:val="3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60" w:type="dxa"/>
            <w:vAlign w:val="bottom"/>
            <w:tcBorders>
              <w:bottom w:val="single" w:sz="8" w:color="auto"/>
            </w:tcBorders>
            <w:gridSpan w:val="38"/>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60" w:type="dxa"/>
            <w:vAlign w:val="bottom"/>
            <w:gridSpan w:val="38"/>
          </w:tcPr>
          <w:p>
            <w:pPr>
              <w:spacing w:after="0" w:line="155" w:lineRule="exact"/>
              <w:rPr>
                <w:rFonts w:ascii="Arial" w:cs="Arial" w:eastAsia="Arial" w:hAnsi="Arial"/>
                <w:sz w:val="14"/>
                <w:szCs w:val="14"/>
                <w:color w:val="0000FF"/>
              </w:rPr>
            </w:pPr>
            <w:hyperlink r:id="rId53">
              <w:r>
                <w:rPr>
                  <w:rFonts w:ascii="Arial" w:cs="Arial" w:eastAsia="Arial" w:hAnsi="Arial"/>
                  <w:sz w:val="14"/>
                  <w:szCs w:val="14"/>
                  <w:color w:val="0000FF"/>
                </w:rPr>
                <w:t>Amended and Restated Certificate of</w:t>
              </w:r>
            </w:hyperlink>
          </w:p>
        </w:tc>
        <w:tc>
          <w:tcPr>
            <w:tcW w:w="780" w:type="dxa"/>
            <w:vAlign w:val="bottom"/>
          </w:tcPr>
          <w:p>
            <w:pPr>
              <w:jc w:val="center"/>
              <w:ind w:left="48"/>
              <w:spacing w:after="0" w:line="155" w:lineRule="exact"/>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Incorporation.</w:t>
              </w:r>
            </w:hyperlink>
          </w:p>
        </w:tc>
        <w:tc>
          <w:tcPr>
            <w:tcW w:w="1480" w:type="dxa"/>
            <w:vAlign w:val="bottom"/>
            <w:tcBorders>
              <w:top w:val="single" w:sz="8" w:color="0000FF"/>
            </w:tcBorders>
            <w:gridSpan w:val="10"/>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60" w:type="dxa"/>
            <w:vAlign w:val="bottom"/>
            <w:gridSpan w:val="38"/>
          </w:tcPr>
          <w:p>
            <w:pPr>
              <w:spacing w:after="0"/>
              <w:rPr>
                <w:rFonts w:ascii="Arial" w:cs="Arial" w:eastAsia="Arial" w:hAnsi="Arial"/>
                <w:sz w:val="14"/>
                <w:szCs w:val="14"/>
                <w:color w:val="0000FF"/>
              </w:rPr>
            </w:pPr>
            <w:hyperlink r:id="rId54">
              <w:r>
                <w:rPr>
                  <w:rFonts w:ascii="Arial" w:cs="Arial" w:eastAsia="Arial" w:hAnsi="Arial"/>
                  <w:sz w:val="14"/>
                  <w:szCs w:val="14"/>
                  <w:color w:val="0000FF"/>
                </w:rPr>
                <w:t>Amended and Restated Bylaws.</w:t>
              </w:r>
            </w:hyperlink>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3.3</w:t>
            </w:r>
          </w:p>
        </w:tc>
        <w:tc>
          <w:tcPr>
            <w:tcW w:w="3160" w:type="dxa"/>
            <w:vAlign w:val="bottom"/>
            <w:gridSpan w:val="38"/>
          </w:tcPr>
          <w:p>
            <w:pPr>
              <w:spacing w:after="0"/>
              <w:rPr>
                <w:rFonts w:ascii="Arial" w:cs="Arial" w:eastAsia="Arial" w:hAnsi="Arial"/>
                <w:sz w:val="14"/>
                <w:szCs w:val="14"/>
                <w:color w:val="0000FF"/>
              </w:rPr>
            </w:pPr>
            <w:hyperlink r:id="rId55">
              <w:r>
                <w:rPr>
                  <w:rFonts w:ascii="Arial" w:cs="Arial" w:eastAsia="Arial" w:hAnsi="Arial"/>
                  <w:sz w:val="14"/>
                  <w:szCs w:val="14"/>
                  <w:color w:val="0000FF"/>
                </w:rPr>
                <w:t>Amendment to Amended and Restated Bylaws,</w:t>
              </w:r>
            </w:hyperlink>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4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dated January 19, 2023</w:t>
              </w:r>
              <w:r>
                <w:rPr>
                  <w:rFonts w:ascii="Arial" w:cs="Arial" w:eastAsia="Arial" w:hAnsi="Arial"/>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3160" w:type="dxa"/>
            <w:vAlign w:val="bottom"/>
            <w:tcBorders>
              <w:bottom w:val="single" w:sz="8" w:color="0000FF"/>
            </w:tcBorders>
            <w:gridSpan w:val="38"/>
          </w:tcPr>
          <w:p>
            <w:pPr>
              <w:spacing w:after="0"/>
              <w:rPr>
                <w:rFonts w:ascii="Arial" w:cs="Arial" w:eastAsia="Arial" w:hAnsi="Arial"/>
                <w:sz w:val="14"/>
                <w:szCs w:val="14"/>
                <w:color w:val="0000FF"/>
              </w:rPr>
            </w:pPr>
            <w:hyperlink r:id="rId56">
              <w:r>
                <w:rPr>
                  <w:rFonts w:ascii="Arial" w:cs="Arial" w:eastAsia="Arial" w:hAnsi="Arial"/>
                  <w:sz w:val="14"/>
                  <w:szCs w:val="14"/>
                  <w:color w:val="0000FF"/>
                </w:rPr>
                <w:t>Specimen stock certificate evidencing the shares</w:t>
              </w:r>
            </w:hyperlink>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60" w:type="dxa"/>
            <w:vAlign w:val="bottom"/>
            <w:gridSpan w:val="38"/>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of common stock.</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3160" w:type="dxa"/>
            <w:vAlign w:val="bottom"/>
            <w:gridSpan w:val="38"/>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Common Stock Purchase Warrant</w:t>
              </w:r>
            </w:hyperlink>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7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2900" w:type="dxa"/>
            <w:vAlign w:val="bottom"/>
            <w:tcBorders>
              <w:bottom w:val="single" w:sz="8" w:color="0000FF"/>
            </w:tcBorders>
            <w:gridSpan w:val="27"/>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connection with private placement financings.</w:t>
              </w:r>
            </w:hyperlink>
          </w:p>
        </w:tc>
        <w:tc>
          <w:tcPr>
            <w:tcW w:w="260" w:type="dxa"/>
            <w:vAlign w:val="bottom"/>
            <w:gridSpan w:val="11"/>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4.3</w:t>
            </w:r>
          </w:p>
        </w:tc>
        <w:tc>
          <w:tcPr>
            <w:tcW w:w="2880" w:type="dxa"/>
            <w:vAlign w:val="bottom"/>
            <w:tcBorders>
              <w:bottom w:val="single" w:sz="8" w:color="0000FF"/>
            </w:tcBorders>
            <w:gridSpan w:val="26"/>
          </w:tcPr>
          <w:p>
            <w:pPr>
              <w:spacing w:after="0"/>
              <w:rPr>
                <w:rFonts w:ascii="Arial" w:cs="Arial" w:eastAsia="Arial" w:hAnsi="Arial"/>
                <w:sz w:val="14"/>
                <w:szCs w:val="14"/>
                <w:color w:val="0000FF"/>
              </w:rPr>
            </w:pPr>
            <w:hyperlink r:id="rId58">
              <w:r>
                <w:rPr>
                  <w:rFonts w:ascii="Arial" w:cs="Arial" w:eastAsia="Arial" w:hAnsi="Arial"/>
                  <w:sz w:val="14"/>
                  <w:szCs w:val="14"/>
                  <w:color w:val="0000FF"/>
                </w:rPr>
                <w:t>Form of Common Stock Purchase Warrant to</w:t>
              </w:r>
            </w:hyperlink>
          </w:p>
        </w:tc>
        <w:tc>
          <w:tcPr>
            <w:tcW w:w="280" w:type="dxa"/>
            <w:vAlign w:val="bottom"/>
            <w:gridSpan w:val="12"/>
          </w:tcPr>
          <w:p>
            <w:pPr>
              <w:spacing w:after="0"/>
              <w:rPr>
                <w:sz w:val="15"/>
                <w:szCs w:val="15"/>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60" w:type="dxa"/>
            <w:vAlign w:val="bottom"/>
            <w:gridSpan w:val="38"/>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purchase common stock issued to investors by</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58">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4.4</w:t>
            </w:r>
          </w:p>
        </w:tc>
        <w:tc>
          <w:tcPr>
            <w:tcW w:w="1720" w:type="dxa"/>
            <w:vAlign w:val="bottom"/>
            <w:tcBorders>
              <w:bottom w:val="single" w:sz="8" w:color="0000FF"/>
            </w:tcBorders>
            <w:gridSpan w:val="10"/>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Exchange Warrant</w:t>
              </w:r>
            </w:hyperlink>
          </w:p>
        </w:tc>
        <w:tc>
          <w:tcPr>
            <w:tcW w:w="1440" w:type="dxa"/>
            <w:vAlign w:val="bottom"/>
            <w:gridSpan w:val="28"/>
          </w:tcPr>
          <w:p>
            <w:pPr>
              <w:spacing w:after="0"/>
              <w:rPr>
                <w:sz w:val="15"/>
                <w:szCs w:val="15"/>
                <w:color w:val="auto"/>
              </w:rPr>
            </w:pP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3160" w:type="dxa"/>
            <w:vAlign w:val="bottom"/>
            <w:gridSpan w:val="38"/>
          </w:tcPr>
          <w:p>
            <w:pPr>
              <w:spacing w:after="0"/>
              <w:rPr>
                <w:rFonts w:ascii="Arial" w:cs="Arial" w:eastAsia="Arial" w:hAnsi="Arial"/>
                <w:sz w:val="14"/>
                <w:szCs w:val="14"/>
                <w:color w:val="0000FF"/>
              </w:rPr>
            </w:pPr>
            <w:hyperlink r:id="rId60">
              <w:r>
                <w:rPr>
                  <w:rFonts w:ascii="Arial" w:cs="Arial" w:eastAsia="Arial" w:hAnsi="Arial"/>
                  <w:sz w:val="14"/>
                  <w:szCs w:val="14"/>
                  <w:color w:val="0000FF"/>
                </w:rPr>
                <w:t>Warrant Certificate, dated April 25, 2025, issued</w:t>
              </w:r>
            </w:hyperlink>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2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by the Company to Perceptive Credit Holdings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7"/>
              </w:rPr>
            </w:pPr>
            <w:hyperlink r:id="rId60">
              <w:r>
                <w:rPr>
                  <w:rFonts w:ascii="Arial" w:cs="Arial" w:eastAsia="Arial" w:hAnsi="Arial"/>
                  <w:sz w:val="13"/>
                  <w:szCs w:val="13"/>
                  <w:color w:val="0000FF"/>
                  <w:w w:val="97"/>
                </w:rPr>
                <w:t>IV, LP.</w:t>
              </w:r>
            </w:hyperlink>
          </w:p>
        </w:tc>
        <w:tc>
          <w:tcPr>
            <w:tcW w:w="2540" w:type="dxa"/>
            <w:vAlign w:val="bottom"/>
            <w:tcBorders>
              <w:top w:val="single" w:sz="8" w:color="0000FF"/>
            </w:tcBorders>
            <w:gridSpan w:val="27"/>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3160" w:type="dxa"/>
            <w:vAlign w:val="bottom"/>
            <w:gridSpan w:val="38"/>
          </w:tcPr>
          <w:p>
            <w:pPr>
              <w:spacing w:after="0"/>
              <w:rPr>
                <w:rFonts w:ascii="Arial" w:cs="Arial" w:eastAsia="Arial" w:hAnsi="Arial"/>
                <w:sz w:val="14"/>
                <w:szCs w:val="14"/>
                <w:color w:val="0000FF"/>
              </w:rPr>
            </w:pPr>
            <w:hyperlink r:id="rId61">
              <w:r>
                <w:rPr>
                  <w:rFonts w:ascii="Arial" w:cs="Arial" w:eastAsia="Arial" w:hAnsi="Arial"/>
                  <w:sz w:val="14"/>
                  <w:szCs w:val="14"/>
                  <w:color w:val="0000FF"/>
                </w:rPr>
                <w:t>Credit Agreement and Guaranty, dated April 25,</w:t>
              </w:r>
            </w:hyperlink>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6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2025, by and among the Company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Perceptive Credit Holdings IV, LP.</w:t>
              </w:r>
            </w:hyperlink>
          </w:p>
        </w:tc>
        <w:tc>
          <w:tcPr>
            <w:tcW w:w="360" w:type="dxa"/>
            <w:vAlign w:val="bottom"/>
            <w:tcBorders>
              <w:top w:val="single" w:sz="8" w:color="0000FF"/>
            </w:tcBorders>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2860" w:type="dxa"/>
            <w:vAlign w:val="bottom"/>
            <w:tcBorders>
              <w:bottom w:val="single" w:sz="8" w:color="0000FF"/>
            </w:tcBorders>
            <w:gridSpan w:val="25"/>
          </w:tcPr>
          <w:p>
            <w:pPr>
              <w:spacing w:after="0"/>
              <w:rPr>
                <w:rFonts w:ascii="Arial" w:cs="Arial" w:eastAsia="Arial" w:hAnsi="Arial"/>
                <w:sz w:val="14"/>
                <w:szCs w:val="14"/>
                <w:color w:val="0000FF"/>
              </w:rPr>
            </w:pPr>
            <w:hyperlink r:id="rId62">
              <w:r>
                <w:rPr>
                  <w:rFonts w:ascii="Arial" w:cs="Arial" w:eastAsia="Arial" w:hAnsi="Arial"/>
                  <w:sz w:val="14"/>
                  <w:szCs w:val="14"/>
                  <w:color w:val="0000FF"/>
                </w:rPr>
                <w:t>Security Agreement, dated April 25, 2025, by</w:t>
              </w:r>
            </w:hyperlink>
          </w:p>
        </w:tc>
        <w:tc>
          <w:tcPr>
            <w:tcW w:w="300" w:type="dxa"/>
            <w:vAlign w:val="bottom"/>
            <w:gridSpan w:val="13"/>
          </w:tcPr>
          <w:p>
            <w:pPr>
              <w:spacing w:after="0"/>
              <w:rPr>
                <w:sz w:val="15"/>
                <w:szCs w:val="15"/>
                <w:color w:val="auto"/>
              </w:rPr>
            </w:pP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60" w:type="dxa"/>
            <w:vAlign w:val="bottom"/>
            <w:gridSpan w:val="38"/>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and among the Company and Perceptive Credit</w:t>
              </w:r>
            </w:hyperlink>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62">
              <w:r>
                <w:rPr>
                  <w:rFonts w:ascii="Arial" w:cs="Arial" w:eastAsia="Arial" w:hAnsi="Arial"/>
                  <w:sz w:val="13"/>
                  <w:szCs w:val="13"/>
                  <w:color w:val="0000FF"/>
                </w:rPr>
                <w:t>Holdings IV, LP.</w:t>
              </w:r>
            </w:hyperlink>
          </w:p>
        </w:tc>
        <w:tc>
          <w:tcPr>
            <w:tcW w:w="2080" w:type="dxa"/>
            <w:vAlign w:val="bottom"/>
            <w:tcBorders>
              <w:top w:val="single" w:sz="8" w:color="0000FF"/>
            </w:tcBorders>
            <w:gridSpan w:val="2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160" w:type="dxa"/>
            <w:vAlign w:val="bottom"/>
            <w:gridSpan w:val="38"/>
          </w:tcPr>
          <w:p>
            <w:pPr>
              <w:spacing w:after="0"/>
              <w:rPr>
                <w:rFonts w:ascii="Arial" w:cs="Arial" w:eastAsia="Arial" w:hAnsi="Arial"/>
                <w:sz w:val="14"/>
                <w:szCs w:val="14"/>
                <w:color w:val="0000FF"/>
              </w:rPr>
            </w:pPr>
            <w:hyperlink r:id="rId63">
              <w:r>
                <w:rPr>
                  <w:rFonts w:ascii="Arial" w:cs="Arial" w:eastAsia="Arial" w:hAnsi="Arial"/>
                  <w:sz w:val="14"/>
                  <w:szCs w:val="14"/>
                  <w:color w:val="0000FF"/>
                </w:rPr>
                <w:t>Underwriting Agreement, dated May 8, 2025, by</w:t>
              </w:r>
            </w:hyperlink>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1.1</w:t>
            </w:r>
          </w:p>
        </w:tc>
        <w:tc>
          <w:tcPr>
            <w:tcW w:w="1140" w:type="dxa"/>
            <w:vAlign w:val="bottom"/>
          </w:tcPr>
          <w:p>
            <w:pPr>
              <w:jc w:val="center"/>
              <w:spacing w:after="0"/>
              <w:rPr>
                <w:sz w:val="20"/>
                <w:szCs w:val="20"/>
                <w:color w:val="auto"/>
              </w:rPr>
            </w:pPr>
            <w:r>
              <w:rPr>
                <w:rFonts w:ascii="Arial" w:cs="Arial" w:eastAsia="Arial" w:hAnsi="Arial"/>
                <w:sz w:val="14"/>
                <w:szCs w:val="14"/>
                <w:color w:val="auto"/>
              </w:rPr>
              <w:t>5/8/2025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0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63">
              <w:r>
                <w:rPr>
                  <w:rFonts w:ascii="Arial" w:cs="Arial" w:eastAsia="Arial" w:hAnsi="Arial"/>
                  <w:sz w:val="14"/>
                  <w:szCs w:val="14"/>
                  <w:color w:val="0000FF"/>
                </w:rPr>
                <w:t>and between the Company and Canaccord</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8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63">
              <w:r>
                <w:rPr>
                  <w:rFonts w:ascii="Arial" w:cs="Arial" w:eastAsia="Arial" w:hAnsi="Arial"/>
                  <w:sz w:val="13"/>
                  <w:szCs w:val="13"/>
                  <w:color w:val="0000FF"/>
                </w:rPr>
                <w:t>Genuity LLC.</w:t>
              </w:r>
            </w:hyperlink>
          </w:p>
        </w:tc>
        <w:tc>
          <w:tcPr>
            <w:tcW w:w="1900" w:type="dxa"/>
            <w:vAlign w:val="bottom"/>
            <w:tcBorders>
              <w:top w:val="single" w:sz="8" w:color="0000FF"/>
            </w:tcBorders>
            <w:gridSpan w:val="21"/>
          </w:tcPr>
          <w:p>
            <w:pPr>
              <w:spacing w:after="0"/>
              <w:rPr>
                <w:sz w:val="10"/>
                <w:szCs w:val="10"/>
                <w:color w:val="auto"/>
              </w:rPr>
            </w:pPr>
          </w:p>
        </w:tc>
        <w:tc>
          <w:tcPr>
            <w:tcW w:w="16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10.4</w:t>
            </w:r>
          </w:p>
        </w:tc>
        <w:tc>
          <w:tcPr>
            <w:tcW w:w="3160" w:type="dxa"/>
            <w:vAlign w:val="bottom"/>
            <w:gridSpan w:val="38"/>
          </w:tcPr>
          <w:p>
            <w:pPr>
              <w:spacing w:after="0"/>
              <w:rPr>
                <w:rFonts w:ascii="Arial" w:cs="Arial" w:eastAsia="Arial" w:hAnsi="Arial"/>
                <w:sz w:val="14"/>
                <w:szCs w:val="14"/>
                <w:color w:val="0000FF"/>
              </w:rPr>
            </w:pPr>
            <w:hyperlink r:id="rId64">
              <w:r>
                <w:rPr>
                  <w:rFonts w:ascii="Arial" w:cs="Arial" w:eastAsia="Arial" w:hAnsi="Arial"/>
                  <w:sz w:val="14"/>
                  <w:szCs w:val="14"/>
                  <w:color w:val="0000FF"/>
                </w:rPr>
                <w:t>Amended &amp; Restated Non-Employee Director</w:t>
              </w:r>
            </w:hyperlink>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7/17/2025</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152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64">
              <w:r>
                <w:rPr>
                  <w:rFonts w:ascii="Arial" w:cs="Arial" w:eastAsia="Arial" w:hAnsi="Arial"/>
                  <w:sz w:val="14"/>
                  <w:szCs w:val="14"/>
                  <w:color w:val="0000FF"/>
                </w:rPr>
                <w:t>Compensation Program</w:t>
              </w:r>
            </w:hyperlink>
          </w:p>
        </w:tc>
        <w:tc>
          <w:tcPr>
            <w:tcW w:w="1380" w:type="dxa"/>
            <w:vAlign w:val="bottom"/>
            <w:tcBorders>
              <w:top w:val="single" w:sz="8" w:color="0000FF"/>
            </w:tcBorders>
            <w:gridSpan w:val="18"/>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31.1</w:t>
            </w:r>
          </w:p>
        </w:tc>
        <w:tc>
          <w:tcPr>
            <w:tcW w:w="3160" w:type="dxa"/>
            <w:vAlign w:val="bottom"/>
            <w:gridSpan w:val="38"/>
          </w:tcPr>
          <w:p>
            <w:pPr>
              <w:spacing w:after="0"/>
              <w:rPr>
                <w:sz w:val="20"/>
                <w:szCs w:val="20"/>
                <w:color w:val="auto"/>
              </w:rPr>
            </w:pPr>
            <w:r>
              <w:rPr>
                <w:rFonts w:ascii="Arial" w:cs="Arial" w:eastAsia="Arial" w:hAnsi="Arial"/>
                <w:sz w:val="14"/>
                <w:szCs w:val="14"/>
                <w:color w:val="0000FF"/>
              </w:rPr>
              <w:t>Certificate of Principal Executive Officer,</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3160" w:type="dxa"/>
            <w:vAlign w:val="bottom"/>
            <w:gridSpan w:val="38"/>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600" w:type="dxa"/>
            <w:vAlign w:val="bottom"/>
            <w:tcBorders>
              <w:top w:val="single" w:sz="8" w:color="0000FF"/>
            </w:tcBorders>
            <w:gridSpan w:val="21"/>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20" w:type="dxa"/>
            <w:vAlign w:val="bottom"/>
            <w:gridSpan w:val="2"/>
          </w:tcPr>
          <w:p>
            <w:pPr>
              <w:spacing w:after="0"/>
              <w:rPr>
                <w:sz w:val="10"/>
                <w:szCs w:val="10"/>
                <w:color w:val="auto"/>
              </w:rPr>
            </w:pPr>
          </w:p>
        </w:tc>
        <w:tc>
          <w:tcPr>
            <w:tcW w:w="28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11"/>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40" w:type="dxa"/>
            <w:vAlign w:val="bottom"/>
            <w:tcBorders>
              <w:top w:val="single" w:sz="8" w:color="0000FF"/>
            </w:tcBorders>
            <w:gridSpan w:val="5"/>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28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31.2</w:t>
            </w:r>
          </w:p>
        </w:tc>
        <w:tc>
          <w:tcPr>
            <w:tcW w:w="3160" w:type="dxa"/>
            <w:vAlign w:val="bottom"/>
            <w:gridSpan w:val="38"/>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40" w:type="dxa"/>
            <w:vAlign w:val="bottom"/>
            <w:tcBorders>
              <w:top w:val="single" w:sz="8" w:color="0000FF"/>
            </w:tcBorders>
            <w:gridSpan w:val="37"/>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560" w:type="dxa"/>
            <w:vAlign w:val="bottom"/>
            <w:tcBorders>
              <w:top w:val="single" w:sz="8" w:color="0000FF"/>
            </w:tcBorders>
            <w:gridSpan w:val="19"/>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600" w:type="dxa"/>
            <w:vAlign w:val="bottom"/>
            <w:gridSpan w:val="19"/>
          </w:tcPr>
          <w:p>
            <w:pPr>
              <w:spacing w:after="0" w:line="122" w:lineRule="exact"/>
              <w:rPr>
                <w:sz w:val="20"/>
                <w:szCs w:val="20"/>
                <w:color w:val="auto"/>
              </w:rPr>
            </w:pPr>
            <w:r>
              <w:rPr>
                <w:rFonts w:ascii="Arial" w:cs="Arial" w:eastAsia="Arial" w:hAnsi="Arial"/>
                <w:sz w:val="14"/>
                <w:szCs w:val="14"/>
                <w:color w:val="0000FF"/>
              </w:rPr>
              <w:t>-Oxley</w:t>
            </w: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20" w:type="dxa"/>
            <w:vAlign w:val="bottom"/>
            <w:tcBorders>
              <w:top w:val="single" w:sz="8" w:color="0000FF"/>
            </w:tcBorders>
            <w:gridSpan w:val="31"/>
          </w:tcPr>
          <w:p>
            <w:pPr>
              <w:spacing w:after="0" w:line="129" w:lineRule="exact"/>
              <w:rPr>
                <w:sz w:val="20"/>
                <w:szCs w:val="20"/>
                <w:color w:val="auto"/>
              </w:rPr>
            </w:pPr>
            <w:r>
              <w:rPr>
                <w:rFonts w:ascii="Arial" w:cs="Arial" w:eastAsia="Arial" w:hAnsi="Arial"/>
                <w:sz w:val="14"/>
                <w:szCs w:val="14"/>
                <w:color w:val="0000FF"/>
              </w:rPr>
              <w:t>Act of 2002.</w:t>
            </w:r>
          </w:p>
        </w:tc>
        <w:tc>
          <w:tcPr>
            <w:tcW w:w="140" w:type="dxa"/>
            <w:vAlign w:val="bottom"/>
            <w:gridSpan w:val="7"/>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32.1*</w:t>
            </w:r>
          </w:p>
        </w:tc>
        <w:tc>
          <w:tcPr>
            <w:tcW w:w="3160" w:type="dxa"/>
            <w:vAlign w:val="bottom"/>
            <w:gridSpan w:val="38"/>
          </w:tcPr>
          <w:p>
            <w:pPr>
              <w:spacing w:after="0"/>
              <w:rPr>
                <w:sz w:val="20"/>
                <w:szCs w:val="20"/>
                <w:color w:val="auto"/>
              </w:rPr>
            </w:pPr>
            <w:r>
              <w:rPr>
                <w:rFonts w:ascii="Arial" w:cs="Arial" w:eastAsia="Arial" w:hAnsi="Arial"/>
                <w:sz w:val="14"/>
                <w:szCs w:val="14"/>
                <w:color w:val="0000FF"/>
              </w:rPr>
              <w:t>Certifications Pursuant to U.S.C. Section 1350,</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00" w:type="dxa"/>
            <w:vAlign w:val="bottom"/>
            <w:tcBorders>
              <w:top w:val="single" w:sz="8" w:color="0000FF"/>
            </w:tcBorders>
            <w:gridSpan w:val="30"/>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60" w:type="dxa"/>
            <w:vAlign w:val="bottom"/>
            <w:gridSpan w:val="8"/>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720" w:type="dxa"/>
            <w:vAlign w:val="bottom"/>
            <w:tcBorders>
              <w:top w:val="single" w:sz="8" w:color="0000FF"/>
            </w:tcBorders>
            <w:gridSpan w:val="23"/>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40" w:type="dxa"/>
            <w:vAlign w:val="bottom"/>
            <w:gridSpan w:val="15"/>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580" w:type="dxa"/>
            <w:vAlign w:val="bottom"/>
            <w:tcBorders>
              <w:top w:val="single" w:sz="8" w:color="0000FF"/>
            </w:tcBorders>
            <w:gridSpan w:val="20"/>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80" w:type="dxa"/>
            <w:vAlign w:val="bottom"/>
            <w:gridSpan w:val="18"/>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12"/>
            <w:shd w:val="clear" w:color="auto" w:fill="0000FF"/>
          </w:tcPr>
          <w:p>
            <w:pPr>
              <w:spacing w:after="0" w:line="20" w:lineRule="exact"/>
              <w:rPr>
                <w:sz w:val="1"/>
                <w:szCs w:val="1"/>
                <w:color w:val="auto"/>
              </w:rPr>
            </w:pPr>
          </w:p>
        </w:tc>
        <w:tc>
          <w:tcPr>
            <w:tcW w:w="1160" w:type="dxa"/>
            <w:vAlign w:val="bottom"/>
            <w:gridSpan w:val="2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3160" w:type="dxa"/>
            <w:vAlign w:val="bottom"/>
            <w:gridSpan w:val="38"/>
          </w:tcPr>
          <w:p>
            <w:pPr>
              <w:spacing w:after="0"/>
              <w:rPr>
                <w:sz w:val="20"/>
                <w:szCs w:val="20"/>
                <w:color w:val="auto"/>
              </w:rPr>
            </w:pPr>
            <w:r>
              <w:rPr>
                <w:rFonts w:ascii="Arial" w:cs="Arial" w:eastAsia="Arial" w:hAnsi="Arial"/>
                <w:sz w:val="14"/>
                <w:szCs w:val="14"/>
                <w:color w:val="auto"/>
              </w:rPr>
              <w:t>Inline XBRL Instance Document - the instance</w:t>
            </w: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60" w:type="dxa"/>
            <w:vAlign w:val="bottom"/>
            <w:gridSpan w:val="38"/>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3160" w:type="dxa"/>
            <w:vAlign w:val="bottom"/>
            <w:gridSpan w:val="38"/>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3160" w:type="dxa"/>
            <w:vAlign w:val="bottom"/>
            <w:gridSpan w:val="38"/>
          </w:tcPr>
          <w:p>
            <w:pPr>
              <w:spacing w:after="0"/>
              <w:rPr>
                <w:sz w:val="20"/>
                <w:szCs w:val="20"/>
                <w:color w:val="auto"/>
              </w:rPr>
            </w:pPr>
            <w:r>
              <w:rPr>
                <w:rFonts w:ascii="Arial" w:cs="Arial" w:eastAsia="Arial" w:hAnsi="Arial"/>
                <w:sz w:val="14"/>
                <w:szCs w:val="14"/>
                <w:color w:val="auto"/>
              </w:rPr>
              <w:t>within the Inline XBRL document.</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60" w:type="dxa"/>
            <w:vAlign w:val="bottom"/>
            <w:gridSpan w:val="38"/>
          </w:tcPr>
          <w:p>
            <w:pPr>
              <w:spacing w:after="0"/>
              <w:rPr>
                <w:sz w:val="20"/>
                <w:szCs w:val="20"/>
                <w:color w:val="auto"/>
              </w:rPr>
            </w:pPr>
            <w:r>
              <w:rPr>
                <w:rFonts w:ascii="Arial" w:cs="Arial" w:eastAsia="Arial" w:hAnsi="Arial"/>
                <w:sz w:val="14"/>
                <w:szCs w:val="14"/>
                <w:color w:val="auto"/>
              </w:rPr>
              <w:t>Inline XBRL Taxonomy Extension Schema</w:t>
            </w: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60" w:type="dxa"/>
            <w:vAlign w:val="bottom"/>
            <w:gridSpan w:val="38"/>
          </w:tcPr>
          <w:p>
            <w:pPr>
              <w:spacing w:after="0"/>
              <w:rPr>
                <w:sz w:val="20"/>
                <w:szCs w:val="20"/>
                <w:color w:val="auto"/>
              </w:rPr>
            </w:pPr>
            <w:r>
              <w:rPr>
                <w:rFonts w:ascii="Arial" w:cs="Arial" w:eastAsia="Arial" w:hAnsi="Arial"/>
                <w:sz w:val="14"/>
                <w:szCs w:val="14"/>
                <w:color w:val="auto"/>
              </w:rPr>
              <w:t>Document.</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101.CAL</w:t>
            </w:r>
          </w:p>
        </w:tc>
        <w:tc>
          <w:tcPr>
            <w:tcW w:w="3160" w:type="dxa"/>
            <w:vAlign w:val="bottom"/>
            <w:gridSpan w:val="38"/>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60" w:type="dxa"/>
            <w:vAlign w:val="bottom"/>
            <w:gridSpan w:val="38"/>
          </w:tcPr>
          <w:p>
            <w:pPr>
              <w:spacing w:after="0"/>
              <w:rPr>
                <w:sz w:val="20"/>
                <w:szCs w:val="20"/>
                <w:color w:val="auto"/>
              </w:rPr>
            </w:pPr>
            <w:r>
              <w:rPr>
                <w:rFonts w:ascii="Arial" w:cs="Arial" w:eastAsia="Arial" w:hAnsi="Arial"/>
                <w:sz w:val="14"/>
                <w:szCs w:val="14"/>
                <w:color w:val="auto"/>
              </w:rPr>
              <w:t>Linkbase Document.</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101.DEF</w:t>
            </w:r>
          </w:p>
        </w:tc>
        <w:tc>
          <w:tcPr>
            <w:tcW w:w="3160" w:type="dxa"/>
            <w:vAlign w:val="bottom"/>
            <w:gridSpan w:val="38"/>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60" w:type="dxa"/>
            <w:vAlign w:val="bottom"/>
            <w:gridSpan w:val="38"/>
          </w:tcPr>
          <w:p>
            <w:pPr>
              <w:spacing w:after="0"/>
              <w:rPr>
                <w:sz w:val="20"/>
                <w:szCs w:val="20"/>
                <w:color w:val="auto"/>
              </w:rPr>
            </w:pPr>
            <w:r>
              <w:rPr>
                <w:rFonts w:ascii="Arial" w:cs="Arial" w:eastAsia="Arial" w:hAnsi="Arial"/>
                <w:sz w:val="14"/>
                <w:szCs w:val="14"/>
                <w:color w:val="auto"/>
              </w:rPr>
              <w:t>Linkbase Document.</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101.LAB</w:t>
            </w:r>
          </w:p>
        </w:tc>
        <w:tc>
          <w:tcPr>
            <w:tcW w:w="3160" w:type="dxa"/>
            <w:vAlign w:val="bottom"/>
            <w:gridSpan w:val="38"/>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60" w:type="dxa"/>
            <w:vAlign w:val="bottom"/>
            <w:gridSpan w:val="38"/>
          </w:tcPr>
          <w:p>
            <w:pPr>
              <w:spacing w:after="0"/>
              <w:rPr>
                <w:sz w:val="20"/>
                <w:szCs w:val="20"/>
                <w:color w:val="auto"/>
              </w:rPr>
            </w:pPr>
            <w:r>
              <w:rPr>
                <w:rFonts w:ascii="Arial" w:cs="Arial" w:eastAsia="Arial" w:hAnsi="Arial"/>
                <w:sz w:val="14"/>
                <w:szCs w:val="14"/>
                <w:color w:val="auto"/>
              </w:rPr>
              <w:t>Linkbase Document.</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101.PRE</w:t>
            </w:r>
          </w:p>
        </w:tc>
        <w:tc>
          <w:tcPr>
            <w:tcW w:w="3160" w:type="dxa"/>
            <w:vAlign w:val="bottom"/>
            <w:gridSpan w:val="38"/>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3160" w:type="dxa"/>
            <w:vAlign w:val="bottom"/>
            <w:gridSpan w:val="38"/>
          </w:tcPr>
          <w:p>
            <w:pPr>
              <w:spacing w:after="0"/>
              <w:rPr>
                <w:sz w:val="20"/>
                <w:szCs w:val="20"/>
                <w:color w:val="auto"/>
              </w:rPr>
            </w:pPr>
            <w:r>
              <w:rPr>
                <w:rFonts w:ascii="Arial" w:cs="Arial" w:eastAsia="Arial" w:hAnsi="Arial"/>
                <w:sz w:val="14"/>
                <w:szCs w:val="14"/>
                <w:color w:val="auto"/>
              </w:rPr>
              <w:t>Linkbase Document.</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color w:val="auto"/>
              </w:rPr>
              <w:t>104</w:t>
            </w:r>
          </w:p>
        </w:tc>
        <w:tc>
          <w:tcPr>
            <w:tcW w:w="3160" w:type="dxa"/>
            <w:vAlign w:val="bottom"/>
            <w:gridSpan w:val="38"/>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160" w:type="dxa"/>
            <w:vAlign w:val="bottom"/>
            <w:gridSpan w:val="38"/>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60" w:type="dxa"/>
            <w:vAlign w:val="bottom"/>
            <w:gridSpan w:val="38"/>
          </w:tcPr>
          <w:p>
            <w:pPr>
              <w:spacing w:after="0" w:line="153" w:lineRule="exact"/>
              <w:rPr>
                <w:sz w:val="20"/>
                <w:szCs w:val="20"/>
                <w:color w:val="auto"/>
              </w:rPr>
            </w:pPr>
            <w:r>
              <w:rPr>
                <w:rFonts w:ascii="Arial" w:cs="Arial" w:eastAsia="Arial" w:hAnsi="Arial"/>
                <w:sz w:val="14"/>
                <w:szCs w:val="14"/>
                <w:color w:val="auto"/>
              </w:rPr>
              <w:t>June 30, 2025, has been formatted in Inline</w:t>
            </w: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4"/>
          <w:szCs w:val="14"/>
          <w:color w:val="auto"/>
        </w:rPr>
        <w:t>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890" w:right="1179" w:bottom="1440" w:gutter="0" w:footer="0" w:header="0"/>
        </w:sectPr>
      </w:pPr>
    </w:p>
    <w:bookmarkStart w:id="40" w:name="page41"/>
    <w:bookmarkEnd w:id="40"/>
    <w:p>
      <w:pPr>
        <w:ind w:left="643" w:hanging="643"/>
        <w:spacing w:after="0" w:line="268" w:lineRule="auto"/>
        <w:tabs>
          <w:tab w:leader="none" w:pos="342"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Furnished herewith.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84" w:lineRule="exact"/>
        <w:rPr>
          <w:sz w:val="20"/>
          <w:szCs w:val="20"/>
          <w:color w:val="auto"/>
        </w:rPr>
      </w:pPr>
    </w:p>
    <w:p>
      <w:pPr>
        <w:ind w:left="643" w:right="740" w:hanging="643"/>
        <w:spacing w:after="0" w:line="271" w:lineRule="auto"/>
        <w:tabs>
          <w:tab w:leader="none" w:pos="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05"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57" w:top="890"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760" w:type="dxa"/>
            <w:vAlign w:val="bottom"/>
          </w:tcPr>
          <w:p>
            <w:pPr>
              <w:spacing w:after="0"/>
              <w:rPr>
                <w:sz w:val="20"/>
                <w:szCs w:val="20"/>
                <w:color w:val="auto"/>
              </w:rPr>
            </w:pPr>
            <w:r>
              <w:rPr>
                <w:rFonts w:ascii="Arial" w:cs="Arial" w:eastAsia="Arial" w:hAnsi="Arial"/>
                <w:sz w:val="18"/>
                <w:szCs w:val="18"/>
                <w:color w:val="auto"/>
              </w:rPr>
              <w:t>Date: July 29, 2025</w:t>
            </w:r>
          </w:p>
        </w:tc>
        <w:tc>
          <w:tcPr>
            <w:tcW w:w="2840" w:type="dxa"/>
            <w:vAlign w:val="bottom"/>
          </w:tcPr>
          <w:p>
            <w:pPr>
              <w:ind w:left="22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18"/>
        </w:trPr>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30"/>
        </w:trPr>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760" w:type="dxa"/>
            <w:vAlign w:val="bottom"/>
          </w:tcPr>
          <w:p>
            <w:pPr>
              <w:spacing w:after="0"/>
              <w:rPr>
                <w:sz w:val="20"/>
                <w:szCs w:val="20"/>
                <w:color w:val="auto"/>
              </w:rPr>
            </w:pPr>
            <w:r>
              <w:rPr>
                <w:rFonts w:ascii="Arial" w:cs="Arial" w:eastAsia="Arial" w:hAnsi="Arial"/>
                <w:sz w:val="18"/>
                <w:szCs w:val="18"/>
                <w:color w:val="auto"/>
              </w:rPr>
              <w:t>Date: July 29, 2025</w:t>
            </w:r>
          </w:p>
        </w:tc>
        <w:tc>
          <w:tcPr>
            <w:tcW w:w="2840" w:type="dxa"/>
            <w:vAlign w:val="bottom"/>
          </w:tcPr>
          <w:p>
            <w:pPr>
              <w:ind w:left="22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G. Black</w:t>
            </w:r>
          </w:p>
        </w:tc>
      </w:tr>
      <w:tr>
        <w:trPr>
          <w:trHeight w:val="218"/>
        </w:trPr>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Jeffrey G. Black</w:t>
            </w:r>
          </w:p>
        </w:tc>
      </w:tr>
      <w:tr>
        <w:trPr>
          <w:trHeight w:val="229"/>
        </w:trPr>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133"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3" w:name="page44"/>
    <w:bookmarkEnd w:id="43"/>
    <w:p>
      <w:pPr>
        <w:ind w:left="-20" w:firstLine="332"/>
        <w:spacing w:after="0" w:line="396"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July 29,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Jeffrey G. Black, certify that:</w:t>
      </w:r>
    </w:p>
    <w:p>
      <w:pPr>
        <w:spacing w:after="0" w:line="306"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5" w:name="page46"/>
    <w:bookmarkEnd w:id="45"/>
    <w:p>
      <w:pPr>
        <w:ind w:left="-20" w:firstLine="332"/>
        <w:spacing w:after="0" w:line="396"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July 29, 2025</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 Black</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Jeffrey G. Black</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62" w:lineRule="auto"/>
        <w:tabs>
          <w:tab w:leader="none" w:pos="11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2025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2025</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70" w:lineRule="auto"/>
        <w:tabs>
          <w:tab w:leader="none" w:pos="11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2025 (the "Report") fully complies with the requirements of Section 13(a) or 15(d), as applicable, of the Securities Exchange Act of 1934, as amended; and</w:t>
      </w:r>
    </w:p>
    <w:p>
      <w:pPr>
        <w:spacing w:after="0" w:line="10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2025</w:t>
      </w:r>
    </w:p>
    <w:p>
      <w:pPr>
        <w:sectPr>
          <w:pgSz w:w="11900" w:h="16838" w:orient="portrait"/>
          <w:cols w:equalWidth="0" w:num="1">
            <w:col w:w="11240"/>
          </w:cols>
          <w:pgMar w:left="320" w:top="958" w:right="339" w:bottom="1440" w:gutter="0" w:footer="0" w:header="0"/>
        </w:sectPr>
      </w:pPr>
    </w:p>
    <w:bookmarkStart w:id="47" w:name="page48"/>
    <w:bookmarkEnd w:id="47"/>
    <w:p>
      <w:pPr>
        <w:ind w:left="6420"/>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Jeffrey G. Black</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2"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53" Type="http://schemas.openxmlformats.org/officeDocument/2006/relationships/hyperlink" Target="https://www.sec.gov/Archives/edgar/data/1274737/000119312519252366/d769261dex31.htm" TargetMode="External"/><Relationship Id="rId54" Type="http://schemas.openxmlformats.org/officeDocument/2006/relationships/hyperlink" Target="https://www.sec.gov/Archives/edgar/data/1274737/000127473721000017/ex31-amendedandrestatedbyl.htm" TargetMode="External"/><Relationship Id="rId55" Type="http://schemas.openxmlformats.org/officeDocument/2006/relationships/hyperlink" Target="https://www.sec.gov/Archives/edgar/data/1274737/000127473723000004/exhibit-exagenxamendmentto.htm" TargetMode="External"/><Relationship Id="rId56" Type="http://schemas.openxmlformats.org/officeDocument/2006/relationships/hyperlink" Target="https://www.sec.gov/Archives/edgar/data/1274737/000119312519240403/d692844dex41.htm" TargetMode="External"/><Relationship Id="rId57" Type="http://schemas.openxmlformats.org/officeDocument/2006/relationships/hyperlink" Target="https://www.sec.gov/Archives/edgar/data/1274737/000119312519228011/d692844dex44.htm" TargetMode="External"/><Relationship Id="rId58" Type="http://schemas.openxmlformats.org/officeDocument/2006/relationships/hyperlink" Target="https://www.sec.gov/Archives/edgar/data/1274737/000119312519228011/d692844dex48.htm" TargetMode="External"/><Relationship Id="rId59" Type="http://schemas.openxmlformats.org/officeDocument/2006/relationships/hyperlink" Target="https://www.sec.gov/Archives/edgar/data/1274737/000127473721000094/ex45-formofprexfundedwarra.htm" TargetMode="External"/><Relationship Id="rId60" Type="http://schemas.openxmlformats.org/officeDocument/2006/relationships/hyperlink" Target="https://www.sec.gov/Archives/edgar/data/1274737/000119312525100447/d811854dex41.htm" TargetMode="External"/><Relationship Id="rId61" Type="http://schemas.openxmlformats.org/officeDocument/2006/relationships/hyperlink" Target="https://www.sec.gov/Archives/edgar/data/1274737/000119312525100447/d811854dex101.htm" TargetMode="External"/><Relationship Id="rId62" Type="http://schemas.openxmlformats.org/officeDocument/2006/relationships/hyperlink" Target="https://www.sec.gov/Archives/edgar/data/1274737/000119312525100447/d811854dex102.htm" TargetMode="External"/><Relationship Id="rId63" Type="http://schemas.openxmlformats.org/officeDocument/2006/relationships/hyperlink" Target="https://www.sec.gov/Archives/edgar/data/1274737/000119312525115946/d788679dex11.htm" TargetMode="External"/><Relationship Id="rId64" Type="http://schemas.openxmlformats.org/officeDocument/2006/relationships/hyperlink" Target="https://www.sec.gov/Archives/edgar/data/1274737/000127473725000055/directorcompensationprog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2025-07-29T08:25:58Z</dcterms:created>
  <dcterms:modified xsi:type="dcterms:W3CDTF">2025-07-29T08:25:58Z</dcterms:modified>
</cp:coreProperties>
</file>