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No. ___)*</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Exagen Inc.</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Common Stock, par value $0.001 per share</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30068X103</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December 20, 2021</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3"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13d-1(b)</w:t>
      </w:r>
    </w:p>
    <w:p>
      <w:pPr>
        <w:spacing w:after="0" w:line="229"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13d-1(c)</w:t>
      </w:r>
    </w:p>
    <w:p>
      <w:pPr>
        <w:spacing w:after="0" w:line="235" w:lineRule="exact"/>
        <w:rPr>
          <w:sz w:val="24"/>
          <w:szCs w:val="24"/>
          <w:color w:val="auto"/>
        </w:rPr>
      </w:pPr>
    </w:p>
    <w:p>
      <w:pPr>
        <w:ind w:left="780" w:hanging="124"/>
        <w:spacing w:after="0"/>
        <w:tabs>
          <w:tab w:leader="none" w:pos="780" w:val="left"/>
        </w:tabs>
        <w:numPr>
          <w:ilvl w:val="1"/>
          <w:numId w:val="1"/>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29" w:lineRule="exact"/>
        <w:rPr>
          <w:rFonts w:ascii="Arial" w:cs="Arial" w:eastAsia="Arial" w:hAnsi="Arial"/>
          <w:sz w:val="20"/>
          <w:szCs w:val="20"/>
          <w:color w:val="auto"/>
        </w:rPr>
      </w:pPr>
    </w:p>
    <w:p>
      <w:pPr>
        <w:ind w:right="340"/>
        <w:spacing w:after="0" w:line="316" w:lineRule="auto"/>
        <w:rPr>
          <w:rFonts w:ascii="Arial" w:cs="Arial" w:eastAsia="Arial" w:hAnsi="Arial"/>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3" w:lineRule="exact"/>
        <w:rPr>
          <w:sz w:val="24"/>
          <w:szCs w:val="24"/>
          <w:color w:val="auto"/>
        </w:rPr>
      </w:pPr>
    </w:p>
    <w:p>
      <w:pPr>
        <w:ind w:right="28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8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30068X103</w:t>
      </w:r>
    </w:p>
    <w:p>
      <w:pPr>
        <w:spacing w:after="0" w:line="23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Stonepine Capital Management,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California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833,537</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833,537</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833,537</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5.2%</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IA,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30068X103</w:t>
      </w:r>
    </w:p>
    <w:p>
      <w:pPr>
        <w:spacing w:after="0" w:line="23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Stonepine Capital,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833,537</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833,537</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833,537</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5.2%</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30068X103</w:t>
      </w:r>
    </w:p>
    <w:p>
      <w:pPr>
        <w:spacing w:after="0" w:line="23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Jon M. Plexico</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833,537</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833,537</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833,537</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5.2%</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30068X103</w:t>
      </w:r>
    </w:p>
    <w:p>
      <w:pPr>
        <w:spacing w:after="0" w:line="23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Timothy P. Lynch</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833,537</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833,537</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833,537</w:t>
      </w:r>
    </w:p>
    <w:p>
      <w:pPr>
        <w:spacing w:after="0" w:line="200" w:lineRule="exact"/>
        <w:rPr>
          <w:rFonts w:ascii="Arial" w:cs="Arial" w:eastAsia="Arial" w:hAnsi="Arial"/>
          <w:sz w:val="20"/>
          <w:szCs w:val="20"/>
          <w:color w:val="auto"/>
        </w:rPr>
      </w:pPr>
    </w:p>
    <w:p>
      <w:pPr>
        <w:spacing w:after="0" w:line="264"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5.2%</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IN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30068X103</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w:t>
      </w:r>
    </w:p>
    <w:p>
      <w:pPr>
        <w:spacing w:after="0" w:line="23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Exagen Inc.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1261 Liberty Way, Vista, CA 92081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w:t>
      </w:r>
    </w:p>
    <w:p>
      <w:pPr>
        <w:spacing w:after="0" w:line="23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names of the persons filing this statement are:</w:t>
      </w:r>
    </w:p>
    <w:p>
      <w:pPr>
        <w:spacing w:after="0" w:line="223" w:lineRule="exact"/>
        <w:rPr>
          <w:rFonts w:ascii="Arial" w:cs="Arial" w:eastAsia="Arial" w:hAnsi="Arial"/>
          <w:sz w:val="20"/>
          <w:szCs w:val="20"/>
          <w:color w:val="auto"/>
        </w:rPr>
      </w:pPr>
    </w:p>
    <w:p>
      <w:pPr>
        <w:ind w:left="1300" w:right="1380"/>
        <w:spacing w:after="0" w:line="479" w:lineRule="auto"/>
        <w:rPr>
          <w:rFonts w:ascii="Arial" w:cs="Arial" w:eastAsia="Arial" w:hAnsi="Arial"/>
          <w:sz w:val="20"/>
          <w:szCs w:val="20"/>
          <w:color w:val="auto"/>
        </w:rPr>
      </w:pPr>
      <w:r>
        <w:rPr>
          <w:rFonts w:ascii="Arial" w:cs="Arial" w:eastAsia="Arial" w:hAnsi="Arial"/>
          <w:sz w:val="20"/>
          <w:szCs w:val="20"/>
          <w:b w:val="1"/>
          <w:bCs w:val="1"/>
          <w:color w:val="auto"/>
        </w:rPr>
        <w:t>Stonepine Capital Management, LLC, a California limited liability company (the “General Partner”) Stonepine Capital, L.P., a Delaware limited partnership (the “Partnership”)</w:t>
      </w: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Jon M. Plexico</w:t>
      </w:r>
    </w:p>
    <w:p>
      <w:pPr>
        <w:spacing w:after="0" w:line="229"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Timothy P. Lynch (collectively, the “Filers”)</w:t>
      </w:r>
    </w:p>
    <w:p>
      <w:pPr>
        <w:spacing w:after="0" w:line="235" w:lineRule="exact"/>
        <w:rPr>
          <w:rFonts w:ascii="Arial" w:cs="Arial" w:eastAsia="Arial" w:hAnsi="Arial"/>
          <w:sz w:val="20"/>
          <w:szCs w:val="20"/>
          <w:color w:val="auto"/>
        </w:rPr>
      </w:pPr>
    </w:p>
    <w:p>
      <w:pPr>
        <w:ind w:left="1300"/>
        <w:spacing w:after="0" w:line="259" w:lineRule="auto"/>
        <w:rPr>
          <w:rFonts w:ascii="Arial" w:cs="Arial" w:eastAsia="Arial" w:hAnsi="Arial"/>
          <w:sz w:val="20"/>
          <w:szCs w:val="20"/>
          <w:color w:val="auto"/>
        </w:rPr>
      </w:pPr>
      <w:r>
        <w:rPr>
          <w:rFonts w:ascii="Arial" w:cs="Arial" w:eastAsia="Arial" w:hAnsi="Arial"/>
          <w:sz w:val="19"/>
          <w:szCs w:val="19"/>
          <w:color w:val="auto"/>
        </w:rPr>
        <w:t>The General Partner is the general partner and investment adviser of the Partnership. Mr. Plexico and Mr. Lynch are the control persons of the General Partner. The Filers are filing this Schedule 13G jointly, but not as members of a group, and each disclaims membership in a group. Each Filer also disclaims beneficial ownership of the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of the Stock covered by this Schedule 13G.</w:t>
      </w:r>
    </w:p>
    <w:p>
      <w:pPr>
        <w:spacing w:after="0" w:line="191"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principal business office of the Filers is located at</w:t>
      </w:r>
    </w:p>
    <w:p>
      <w:pPr>
        <w:spacing w:after="0" w:line="223" w:lineRule="exact"/>
        <w:rPr>
          <w:rFonts w:ascii="Arial" w:cs="Arial" w:eastAsia="Arial" w:hAnsi="Arial"/>
          <w:sz w:val="20"/>
          <w:szCs w:val="20"/>
          <w:color w:val="auto"/>
        </w:rPr>
      </w:pPr>
    </w:p>
    <w:p>
      <w:pPr>
        <w:ind w:left="1300" w:right="730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919 NW Bond Street, Suite 204 Bend, OR 97703-2767</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This statement relates to the Issuer’s </w:t>
      </w:r>
      <w:r>
        <w:rPr>
          <w:rFonts w:ascii="Arial" w:cs="Arial" w:eastAsia="Arial" w:hAnsi="Arial"/>
          <w:sz w:val="20"/>
          <w:szCs w:val="20"/>
          <w:b w:val="1"/>
          <w:bCs w:val="1"/>
          <w:color w:val="auto"/>
        </w:rPr>
        <w:t>Common Stock, par value $0.001 per share</w:t>
      </w:r>
      <w:r>
        <w:rPr>
          <w:rFonts w:ascii="Arial" w:cs="Arial" w:eastAsia="Arial" w:hAnsi="Arial"/>
          <w:sz w:val="20"/>
          <w:szCs w:val="20"/>
          <w:color w:val="auto"/>
        </w:rPr>
        <w:t xml:space="preserve"> (the “</w:t>
      </w:r>
      <w:r>
        <w:rPr>
          <w:rFonts w:ascii="Arial" w:cs="Arial" w:eastAsia="Arial" w:hAnsi="Arial"/>
          <w:sz w:val="20"/>
          <w:szCs w:val="20"/>
          <w:b w:val="1"/>
          <w:bCs w:val="1"/>
          <w:color w:val="auto"/>
        </w:rPr>
        <w:t>Stock</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30068X103</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33"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30068X103</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ectPr>
          <w:pgSz w:w="11900" w:h="16838" w:orient="portrait"/>
          <w:cols w:equalWidth="0" w:num="1">
            <w:col w:w="11040"/>
          </w:cols>
          <w:pgMar w:left="320" w:top="233" w:right="539" w:bottom="0" w:gutter="0" w:footer="0" w:header="0"/>
        </w:sect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 Broker or dealer registered under section 15 of the Act (15 U.S.C. 78o).</w:t>
      </w:r>
    </w:p>
    <w:p>
      <w:pPr>
        <w:spacing w:after="0" w:line="200"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 Bank as defined in section 3(a)(6) of the Act (15 U.S.C. 78c).</w:t>
      </w:r>
    </w:p>
    <w:p>
      <w:pPr>
        <w:spacing w:after="0" w:line="200"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 Insurance company as defined in section 3(a)(19) of the Act (15 U.S.C. 78c).</w:t>
      </w:r>
    </w:p>
    <w:p>
      <w:pPr>
        <w:spacing w:after="0" w:line="200"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 Investment company registered under section 8 of the Investment Company Act of 1940 (15 U.S.C. 80a-8).</w:t>
      </w:r>
    </w:p>
    <w:p>
      <w:pPr>
        <w:spacing w:after="0" w:line="200"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spacing w:after="0" w:line="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 xml:space="preserve">[ </w:t>
      </w:r>
      <w:r>
        <w:rPr>
          <w:rFonts w:ascii="Arial" w:cs="Arial" w:eastAsia="Arial" w:hAnsi="Arial"/>
          <w:sz w:val="18"/>
          <w:szCs w:val="18"/>
          <w:b w:val="1"/>
          <w:bCs w:val="1"/>
          <w:color w:val="auto"/>
        </w:rPr>
        <w:t>X</w:t>
      </w:r>
      <w:r>
        <w:rPr>
          <w:rFonts w:ascii="Arial" w:cs="Arial" w:eastAsia="Arial" w:hAnsi="Arial"/>
          <w:sz w:val="18"/>
          <w:szCs w:val="18"/>
          <w:color w:val="auto"/>
        </w:rPr>
        <w:t xml:space="preserve"> ] An investment adviser in accordance with section 240.13d-1(b)(1)(ii)(E). As to the General Partner.</w:t>
      </w:r>
    </w:p>
    <w:p>
      <w:pPr>
        <w:sectPr>
          <w:pgSz w:w="11900" w:h="16838" w:orient="portrait"/>
          <w:cols w:equalWidth="0" w:num="1">
            <w:col w:w="11040"/>
          </w:cols>
          <w:pgMar w:left="320" w:top="233" w:right="539" w:bottom="0" w:gutter="0" w:footer="0" w:header="0"/>
          <w:type w:val="continuous"/>
        </w:sect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 An employee benefit plan or endowment fund in accordance with section 240.13d-1(b)(1)(ii)(F).</w:t>
      </w:r>
    </w:p>
    <w:p>
      <w:pPr>
        <w:spacing w:after="0" w:line="222"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spacing w:after="0" w:line="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8"/>
          <w:szCs w:val="18"/>
          <w:color w:val="auto"/>
        </w:rPr>
        <w:t xml:space="preserve">[ </w:t>
      </w:r>
      <w:r>
        <w:rPr>
          <w:rFonts w:ascii="Arial" w:cs="Arial" w:eastAsia="Arial" w:hAnsi="Arial"/>
          <w:sz w:val="18"/>
          <w:szCs w:val="18"/>
          <w:b w:val="1"/>
          <w:bCs w:val="1"/>
          <w:color w:val="auto"/>
        </w:rPr>
        <w:t>X</w:t>
      </w:r>
      <w:r>
        <w:rPr>
          <w:rFonts w:ascii="Arial" w:cs="Arial" w:eastAsia="Arial" w:hAnsi="Arial"/>
          <w:sz w:val="18"/>
          <w:szCs w:val="18"/>
          <w:color w:val="auto"/>
        </w:rPr>
        <w:t xml:space="preserve"> ] A parent holding company or control person in accordance with 240.13d-1(b)(1)(ii)(G). As to Mr. Plexico and Mr.</w:t>
      </w:r>
    </w:p>
    <w:p>
      <w:pPr>
        <w:spacing w:after="0" w:line="4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Lynch.</w:t>
      </w:r>
    </w:p>
    <w:p>
      <w:pPr>
        <w:sectPr>
          <w:pgSz w:w="11900" w:h="16838" w:orient="portrait"/>
          <w:cols w:equalWidth="0" w:num="1">
            <w:col w:w="11040"/>
          </w:cols>
          <w:pgMar w:left="320" w:top="233" w:right="539" w:bottom="0" w:gutter="0" w:footer="0" w:header="0"/>
          <w:type w:val="continuous"/>
        </w:sect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 A savings association as defined in section 3(b) of the Federal Deposit Insurance Act (12 U.S.C. 1813).</w:t>
      </w:r>
    </w:p>
    <w:p>
      <w:pPr>
        <w:spacing w:after="0" w:line="200"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90"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ind w:left="660"/>
        <w:spacing w:after="0"/>
        <w:rPr>
          <w:sz w:val="20"/>
          <w:szCs w:val="20"/>
          <w:color w:val="auto"/>
        </w:rPr>
      </w:pPr>
      <w:r>
        <w:rPr>
          <w:rFonts w:ascii="Arial" w:cs="Arial" w:eastAsia="Arial" w:hAnsi="Arial"/>
          <w:sz w:val="20"/>
          <w:szCs w:val="20"/>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 A non-U.S. institution in accordance with §240.13d-1(b)(ii)(J).</w:t>
      </w:r>
    </w:p>
    <w:p>
      <w:pPr>
        <w:spacing w:after="0" w:line="222"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 Group, in accordance with Rule 13d-1(b)(1)(ii)(K).</w:t>
      </w:r>
    </w:p>
    <w:p>
      <w:pPr>
        <w:spacing w:after="0" w:line="200"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spacing w:after="0" w:line="52" w:lineRule="exact"/>
        <w:rPr>
          <w:sz w:val="20"/>
          <w:szCs w:val="20"/>
          <w:color w:val="auto"/>
        </w:rPr>
      </w:pPr>
    </w:p>
    <w:p>
      <w:pPr>
        <w:ind w:left="660" w:right="1440"/>
        <w:spacing w:after="0" w:line="260" w:lineRule="auto"/>
        <w:rPr>
          <w:sz w:val="20"/>
          <w:szCs w:val="20"/>
          <w:color w:val="auto"/>
        </w:rPr>
      </w:pPr>
      <w:r>
        <w:rPr>
          <w:rFonts w:ascii="Arial" w:cs="Arial" w:eastAsia="Arial" w:hAnsi="Arial"/>
          <w:sz w:val="20"/>
          <w:szCs w:val="20"/>
          <w:color w:val="auto"/>
        </w:rPr>
        <w:t>If filing as a non-U.S. institution in accordance with §240.13d-1(b)(1)(ii)(J), please specify the type of institution _______________________________________________________________.</w:t>
      </w:r>
    </w:p>
    <w:p>
      <w:pPr>
        <w:sectPr>
          <w:pgSz w:w="11900" w:h="16838" w:orient="portrait"/>
          <w:cols w:equalWidth="0" w:num="1">
            <w:col w:w="11040"/>
          </w:cols>
          <w:pgMar w:left="320" w:top="233" w:right="539" w:bottom="0" w:gutter="0" w:footer="0" w:header="0"/>
          <w:type w:val="continuous"/>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222" w:lineRule="exact"/>
        <w:rPr>
          <w:sz w:val="20"/>
          <w:szCs w:val="20"/>
          <w:color w:val="auto"/>
        </w:rPr>
      </w:pPr>
    </w:p>
    <w:p>
      <w:pPr>
        <w:sectPr>
          <w:pgSz w:w="11900" w:h="16838" w:orient="portrait"/>
          <w:cols w:equalWidth="0" w:num="2">
            <w:col w:w="600" w:space="700"/>
            <w:col w:w="9740"/>
          </w:cols>
          <w:pgMar w:left="320" w:top="233" w:right="539" w:bottom="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29"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percentages reported in this Schedule 13G are based on 16,164,232 shares of Common Stock outstanding as of November 5, 2021, as reported in the Issuer’s Form 10-Q filed on November 10, 2021.</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35"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Partnership holds the Stock for the benefit of its investors and has the right to receive or the power to direct the receipt of dividends from, or the proceeds from the sale of, the Stock.</w:t>
      </w:r>
    </w:p>
    <w:p>
      <w:pPr>
        <w:spacing w:after="0" w:line="184" w:lineRule="exact"/>
        <w:rPr>
          <w:sz w:val="20"/>
          <w:szCs w:val="20"/>
          <w:color w:val="auto"/>
        </w:rPr>
      </w:pPr>
    </w:p>
    <w:p>
      <w:pPr>
        <w:ind w:left="1300" w:right="180" w:hanging="1295"/>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Material to Be Filed as Exhibits</w:t>
      </w:r>
    </w:p>
    <w:p>
      <w:pPr>
        <w:spacing w:after="0"/>
        <w:rPr>
          <w:sz w:val="20"/>
          <w:szCs w:val="20"/>
          <w:color w:val="auto"/>
        </w:rPr>
      </w:pPr>
      <w:r>
        <w:rPr>
          <w:rFonts w:ascii="Arial" w:cs="Arial" w:eastAsia="Arial" w:hAnsi="Arial"/>
          <w:sz w:val="20"/>
          <w:szCs w:val="20"/>
          <w:b w:val="1"/>
          <w:bCs w:val="1"/>
          <w:color w:val="auto"/>
        </w:rPr>
        <w:t>Item 10.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Agreement Regarding Joint Filing of Statement on Schedule 13D or 13G.</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8"/>
          <w:szCs w:val="18"/>
          <w:b w:val="1"/>
          <w:bCs w:val="1"/>
          <w:color w:val="auto"/>
        </w:rPr>
        <w:t>Certification of the General Partner, Mr. Plexico and Mr. Lynch</w:t>
      </w:r>
    </w:p>
    <w:p>
      <w:pPr>
        <w:spacing w:after="0" w:line="235" w:lineRule="exact"/>
        <w:rPr>
          <w:sz w:val="20"/>
          <w:szCs w:val="20"/>
          <w:color w:val="auto"/>
        </w:rPr>
      </w:pPr>
    </w:p>
    <w:p>
      <w:pPr>
        <w:ind w:left="660" w:right="460"/>
        <w:spacing w:after="0" w:line="244"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40"/>
          </w:cols>
          <w:pgMar w:left="320" w:top="233" w:right="539" w:bottom="0" w:gutter="0" w:footer="0" w:header="0"/>
          <w:type w:val="continuous"/>
        </w:sectPr>
      </w:pPr>
    </w:p>
    <w:bookmarkStart w:id="7" w:name="page8"/>
    <w:bookmarkEnd w:id="7"/>
    <w:p>
      <w:pPr>
        <w:ind w:left="640"/>
        <w:spacing w:after="0"/>
        <w:rPr>
          <w:sz w:val="20"/>
          <w:szCs w:val="20"/>
          <w:color w:val="auto"/>
        </w:rPr>
      </w:pPr>
      <w:r>
        <w:rPr>
          <w:rFonts w:ascii="Arial" w:cs="Arial" w:eastAsia="Arial" w:hAnsi="Arial"/>
          <w:sz w:val="20"/>
          <w:szCs w:val="20"/>
          <w:b w:val="1"/>
          <w:bCs w:val="1"/>
          <w:color w:val="auto"/>
        </w:rPr>
        <w:t>Certification of the Partnership</w:t>
      </w:r>
    </w:p>
    <w:p>
      <w:pPr>
        <w:spacing w:after="0" w:line="221"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840"/>
          </w:cols>
          <w:pgMar w:left="980" w:top="118" w:right="10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30068X103</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Dated: December 23, 2021</w:t>
      </w:r>
    </w:p>
    <w:p>
      <w:pPr>
        <w:spacing w:after="0" w:line="223"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STONEPINE CAPITAL MANAGEMENT, LLC</w:t>
      </w:r>
    </w:p>
    <w:p>
      <w:pPr>
        <w:spacing w:after="0" w:line="200" w:lineRule="exact"/>
        <w:rPr>
          <w:sz w:val="20"/>
          <w:szCs w:val="20"/>
          <w:color w:val="auto"/>
        </w:rPr>
      </w:pPr>
    </w:p>
    <w:p>
      <w:pPr>
        <w:spacing w:after="0" w:line="26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Timothy P. Lynch</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Timothy P. Lynch</w:t>
      </w:r>
    </w:p>
    <w:p>
      <w:pPr>
        <w:ind w:left="6040"/>
        <w:spacing w:after="0"/>
        <w:rPr>
          <w:sz w:val="20"/>
          <w:szCs w:val="20"/>
          <w:color w:val="auto"/>
        </w:rPr>
      </w:pPr>
      <w:r>
        <w:rPr>
          <w:rFonts w:ascii="Arial" w:cs="Arial" w:eastAsia="Arial" w:hAnsi="Arial"/>
          <w:sz w:val="20"/>
          <w:szCs w:val="20"/>
          <w:color w:val="auto"/>
        </w:rPr>
        <w:t>Managing Member</w:t>
      </w:r>
    </w:p>
    <w:p>
      <w:pPr>
        <w:spacing w:after="0" w:line="207"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STONEPINE CAPITAL, L.P.</w:t>
      </w:r>
    </w:p>
    <w:p>
      <w:pPr>
        <w:spacing w:after="0" w:line="23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 Stonepine Capital Management, LLC,</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General Partner</w:t>
      </w:r>
    </w:p>
    <w:p>
      <w:pPr>
        <w:spacing w:after="0" w:line="213"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Timothy P. Lynch</w:t>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Managing Member</w:t>
      </w:r>
    </w:p>
    <w:p>
      <w:pPr>
        <w:spacing w:after="0" w:line="200" w:lineRule="exact"/>
        <w:rPr>
          <w:sz w:val="20"/>
          <w:szCs w:val="20"/>
          <w:color w:val="auto"/>
        </w:rPr>
      </w:pPr>
    </w:p>
    <w:p>
      <w:pPr>
        <w:spacing w:after="0" w:line="243" w:lineRule="exact"/>
        <w:rPr>
          <w:sz w:val="20"/>
          <w:szCs w:val="20"/>
          <w:color w:val="auto"/>
        </w:rPr>
      </w:pPr>
    </w:p>
    <w:p>
      <w:pPr>
        <w:ind w:left="5400"/>
        <w:spacing w:after="0"/>
        <w:rPr>
          <w:sz w:val="20"/>
          <w:szCs w:val="20"/>
          <w:color w:val="auto"/>
        </w:rPr>
      </w:pPr>
      <w:r>
        <w:rPr>
          <w:rFonts w:ascii="Arial" w:cs="Arial" w:eastAsia="Arial" w:hAnsi="Arial"/>
          <w:sz w:val="20"/>
          <w:szCs w:val="20"/>
          <w:u w:val="single" w:color="auto"/>
          <w:color w:val="auto"/>
        </w:rPr>
        <w:t>_/s/ Jon M. Plexico</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_Jon M. Plexico</w:t>
      </w:r>
    </w:p>
    <w:p>
      <w:pPr>
        <w:spacing w:after="0" w:line="200" w:lineRule="exact"/>
        <w:rPr>
          <w:sz w:val="20"/>
          <w:szCs w:val="20"/>
          <w:color w:val="auto"/>
        </w:rPr>
      </w:pPr>
    </w:p>
    <w:p>
      <w:pPr>
        <w:spacing w:after="0" w:line="243" w:lineRule="exact"/>
        <w:rPr>
          <w:sz w:val="20"/>
          <w:szCs w:val="20"/>
          <w:color w:val="auto"/>
        </w:rPr>
      </w:pPr>
    </w:p>
    <w:p>
      <w:pPr>
        <w:ind w:left="5400"/>
        <w:spacing w:after="0"/>
        <w:rPr>
          <w:sz w:val="20"/>
          <w:szCs w:val="20"/>
          <w:color w:val="auto"/>
        </w:rPr>
      </w:pPr>
      <w:r>
        <w:rPr>
          <w:rFonts w:ascii="Arial" w:cs="Arial" w:eastAsia="Arial" w:hAnsi="Arial"/>
          <w:sz w:val="20"/>
          <w:szCs w:val="20"/>
          <w:u w:val="single" w:color="auto"/>
          <w:color w:val="auto"/>
        </w:rPr>
        <w:t>/s/ Timothy P. Lynch</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Timothy P. Lynch</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233"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30068X103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Stonepine Capital Management, LLC, a California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Dated: May 15, 2017</w:t>
      </w:r>
    </w:p>
    <w:p>
      <w:pPr>
        <w:spacing w:after="0" w:line="223"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STONEPINE CAPITAL MANAGEMENT, LLC</w:t>
      </w:r>
    </w:p>
    <w:p>
      <w:pPr>
        <w:spacing w:after="0" w:line="200" w:lineRule="exact"/>
        <w:rPr>
          <w:sz w:val="20"/>
          <w:szCs w:val="20"/>
          <w:color w:val="auto"/>
        </w:rPr>
      </w:pPr>
    </w:p>
    <w:p>
      <w:pPr>
        <w:spacing w:after="0" w:line="26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 /s/ Timothy P. Lynch</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Managing Member</w:t>
      </w:r>
    </w:p>
    <w:p>
      <w:pPr>
        <w:spacing w:after="0" w:line="207"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STONEPINE CAPITAL, L.P.</w:t>
      </w:r>
    </w:p>
    <w:p>
      <w:pPr>
        <w:spacing w:after="0" w:line="23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 Stonepine Capital Management, LLC,</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General Partner</w:t>
      </w:r>
    </w:p>
    <w:p>
      <w:pPr>
        <w:spacing w:after="0" w:line="213"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 /s/ Timothy P. Lynch</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Managing Member</w:t>
      </w:r>
    </w:p>
    <w:p>
      <w:pPr>
        <w:spacing w:after="0" w:line="200" w:lineRule="exact"/>
        <w:rPr>
          <w:sz w:val="20"/>
          <w:szCs w:val="20"/>
          <w:color w:val="auto"/>
        </w:rPr>
      </w:pPr>
    </w:p>
    <w:p>
      <w:pPr>
        <w:spacing w:after="0" w:line="243"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/s/ Jon M. Plexico</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/s/ Timothy P. Lynch</w:t>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2021-12-27T05:10:50Z</dcterms:created>
  <dcterms:modified xsi:type="dcterms:W3CDTF">2021-12-27T05:10:50Z</dcterms:modified>
</cp:coreProperties>
</file>