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83171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Black Jeffrey G.</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02"/>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0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92081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2"/>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60" w:type="dxa"/>
            <w:vAlign w:val="bottom"/>
            <w:gridSpan w:val="3"/>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15,000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289,492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3"/>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82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96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10,000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February 21, 2025, subject to the Reporting Person's continued service through the applicable vesting date. In addition, the award may become fully vested upon a qualifying termination of employment in connection with a change in control.</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it vests. 25% of the shares subject to the option vest on February 21, 2026, and 1/48th of the total number of shares subject to the option vest at the end of each calendar month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02/25/2025</w:t>
            </w:r>
          </w:p>
        </w:tc>
      </w:tr>
      <w:tr>
        <w:trPr>
          <w:trHeight w:val="20"/>
        </w:trPr>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2025-02-25T20:09:23Z</dcterms:created>
  <dcterms:modified xsi:type="dcterms:W3CDTF">2025-02-25T20:09:23Z</dcterms:modified>
</cp:coreProperties>
</file>