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560" w:hanging="329"/>
        <w:spacing w:after="0"/>
        <w:tabs>
          <w:tab w:leader="none" w:pos="5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43" w:lineRule="exact"/>
        <w:rPr>
          <w:sz w:val="24"/>
          <w:szCs w:val="24"/>
          <w:color w:val="auto"/>
        </w:rPr>
      </w:pPr>
    </w:p>
    <w:p>
      <w:pPr>
        <w:ind w:left="560" w:hanging="329"/>
        <w:spacing w:after="0"/>
        <w:tabs>
          <w:tab w:leader="none" w:pos="5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transition period from to .</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121920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EXAGEN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977" w:right="339" w:bottom="1440" w:gutter="0" w:footer="0" w:header="0"/>
        </w:sectPr>
      </w:pPr>
    </w:p>
    <w:p>
      <w:pPr>
        <w:spacing w:after="0" w:line="321"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(State or other jurisdiction of</w:t>
      </w:r>
    </w:p>
    <w:p>
      <w:pPr>
        <w:ind w:left="16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20-0434866</w:t>
      </w:r>
    </w:p>
    <w:p>
      <w:pPr>
        <w:spacing w:after="0" w:line="20"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4"/>
          <w:szCs w:val="14"/>
          <w:b w:val="1"/>
          <w:bCs w:val="1"/>
          <w:color w:val="auto"/>
        </w:rPr>
        <w:t>Identification No.)</w:t>
      </w:r>
    </w:p>
    <w:p>
      <w:pPr>
        <w:spacing w:after="0" w:line="118" w:lineRule="exact"/>
        <w:rPr>
          <w:sz w:val="24"/>
          <w:szCs w:val="24"/>
          <w:color w:val="auto"/>
        </w:rPr>
      </w:pPr>
    </w:p>
    <w:p>
      <w:pPr>
        <w:sectPr>
          <w:pgSz w:w="11900" w:h="16838" w:orient="portrait"/>
          <w:cols w:equalWidth="0" w:num="2">
            <w:col w:w="7640" w:space="720"/>
            <w:col w:w="2880"/>
          </w:cols>
          <w:pgMar w:left="320" w:top="977" w:right="33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1261 Liberty Way</w:t>
      </w:r>
    </w:p>
    <w:p>
      <w:pPr>
        <w:spacing w:after="0" w:line="29" w:lineRule="exact"/>
        <w:rPr>
          <w:sz w:val="24"/>
          <w:szCs w:val="24"/>
          <w:color w:val="auto"/>
        </w:rPr>
      </w:pPr>
    </w:p>
    <w:p>
      <w:pPr>
        <w:ind w:left="1700"/>
        <w:spacing w:after="0"/>
        <w:tabs>
          <w:tab w:leader="none" w:pos="3020" w:val="left"/>
        </w:tabs>
        <w:rPr>
          <w:sz w:val="20"/>
          <w:szCs w:val="20"/>
          <w:color w:val="auto"/>
        </w:rPr>
      </w:pPr>
      <w:r>
        <w:rPr>
          <w:rFonts w:ascii="Arial" w:cs="Arial" w:eastAsia="Arial" w:hAnsi="Arial"/>
          <w:sz w:val="14"/>
          <w:szCs w:val="14"/>
          <w:b w:val="1"/>
          <w:bCs w:val="1"/>
          <w:color w:val="auto"/>
        </w:rPr>
        <w:t>Vista</w:t>
      </w:r>
      <w:r>
        <w:rPr>
          <w:sz w:val="20"/>
          <w:szCs w:val="20"/>
          <w:color w:val="auto"/>
        </w:rPr>
        <w:tab/>
      </w:r>
      <w:r>
        <w:rPr>
          <w:rFonts w:ascii="Arial" w:cs="Arial" w:eastAsia="Arial" w:hAnsi="Arial"/>
          <w:sz w:val="14"/>
          <w:szCs w:val="14"/>
          <w:b w:val="1"/>
          <w:bCs w:val="1"/>
          <w:color w:val="auto"/>
        </w:rPr>
        <w:t>California</w:t>
      </w:r>
    </w:p>
    <w:p>
      <w:pPr>
        <w:spacing w:after="0" w:line="28" w:lineRule="exact"/>
        <w:rPr>
          <w:sz w:val="24"/>
          <w:szCs w:val="24"/>
          <w:color w:val="auto"/>
        </w:rPr>
      </w:pPr>
    </w:p>
    <w:p>
      <w:pPr>
        <w:ind w:left="13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92081</w:t>
      </w:r>
    </w:p>
    <w:p>
      <w:pPr>
        <w:spacing w:after="0" w:line="29"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7880" w:space="720"/>
            <w:col w:w="2640"/>
          </w:cols>
          <w:pgMar w:left="320" w:top="977" w:right="339" w:bottom="1440" w:gutter="0" w:footer="0" w:header="0"/>
          <w:type w:val="continuous"/>
        </w:sectPr>
      </w:pPr>
    </w:p>
    <w:p>
      <w:pPr>
        <w:spacing w:after="0" w:line="205" w:lineRule="exact"/>
        <w:rPr>
          <w:sz w:val="24"/>
          <w:szCs w:val="24"/>
          <w:color w:val="auto"/>
        </w:rPr>
      </w:pPr>
    </w:p>
    <w:p>
      <w:pPr>
        <w:ind w:left="5260"/>
        <w:spacing w:after="0"/>
        <w:rPr>
          <w:sz w:val="20"/>
          <w:szCs w:val="20"/>
          <w:color w:val="auto"/>
        </w:rPr>
      </w:pPr>
      <w:r>
        <w:rPr>
          <w:rFonts w:ascii="Arial" w:cs="Arial" w:eastAsia="Arial" w:hAnsi="Arial"/>
          <w:sz w:val="14"/>
          <w:szCs w:val="14"/>
          <w:b w:val="1"/>
          <w:bCs w:val="1"/>
          <w:color w:val="auto"/>
        </w:rPr>
        <w:t>(760) 560-1501</w:t>
      </w:r>
    </w:p>
    <w:p>
      <w:pPr>
        <w:spacing w:after="0" w:line="29"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4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01"/>
        </w:trPr>
        <w:tc>
          <w:tcPr>
            <w:tcW w:w="500" w:type="dxa"/>
            <w:vAlign w:val="bottom"/>
          </w:tcPr>
          <w:p>
            <w:pPr>
              <w:spacing w:after="0"/>
              <w:rPr>
                <w:sz w:val="17"/>
                <w:szCs w:val="17"/>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7"/>
                <w:szCs w:val="17"/>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500" w:type="dxa"/>
            <w:vAlign w:val="bottom"/>
          </w:tcPr>
          <w:p>
            <w:pPr>
              <w:spacing w:after="0"/>
              <w:rPr>
                <w:sz w:val="16"/>
                <w:szCs w:val="16"/>
                <w:color w:val="auto"/>
              </w:rPr>
            </w:pPr>
          </w:p>
        </w:tc>
        <w:tc>
          <w:tcPr>
            <w:tcW w:w="3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 Stock, par value $0.001 per share</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XGN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Market</w:t>
            </w:r>
          </w:p>
        </w:tc>
      </w:tr>
      <w:tr>
        <w:trPr>
          <w:trHeight w:val="284"/>
        </w:trPr>
        <w:tc>
          <w:tcPr>
            <w:tcW w:w="44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60" w:lineRule="exact"/>
        <w:rPr>
          <w:sz w:val="24"/>
          <w:szCs w:val="24"/>
          <w:color w:val="auto"/>
        </w:rPr>
      </w:pPr>
    </w:p>
    <w:p>
      <w:pPr>
        <w:ind w:right="2880"/>
        <w:spacing w:after="0" w:line="24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1" w:name="page2"/>
    <w:bookmarkEnd w:id="1"/>
    <w:tbl>
      <w:tblPr>
        <w:tblLayout w:type="fixed"/>
        <w:tblInd w:w="480" w:type="dxa"/>
        <w:tblCellMar>
          <w:top w:w="0" w:type="dxa"/>
          <w:left w:w="0" w:type="dxa"/>
          <w:bottom w:w="0" w:type="dxa"/>
          <w:right w:w="0" w:type="dxa"/>
        </w:tblCellMar>
      </w:tblPr>
      <w:tr>
        <w:trPr>
          <w:trHeight w:val="226"/>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2" w:lineRule="exact"/>
        <w:rPr>
          <w:sz w:val="20"/>
          <w:szCs w:val="20"/>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95" w:lineRule="exact"/>
        <w:rPr>
          <w:sz w:val="20"/>
          <w:szCs w:val="20"/>
          <w:color w:val="auto"/>
        </w:rPr>
      </w:pPr>
    </w:p>
    <w:p>
      <w:pPr>
        <w:ind w:right="44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registrant's common stock held by non-affiliates of the registrant was approximately $83.4 million, based on the closing price of the registrant's common stock on the Nasdaq Global Market of $12.41 per share.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12, 2021 was 12,669,816.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6"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2021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8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360" w:type="dxa"/>
            <w:vAlign w:val="bottom"/>
            <w:gridSpan w:val="21"/>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420" w:type="dxa"/>
            <w:vAlign w:val="bottom"/>
            <w:gridSpan w:val="2"/>
          </w:tcPr>
          <w:p>
            <w:pPr>
              <w:ind w:left="32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Risk Factors</w:t>
              </w:r>
            </w:hyperlink>
          </w:p>
        </w:tc>
        <w:tc>
          <w:tcPr>
            <w:tcW w:w="7360" w:type="dxa"/>
            <w:vAlign w:val="bottom"/>
            <w:gridSpan w:val="17"/>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8360" w:type="dxa"/>
            <w:vAlign w:val="bottom"/>
            <w:gridSpan w:val="21"/>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Unresolved Staff Comments</w:t>
              </w:r>
            </w:hyperlink>
          </w:p>
        </w:tc>
        <w:tc>
          <w:tcPr>
            <w:tcW w:w="620" w:type="dxa"/>
            <w:vAlign w:val="bottom"/>
            <w:gridSpan w:val="4"/>
          </w:tcPr>
          <w:p>
            <w:pPr>
              <w:ind w:left="320"/>
              <w:spacing w:after="0"/>
              <w:rPr>
                <w:rFonts w:ascii="Arial" w:cs="Arial" w:eastAsia="Arial" w:hAnsi="Arial"/>
                <w:sz w:val="18"/>
                <w:szCs w:val="18"/>
                <w:color w:val="0000FF"/>
              </w:rPr>
            </w:pPr>
            <w:hyperlink w:anchor="page75">
              <w:r>
                <w:rPr>
                  <w:rFonts w:ascii="Arial" w:cs="Arial" w:eastAsia="Arial" w:hAnsi="Arial"/>
                  <w:sz w:val="18"/>
                  <w:szCs w:val="18"/>
                  <w:color w:val="0000FF"/>
                </w:rPr>
                <w:t>72</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80" w:type="dxa"/>
            <w:vAlign w:val="bottom"/>
            <w:gridSpan w:val="2"/>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Properties</w:t>
              </w:r>
            </w:hyperlink>
          </w:p>
        </w:tc>
        <w:tc>
          <w:tcPr>
            <w:tcW w:w="1460" w:type="dxa"/>
            <w:vAlign w:val="bottom"/>
            <w:gridSpan w:val="9"/>
          </w:tcPr>
          <w:p>
            <w:pPr>
              <w:spacing w:after="0"/>
              <w:rPr>
                <w:sz w:val="18"/>
                <w:szCs w:val="18"/>
                <w:color w:val="auto"/>
              </w:rPr>
            </w:pPr>
          </w:p>
        </w:tc>
        <w:tc>
          <w:tcPr>
            <w:tcW w:w="6120" w:type="dxa"/>
            <w:vAlign w:val="bottom"/>
            <w:gridSpan w:val="10"/>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8360" w:type="dxa"/>
            <w:vAlign w:val="bottom"/>
            <w:gridSpan w:val="2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Legal Proceedings</w:t>
              </w:r>
            </w:hyperlink>
          </w:p>
        </w:tc>
        <w:tc>
          <w:tcPr>
            <w:tcW w:w="620" w:type="dxa"/>
            <w:vAlign w:val="bottom"/>
            <w:gridSpan w:val="4"/>
          </w:tcPr>
          <w:p>
            <w:pPr>
              <w:ind w:left="320"/>
              <w:spacing w:after="0"/>
              <w:rPr>
                <w:rFonts w:ascii="Arial" w:cs="Arial" w:eastAsia="Arial" w:hAnsi="Arial"/>
                <w:sz w:val="18"/>
                <w:szCs w:val="18"/>
                <w:color w:val="0000FF"/>
              </w:rPr>
            </w:pPr>
            <w:hyperlink w:anchor="page76">
              <w:r>
                <w:rPr>
                  <w:rFonts w:ascii="Arial" w:cs="Arial" w:eastAsia="Arial" w:hAnsi="Arial"/>
                  <w:sz w:val="18"/>
                  <w:szCs w:val="18"/>
                  <w:color w:val="0000FF"/>
                </w:rPr>
                <w:t>73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360" w:type="dxa"/>
            <w:vAlign w:val="bottom"/>
            <w:gridSpan w:val="2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Mine Safety Disclosures</w:t>
              </w:r>
            </w:hyperlink>
          </w:p>
        </w:tc>
        <w:tc>
          <w:tcPr>
            <w:tcW w:w="620" w:type="dxa"/>
            <w:vAlign w:val="bottom"/>
            <w:gridSpan w:val="4"/>
          </w:tcPr>
          <w:p>
            <w:pPr>
              <w:ind w:left="320"/>
              <w:spacing w:after="0"/>
              <w:rPr>
                <w:rFonts w:ascii="Arial" w:cs="Arial" w:eastAsia="Arial" w:hAnsi="Arial"/>
                <w:sz w:val="18"/>
                <w:szCs w:val="18"/>
                <w:color w:val="0000FF"/>
              </w:rPr>
            </w:pPr>
            <w:hyperlink w:anchor="page76">
              <w:r>
                <w:rPr>
                  <w:rFonts w:ascii="Arial" w:cs="Arial" w:eastAsia="Arial" w:hAnsi="Arial"/>
                  <w:sz w:val="18"/>
                  <w:szCs w:val="18"/>
                  <w:color w:val="0000FF"/>
                </w:rPr>
                <w:t>73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8360" w:type="dxa"/>
            <w:vAlign w:val="bottom"/>
            <w:gridSpan w:val="21"/>
          </w:tcPr>
          <w:p>
            <w:pPr>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Market for Registrant's Common Equity, Related Stockholder Matters and Issuer Purchases of Equity</w:t>
              </w:r>
            </w:hyperlink>
          </w:p>
        </w:tc>
        <w:tc>
          <w:tcPr>
            <w:tcW w:w="620" w:type="dxa"/>
            <w:vAlign w:val="bottom"/>
            <w:gridSpan w:val="4"/>
            <w:vMerge w:val="restart"/>
          </w:tcPr>
          <w:p>
            <w:pPr>
              <w:ind w:left="320"/>
              <w:spacing w:after="0"/>
              <w:rPr>
                <w:rFonts w:ascii="Arial" w:cs="Arial" w:eastAsia="Arial" w:hAnsi="Arial"/>
                <w:sz w:val="18"/>
                <w:szCs w:val="18"/>
                <w:color w:val="0000FF"/>
              </w:rPr>
            </w:pPr>
            <w:hyperlink w:anchor="page77">
              <w:r>
                <w:rPr>
                  <w:rFonts w:ascii="Arial" w:cs="Arial" w:eastAsia="Arial" w:hAnsi="Arial"/>
                  <w:sz w:val="18"/>
                  <w:szCs w:val="18"/>
                  <w:color w:val="0000FF"/>
                </w:rPr>
                <w:t>74</w:t>
              </w:r>
            </w:hyperlink>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77">
              <w:r>
                <w:rPr>
                  <w:rFonts w:ascii="Arial" w:cs="Arial" w:eastAsia="Arial" w:hAnsi="Arial"/>
                  <w:sz w:val="18"/>
                  <w:szCs w:val="18"/>
                  <w:color w:val="0000FF"/>
                </w:rPr>
                <w:t>Securities</w:t>
              </w:r>
            </w:hyperlink>
          </w:p>
        </w:tc>
        <w:tc>
          <w:tcPr>
            <w:tcW w:w="34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900" w:type="dxa"/>
            <w:vAlign w:val="bottom"/>
            <w:gridSpan w:val="8"/>
          </w:tcPr>
          <w:p>
            <w:pPr>
              <w:spacing w:after="0"/>
              <w:rPr>
                <w:rFonts w:ascii="Arial" w:cs="Arial" w:eastAsia="Arial" w:hAnsi="Arial"/>
                <w:sz w:val="18"/>
                <w:szCs w:val="18"/>
                <w:color w:val="0000FF"/>
                <w:w w:val="98"/>
              </w:rPr>
            </w:pPr>
            <w:hyperlink w:anchor="page78">
              <w:r>
                <w:rPr>
                  <w:rFonts w:ascii="Arial" w:cs="Arial" w:eastAsia="Arial" w:hAnsi="Arial"/>
                  <w:sz w:val="18"/>
                  <w:szCs w:val="18"/>
                  <w:color w:val="0000FF"/>
                  <w:w w:val="98"/>
                </w:rPr>
                <w:t>Selected Financial Data</w:t>
              </w:r>
            </w:hyperlink>
          </w:p>
        </w:tc>
        <w:tc>
          <w:tcPr>
            <w:tcW w:w="6460" w:type="dxa"/>
            <w:vAlign w:val="bottom"/>
            <w:gridSpan w:val="13"/>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Management's Discussion and Analysis of Financial Condition and Results of Operations</w:t>
              </w:r>
            </w:hyperlink>
          </w:p>
        </w:tc>
        <w:tc>
          <w:tcPr>
            <w:tcW w:w="1280" w:type="dxa"/>
            <w:vAlign w:val="bottom"/>
            <w:gridSpan w:val="3"/>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79">
              <w:r>
                <w:rPr>
                  <w:rFonts w:ascii="Arial" w:cs="Arial" w:eastAsia="Arial" w:hAnsi="Arial"/>
                  <w:sz w:val="18"/>
                  <w:szCs w:val="18"/>
                  <w:color w:val="0000FF"/>
                </w:rPr>
                <w:t>77</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Quantitative and Qualitative Disclosures About Market Risk</w:t>
              </w:r>
            </w:hyperlink>
          </w:p>
        </w:tc>
        <w:tc>
          <w:tcPr>
            <w:tcW w:w="1280" w:type="dxa"/>
            <w:vAlign w:val="bottom"/>
            <w:gridSpan w:val="3"/>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3">
              <w:r>
                <w:rPr>
                  <w:rFonts w:ascii="Arial" w:cs="Arial" w:eastAsia="Arial" w:hAnsi="Arial"/>
                  <w:sz w:val="18"/>
                  <w:szCs w:val="18"/>
                  <w:color w:val="0000FF"/>
                </w:rPr>
                <w:t>90</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rFonts w:ascii="Arial" w:cs="Arial" w:eastAsia="Arial" w:hAnsi="Arial"/>
                <w:sz w:val="18"/>
                <w:szCs w:val="18"/>
                <w:color w:val="0000FF"/>
                <w:w w:val="99"/>
              </w:rPr>
            </w:pPr>
            <w:hyperlink w:anchor="page93">
              <w:r>
                <w:rPr>
                  <w:rFonts w:ascii="Arial" w:cs="Arial" w:eastAsia="Arial" w:hAnsi="Arial"/>
                  <w:sz w:val="18"/>
                  <w:szCs w:val="18"/>
                  <w:color w:val="0000FF"/>
                  <w:w w:val="99"/>
                </w:rPr>
                <w:t>Financial Statements and Supplementary Data</w:t>
              </w:r>
            </w:hyperlink>
          </w:p>
        </w:tc>
        <w:tc>
          <w:tcPr>
            <w:tcW w:w="980" w:type="dxa"/>
            <w:vAlign w:val="bottom"/>
            <w:gridSpan w:val="2"/>
          </w:tcPr>
          <w:p>
            <w:pPr>
              <w:spacing w:after="0"/>
              <w:rPr>
                <w:sz w:val="18"/>
                <w:szCs w:val="18"/>
                <w:color w:val="auto"/>
              </w:rPr>
            </w:pPr>
          </w:p>
        </w:tc>
        <w:tc>
          <w:tcPr>
            <w:tcW w:w="3660" w:type="dxa"/>
            <w:vAlign w:val="bottom"/>
            <w:gridSpan w:val="5"/>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3">
              <w:r>
                <w:rPr>
                  <w:rFonts w:ascii="Arial" w:cs="Arial" w:eastAsia="Arial" w:hAnsi="Arial"/>
                  <w:sz w:val="18"/>
                  <w:szCs w:val="18"/>
                  <w:color w:val="0000FF"/>
                </w:rPr>
                <w:t>90</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8360" w:type="dxa"/>
            <w:vAlign w:val="bottom"/>
            <w:gridSpan w:val="2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Changes in and Disagreements with Accountants on Accounting and Financial Disclosure</w:t>
              </w:r>
            </w:hyperlink>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7080" w:type="dxa"/>
            <w:vAlign w:val="bottom"/>
            <w:gridSpan w:val="18"/>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1280" w:type="dxa"/>
            <w:vAlign w:val="bottom"/>
            <w:gridSpan w:val="3"/>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198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Other Information</w:t>
              </w:r>
            </w:hyperlink>
          </w:p>
        </w:tc>
        <w:tc>
          <w:tcPr>
            <w:tcW w:w="6380" w:type="dxa"/>
            <w:vAlign w:val="bottom"/>
            <w:gridSpan w:val="11"/>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4">
              <w:r>
                <w:rPr>
                  <w:rFonts w:ascii="Arial" w:cs="Arial" w:eastAsia="Arial" w:hAnsi="Arial"/>
                  <w:sz w:val="18"/>
                  <w:szCs w:val="18"/>
                  <w:color w:val="0000FF"/>
                </w:rPr>
                <w:t>92</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line="189" w:lineRule="exact"/>
              <w:rPr>
                <w:rFonts w:ascii="Arial" w:cs="Arial" w:eastAsia="Arial" w:hAnsi="Arial"/>
                <w:sz w:val="18"/>
                <w:szCs w:val="18"/>
                <w:color w:val="0000FF"/>
                <w:w w:val="99"/>
              </w:rPr>
            </w:pPr>
            <w:hyperlink w:anchor="page96">
              <w:r>
                <w:rPr>
                  <w:rFonts w:ascii="Arial" w:cs="Arial" w:eastAsia="Arial" w:hAnsi="Arial"/>
                  <w:sz w:val="18"/>
                  <w:szCs w:val="18"/>
                  <w:color w:val="0000FF"/>
                  <w:w w:val="99"/>
                </w:rPr>
                <w:t>Directors, Executive Officers and Corporate Governance</w:t>
              </w:r>
            </w:hyperlink>
          </w:p>
        </w:tc>
        <w:tc>
          <w:tcPr>
            <w:tcW w:w="3860" w:type="dxa"/>
            <w:vAlign w:val="bottom"/>
            <w:gridSpan w:val="6"/>
          </w:tcPr>
          <w:p>
            <w:pPr>
              <w:spacing w:after="0"/>
              <w:rPr>
                <w:sz w:val="16"/>
                <w:szCs w:val="16"/>
                <w:color w:val="auto"/>
              </w:rPr>
            </w:pPr>
          </w:p>
        </w:tc>
        <w:tc>
          <w:tcPr>
            <w:tcW w:w="620" w:type="dxa"/>
            <w:vAlign w:val="bottom"/>
            <w:gridSpan w:val="4"/>
          </w:tcPr>
          <w:p>
            <w:pPr>
              <w:ind w:left="320"/>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Executive Compensation</w:t>
              </w:r>
            </w:hyperlink>
          </w:p>
        </w:tc>
        <w:tc>
          <w:tcPr>
            <w:tcW w:w="3860" w:type="dxa"/>
            <w:vAlign w:val="bottom"/>
            <w:gridSpan w:val="6"/>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360" w:type="dxa"/>
            <w:vAlign w:val="bottom"/>
            <w:gridSpan w:val="2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Security Ownership of Certain Beneficial Owners and Management and Related Stockholder Matters</w:t>
              </w:r>
            </w:hyperlink>
          </w:p>
        </w:tc>
        <w:tc>
          <w:tcPr>
            <w:tcW w:w="620" w:type="dxa"/>
            <w:vAlign w:val="bottom"/>
            <w:gridSpan w:val="4"/>
          </w:tcPr>
          <w:p>
            <w:pPr>
              <w:ind w:left="3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8000" w:type="dxa"/>
            <w:vAlign w:val="bottom"/>
            <w:gridSpan w:val="19"/>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Certain Relationships and Related Transactions, and Director Independence</w:t>
              </w:r>
            </w:hyperlink>
          </w:p>
        </w:tc>
        <w:tc>
          <w:tcPr>
            <w:tcW w:w="360" w:type="dxa"/>
            <w:vAlign w:val="bottom"/>
            <w:gridSpan w:val="2"/>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6060" w:type="dxa"/>
            <w:vAlign w:val="bottom"/>
            <w:gridSpan w:val="17"/>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Principal Accountant Fees and Services</w:t>
              </w:r>
            </w:hyperlink>
          </w:p>
        </w:tc>
        <w:tc>
          <w:tcPr>
            <w:tcW w:w="2300" w:type="dxa"/>
            <w:vAlign w:val="bottom"/>
            <w:gridSpan w:val="4"/>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15.</w:t>
            </w:r>
          </w:p>
        </w:tc>
        <w:tc>
          <w:tcPr>
            <w:tcW w:w="8360" w:type="dxa"/>
            <w:vAlign w:val="bottom"/>
            <w:gridSpan w:val="21"/>
          </w:tcPr>
          <w:p>
            <w:pPr>
              <w:spacing w:after="0" w:line="189" w:lineRule="exact"/>
              <w:rPr>
                <w:rFonts w:ascii="Arial" w:cs="Arial" w:eastAsia="Arial" w:hAnsi="Arial"/>
                <w:sz w:val="18"/>
                <w:szCs w:val="18"/>
                <w:color w:val="0000FF"/>
              </w:rPr>
            </w:pPr>
            <w:hyperlink w:anchor="page97">
              <w:r>
                <w:rPr>
                  <w:rFonts w:ascii="Arial" w:cs="Arial" w:eastAsia="Arial" w:hAnsi="Arial"/>
                  <w:sz w:val="18"/>
                  <w:szCs w:val="18"/>
                  <w:color w:val="0000FF"/>
                </w:rPr>
                <w:t>Exhibits and Financial Statement Schedules</w:t>
              </w:r>
            </w:hyperlink>
          </w:p>
        </w:tc>
        <w:tc>
          <w:tcPr>
            <w:tcW w:w="620" w:type="dxa"/>
            <w:vAlign w:val="bottom"/>
            <w:gridSpan w:val="4"/>
          </w:tcPr>
          <w:p>
            <w:pPr>
              <w:ind w:left="320"/>
              <w:spacing w:after="0" w:line="189" w:lineRule="exact"/>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16.</w:t>
            </w:r>
          </w:p>
        </w:tc>
        <w:tc>
          <w:tcPr>
            <w:tcW w:w="3500" w:type="dxa"/>
            <w:vAlign w:val="bottom"/>
            <w:gridSpan w:val="13"/>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Form 10-K Summary</w:t>
              </w:r>
            </w:hyperlink>
          </w:p>
        </w:tc>
        <w:tc>
          <w:tcPr>
            <w:tcW w:w="4860" w:type="dxa"/>
            <w:vAlign w:val="bottom"/>
            <w:gridSpan w:val="8"/>
          </w:tcPr>
          <w:p>
            <w:pPr>
              <w:spacing w:after="0"/>
              <w:rPr>
                <w:sz w:val="18"/>
                <w:szCs w:val="18"/>
                <w:color w:val="auto"/>
              </w:rPr>
            </w:pPr>
          </w:p>
        </w:tc>
        <w:tc>
          <w:tcPr>
            <w:tcW w:w="620" w:type="dxa"/>
            <w:vAlign w:val="bottom"/>
            <w:gridSpan w:val="4"/>
          </w:tcPr>
          <w:p>
            <w:pPr>
              <w:ind w:left="320"/>
              <w:spacing w:after="0"/>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00" w:type="dxa"/>
            <w:vAlign w:val="bottom"/>
          </w:tcPr>
          <w:p>
            <w:pPr>
              <w:spacing w:after="0"/>
              <w:rPr>
                <w:sz w:val="24"/>
                <w:szCs w:val="24"/>
                <w:color w:val="auto"/>
              </w:rPr>
            </w:pPr>
          </w:p>
        </w:tc>
        <w:tc>
          <w:tcPr>
            <w:tcW w:w="1660" w:type="dxa"/>
            <w:vAlign w:val="bottom"/>
            <w:gridSpan w:val="7"/>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Signatures</w:t>
              </w:r>
            </w:hyperlink>
          </w:p>
        </w:tc>
        <w:tc>
          <w:tcPr>
            <w:tcW w:w="6700" w:type="dxa"/>
            <w:vAlign w:val="bottom"/>
            <w:gridSpan w:val="14"/>
          </w:tcPr>
          <w:p>
            <w:pPr>
              <w:spacing w:after="0"/>
              <w:rPr>
                <w:sz w:val="24"/>
                <w:szCs w:val="24"/>
                <w:color w:val="auto"/>
              </w:rPr>
            </w:pPr>
          </w:p>
        </w:tc>
        <w:tc>
          <w:tcPr>
            <w:tcW w:w="1580" w:type="dxa"/>
            <w:vAlign w:val="bottom"/>
            <w:gridSpan w:val="5"/>
          </w:tcPr>
          <w:p>
            <w:pPr>
              <w:ind w:left="320"/>
              <w:spacing w:after="0"/>
              <w:rPr>
                <w:rFonts w:ascii="Arial" w:cs="Arial" w:eastAsia="Arial" w:hAnsi="Arial"/>
                <w:sz w:val="18"/>
                <w:szCs w:val="18"/>
                <w:color w:val="0000FF"/>
              </w:rPr>
            </w:pPr>
            <w:hyperlink w:anchor="page126">
              <w:r>
                <w:rPr>
                  <w:rFonts w:ascii="Arial" w:cs="Arial" w:eastAsia="Arial" w:hAnsi="Arial"/>
                  <w:sz w:val="18"/>
                  <w:szCs w:val="18"/>
                  <w:color w:val="0000FF"/>
                </w:rPr>
                <w:t>124</w:t>
              </w:r>
            </w:hyperlink>
          </w:p>
        </w:tc>
        <w:tc>
          <w:tcPr>
            <w:tcW w:w="0" w:type="dxa"/>
            <w:vAlign w:val="bottom"/>
          </w:tcPr>
          <w:p>
            <w:pPr>
              <w:spacing w:after="0"/>
              <w:rPr>
                <w:sz w:val="1"/>
                <w:szCs w:val="1"/>
                <w:color w:val="auto"/>
              </w:rPr>
            </w:pPr>
          </w:p>
        </w:tc>
      </w:tr>
      <w:tr>
        <w:trPr>
          <w:trHeight w:val="2106"/>
        </w:trPr>
        <w:tc>
          <w:tcPr>
            <w:tcW w:w="130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Annual Report on Form 10-K, or this Annual Report,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the impact of the COVID-19 pandemic,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23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"potentially," "estimate," "continue," "anticipate," "intend," "could," "would," "project," "plan," "expect," "seek," and similar expressions that convey uncertainty of future events or outcomes, are intended to identify forward-looking statements.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use our trademarks in this Annual Report as well as trademarks, tradenames and service marks that are the property of other organizations. Solely for convenience, certain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42" w:lineRule="exact"/>
        <w:rPr>
          <w:sz w:val="20"/>
          <w:szCs w:val="20"/>
          <w:color w:val="auto"/>
        </w:rPr>
      </w:pPr>
    </w:p>
    <w:p>
      <w:pPr>
        <w:ind w:right="220"/>
        <w:spacing w:after="0" w:line="213"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5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In December 2018, we entered into a co-promotion agreement, or the Janssen Agreement, with Janssen Biotech, Inc., or Janssen,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(golimumab) in order to advance our integrated testing and therapeutics strategy, and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January 2019. We also have agreements with other leading pharmaceutical companies and clinical research organizations, including GlaxoSmithKline LLC, or GSK, Covance Inc. and Parexel that leverage our testing products and/or the data generated from such tests. We provide GSK, a leader in lupus therapeutics, our test result data to provide market insight into and help increase awareness of the benefits of an early and accurate diagnosis of SLE and lupus nephritis, and monitoring disease activity. We partner with academic research centers and patient advocacy organizations, such as Brigham and Women's Hospital, Hospital for Special Surgery, and Duke University as well as the Lupus Foundation of America, to help improve the quality of life for people affected by autoimmune diseases through programs of research, education, support and advocacy. We plan to pursue additional partnerships that are synergistic with our evolving portfolio of testing products.</w:t>
      </w:r>
    </w:p>
    <w:p>
      <w:pPr>
        <w:spacing w:after="0" w:line="15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680085</wp:posOffset>
            </wp:positionV>
            <wp:extent cx="6215380" cy="3223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21538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leverages our proprietary CB-CAPs technology to enable the differential diagnosis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allows rheumatologists to accurately diagnose other overlapping autoimmune and autoimmune-related diseases, including RA, with the same blood sample.</w:t>
      </w:r>
    </w:p>
    <w:p>
      <w:pPr>
        <w:spacing w:after="0" w:line="139"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may be utilized by patients multiple times a year throughout their lives.</w:t>
      </w:r>
    </w:p>
    <w:p>
      <w:pPr>
        <w:spacing w:after="0" w:line="13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through December 31, 2020, we have delivered over 487,000 of these tests. For the year ended December 31, 2020, 100,450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an approximate 5% decline over the same period in 2019. The number of ordering healthcare providers reached a record of 2,500 for the year ended December 31, 2020, representing approximately 5% growth over the same period in 2019. In the fourth quarter of 2020, the number of ordering healthcare providers reached 1,690 compared to 1,707 in the same period in 2019, and we reached a record 635 adopting healthcare providers (defined as those who previously prescribed at least 11 diagnostic tests in the corresponding period) compared to 572 in the same period in 2019. A high percentage of adopting healthcare providers continue to order tests in subsequent quarters, including a retention rate of approximately 99% among adopting healthcare providers from the third quarter of 2020 that order at least one diagnostic test in the fourth quarter of 2020.</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we continue to populate a growing proprietary database of de-identified patient test results from our clinical studies and our clinical laboratory. We believe the insight emerging from these results has the potential to unlock value for pharmaceutical and biotechnology companies in the development and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believe our integrated testing and therapeutics strategy differentiates us from other diagnostic and pharmaceutical companies, and results in a unique opportunity to promote and sell targeted therapies in patient focused sales calls with rheumatologists, including those with whom we have a longstanding relationship and who have a history using our portfolio of testing products. We intend to leverage our integrated testing and therapeutics strategy to establish additional partnerships.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with a focus on integrating diagnostics and therapeutics.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continuum of care for patients suffering from debilitating and chronic autoimmune diseases. The key tenets of our business strategy include:</w:t>
      </w:r>
    </w:p>
    <w:p>
      <w:pPr>
        <w:spacing w:after="0" w:line="13" w:lineRule="exact"/>
        <w:rPr>
          <w:sz w:val="20"/>
          <w:szCs w:val="20"/>
          <w:color w:val="auto"/>
        </w:rPr>
      </w:pPr>
    </w:p>
    <w:p>
      <w:pPr>
        <w:ind w:left="660" w:hanging="328"/>
        <w:spacing w:after="0" w:line="242"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our track record of developing innovative testing products. </w:t>
      </w:r>
      <w:r>
        <w:rPr>
          <w:rFonts w:ascii="Arial" w:cs="Arial" w:eastAsia="Arial" w:hAnsi="Arial"/>
          <w:sz w:val="18"/>
          <w:szCs w:val="18"/>
          <w:color w:val="auto"/>
        </w:rPr>
        <w:t>Since inception, we have demonstrated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developing testing products that address the challenges in the differential diagnosis, prognosis and monitoring of patients with autoimmune and autoimmune-related diseases. We are leveraging our proprietary CB-CAPs and methotrexate polyglutamate, or MTXPG, technologies to develop additional testing products designed to have superior clinical utility for CTDs. We believe our commitment to innovating our portfolio of testing products will further strengthen our relationships with rheumatologists and our value proposition to our existing and future pharmaceutical and biotechnology partners.</w:t>
      </w:r>
    </w:p>
    <w:p>
      <w:pPr>
        <w:spacing w:after="0" w:line="16" w:lineRule="exact"/>
        <w:rPr>
          <w:rFonts w:ascii="Arial" w:cs="Arial" w:eastAsia="Arial" w:hAnsi="Arial"/>
          <w:sz w:val="18"/>
          <w:szCs w:val="18"/>
          <w:color w:val="auto"/>
        </w:rPr>
      </w:pPr>
    </w:p>
    <w:p>
      <w:pPr>
        <w:ind w:left="660" w:right="120" w:hanging="328"/>
        <w:spacing w:after="0" w:line="239" w:lineRule="auto"/>
        <w:tabs>
          <w:tab w:leader="none" w:pos="65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Drive additional market penetration for our testing products. </w:t>
      </w:r>
      <w:r>
        <w:rPr>
          <w:rFonts w:ascii="Arial" w:cs="Arial" w:eastAsia="Arial" w:hAnsi="Arial"/>
          <w:sz w:val="18"/>
          <w:szCs w:val="18"/>
          <w:color w:val="auto"/>
        </w:rPr>
        <w:t>Our portfolio of testing products enables the differential diagnosis,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prognosis and monitoring of complex autoimmune and autoimmune-related diseases. We have demonstrated a strong track record of commercial growth from our testing products, leveraging our specialized salesforce and expansive network of relationships with rheumatologists across the United States. We believe we are uniquely positioned to continue expanding our commercial presence within the autoimmune disease market and plan to continue to invest in our salesforce in order to achieve the optimal reach and frequency with rheumatologists. This will support our strategy of integrating the promotion of testing products and therapeutics. In addition, we will continue to expand our efforts in the targeted promotion and education of rheumatologists and payors as to the clinical and cost benefits of our testing products. We believe these efforts will position us to capture additional market share for our portfolio of testing products.</w:t>
      </w:r>
    </w:p>
    <w:p>
      <w:pPr>
        <w:spacing w:after="0" w:line="21" w:lineRule="exact"/>
        <w:rPr>
          <w:rFonts w:ascii="Arial" w:cs="Arial" w:eastAsia="Arial" w:hAnsi="Arial"/>
          <w:sz w:val="18"/>
          <w:szCs w:val="18"/>
          <w:b w:val="1"/>
          <w:bCs w:val="1"/>
          <w:i w:val="1"/>
          <w:iCs w:val="1"/>
          <w:color w:val="auto"/>
        </w:rPr>
      </w:pPr>
    </w:p>
    <w:p>
      <w:pPr>
        <w:ind w:left="660" w:right="120" w:hanging="328"/>
        <w:spacing w:after="0" w:line="232"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 the promotion of testing products and therapeutics for autoimmune and autoimmune-related diseases and establish additional partnerships. </w:t>
      </w:r>
      <w:r>
        <w:rPr>
          <w:rFonts w:ascii="Arial" w:cs="Arial" w:eastAsia="Arial" w:hAnsi="Arial"/>
          <w:sz w:val="18"/>
          <w:szCs w:val="18"/>
          <w:color w:val="auto"/>
        </w:rPr>
        <w:t>Our integrated testing and therapeutics strategy leverages our sales and marketing efforts,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targeting rheumatologists for the commercialization of our testing products to promote therapeutics. In January 2019, we began our exclusive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addition, we believe our agreements with leading pharmaceutical companies and clinical research organizations validate our unique value proposition to partners seeking a competitive edge for developing and commercializing therapeutics for autoimmune and autoimmune-related diseases. We intend to leverage our integrated testing and therapeutics strategy to establish additional partnerships with a focus on the development and commercialization of therapeutics that are synergistic with our testing products.</w:t>
      </w:r>
    </w:p>
    <w:p>
      <w:pPr>
        <w:spacing w:after="0" w:line="17" w:lineRule="exact"/>
        <w:rPr>
          <w:rFonts w:ascii="Arial" w:cs="Arial" w:eastAsia="Arial" w:hAnsi="Arial"/>
          <w:sz w:val="18"/>
          <w:szCs w:val="18"/>
          <w:color w:val="auto"/>
        </w:rPr>
      </w:pPr>
    </w:p>
    <w:p>
      <w:pPr>
        <w:ind w:left="660" w:right="60" w:hanging="328"/>
        <w:spacing w:after="0"/>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meaningful margin. </w:t>
      </w:r>
      <w:r>
        <w:rPr>
          <w:rFonts w:ascii="Arial" w:cs="Arial" w:eastAsia="Arial" w:hAnsi="Arial"/>
          <w:sz w:val="18"/>
          <w:szCs w:val="18"/>
          <w:color w:val="auto"/>
        </w:rPr>
        <w:t>We realized an increase to our gross margins beginning in the first quarter of 2020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a 10% annual royalty on our CB-CAPs technology. We believe we are well positioned to maintain meaningful margin through a continued focus on 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 However, our efforts to maintain a meaningful margin may be partially offset by our ability to generate meaningful co-promotion revenue in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 w:name="page8"/>
    <w:bookmarkEnd w:id="7"/>
    <w:p>
      <w:pPr>
        <w:spacing w:after="0" w:line="221" w:lineRule="auto"/>
        <w:rPr>
          <w:sz w:val="20"/>
          <w:szCs w:val="20"/>
          <w:color w:val="auto"/>
        </w:rPr>
      </w:pPr>
      <w:r>
        <w:rPr>
          <w:rFonts w:ascii="Arial" w:cs="Arial" w:eastAsia="Arial" w:hAnsi="Arial"/>
          <w:sz w:val="18"/>
          <w:szCs w:val="18"/>
          <w:color w:val="auto"/>
        </w:rPr>
        <w:t>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representing a total addressable market of approximately $3.7 billion, based on the current Medicare allowable reimbursement rate.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or ANA, anti-double stranded DNA, or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or 32 million people, indicating a significant need for a highly-specific test for this disease.</w:t>
      </w:r>
    </w:p>
    <w:p>
      <w:pPr>
        <w:spacing w:after="0" w:line="15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140"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In March 2011, the first new biologic targeting treatment of SLE in over 50 years, GSK’s Benlysta</w:t>
      </w:r>
      <w:r>
        <w:rPr>
          <w:rFonts w:ascii="Arial" w:cs="Arial" w:eastAsia="Arial" w:hAnsi="Arial"/>
          <w:sz w:val="23"/>
          <w:szCs w:val="23"/>
          <w:color w:val="auto"/>
          <w:vertAlign w:val="superscript"/>
        </w:rPr>
        <w:t>®</w:t>
      </w:r>
      <w:r>
        <w:rPr>
          <w:rFonts w:ascii="Arial" w:cs="Arial" w:eastAsia="Arial" w:hAnsi="Arial"/>
          <w:sz w:val="18"/>
          <w:szCs w:val="18"/>
          <w:color w:val="auto"/>
        </w:rPr>
        <w:t>, was approved by the U.S. Food and Drug Administration, or the FDA, and in December 2020, the FDA approved this biologic drug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ind w:right="240"/>
        <w:spacing w:after="0" w:line="219" w:lineRule="auto"/>
        <w:rPr>
          <w:sz w:val="20"/>
          <w:szCs w:val="20"/>
          <w:color w:val="auto"/>
        </w:rPr>
      </w:pPr>
      <w:r>
        <w:rPr>
          <w:rFonts w:ascii="Arial" w:cs="Arial" w:eastAsia="Arial" w:hAnsi="Arial"/>
          <w:sz w:val="18"/>
          <w:szCs w:val="18"/>
          <w:color w:val="auto"/>
        </w:rPr>
        <w:t>for the treatment of lupus nephritis. It is the only approved biologic for the treatment of active, antibody-positive SLE who are receiving standard therapy, and in December 2020, the FDA approved this biologic for the treatment of adult patients with active lupus nephritis who are receiving standard therapy. Since Benlysta</w:t>
      </w:r>
      <w:r>
        <w:rPr>
          <w:rFonts w:ascii="Arial" w:cs="Arial" w:eastAsia="Arial" w:hAnsi="Arial"/>
          <w:sz w:val="23"/>
          <w:szCs w:val="23"/>
          <w:color w:val="auto"/>
          <w:vertAlign w:val="superscript"/>
        </w:rPr>
        <w:t>®</w:t>
      </w:r>
      <w:r>
        <w:rPr>
          <w:rFonts w:ascii="Arial" w:cs="Arial" w:eastAsia="Arial" w:hAnsi="Arial"/>
          <w:sz w:val="18"/>
          <w:szCs w:val="18"/>
          <w:color w:val="auto"/>
        </w:rPr>
        <w: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order to better identify sub-populations of SLE patients for targeted therapies.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18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75,000 and 1.75 million, respectively. Patients suffering from RA develop joint damage that is associated with painful inflammation which often progresses to irreversible damage of 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15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151"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approved for RA in 1998 and the latest, SIMPONI</w:t>
      </w:r>
      <w:r>
        <w:rPr>
          <w:rFonts w:ascii="Arial" w:cs="Arial" w:eastAsia="Arial" w:hAnsi="Arial"/>
          <w:sz w:val="23"/>
          <w:szCs w:val="23"/>
          <w:color w:val="auto"/>
          <w:vertAlign w:val="superscript"/>
        </w:rPr>
        <w:t>®</w:t>
      </w:r>
      <w:r>
        <w:rPr>
          <w:rFonts w:ascii="Arial" w:cs="Arial" w:eastAsia="Arial" w:hAnsi="Arial"/>
          <w:sz w:val="18"/>
          <w:szCs w:val="18"/>
          <w:color w:val="auto"/>
        </w:rPr>
        <w:t>, was approved in 2009. The anti-TNFs dominate the therapy for RA and generally are the first biologics chosen to augment methotrexate when patients are not achieving a satisfactory response.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9"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are focused on leveraging our portfolio of testing products to co-promote therapeutics with existing partners and future partners through our sales channel targeting the approximately 5,000 rheumatologists across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hematopoietic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 w:name="page10"/>
    <w:bookmarkEnd w:id="9"/>
    <w:p>
      <w:pPr>
        <w:ind w:right="60"/>
        <w:spacing w:after="0" w:line="246" w:lineRule="auto"/>
        <w:rPr>
          <w:sz w:val="20"/>
          <w:szCs w:val="20"/>
          <w:color w:val="auto"/>
        </w:rPr>
      </w:pPr>
      <w:r>
        <w:rPr>
          <w:rFonts w:ascii="Arial" w:cs="Arial" w:eastAsia="Arial" w:hAnsi="Arial"/>
          <w:sz w:val="18"/>
          <w:szCs w:val="18"/>
          <w:color w:val="auto"/>
        </w:rPr>
        <w:t>components of the complement system, such as C3 and C4, are well recognized by the medical community, these laboratory biomarkers are part of international guidelines for the classification of SLE.</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MTXPGs</w:t>
      </w:r>
    </w:p>
    <w:p>
      <w:pPr>
        <w:spacing w:after="0" w:line="1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Products</w:t>
      </w:r>
    </w:p>
    <w:p>
      <w:pPr>
        <w:spacing w:after="0" w:line="18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CTD</w:t>
      </w:r>
    </w:p>
    <w:p>
      <w:pPr>
        <w:spacing w:after="0" w:line="100"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testing for a series of biomarkers (23 as of December 31, 2020)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evaluation process more efficient and accurate. The clinical performance of our proprietary biomarkers and the convenience of a single blood draw make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 attractive choice among rheumatologists.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Lupus</w:t>
      </w:r>
    </w:p>
    <w:p>
      <w:pPr>
        <w:spacing w:after="0" w:line="100" w:lineRule="exact"/>
        <w:rPr>
          <w:sz w:val="20"/>
          <w:szCs w:val="20"/>
          <w:color w:val="auto"/>
        </w:rPr>
      </w:pPr>
    </w:p>
    <w:p>
      <w:pPr>
        <w:ind w:right="80"/>
        <w:spacing w:after="0" w:line="200" w:lineRule="auto"/>
        <w:rPr>
          <w:sz w:val="20"/>
          <w:szCs w:val="20"/>
          <w:color w:val="auto"/>
        </w:rPr>
      </w:pPr>
      <w:r>
        <w:rPr>
          <w:rFonts w:ascii="Arial" w:cs="Arial" w:eastAsia="Arial" w:hAnsi="Arial"/>
          <w:sz w:val="18"/>
          <w:szCs w:val="18"/>
          <w:color w:val="auto"/>
        </w:rPr>
        <w:t>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employs our proprietary CB-CAPs technology and is the cornerstone of the SLE assessment within our more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or the more focused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APS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ind w:right="60"/>
        <w:spacing w:after="0" w:line="21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consists of a specialized panel of eight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or in the management of patients experiencing a high-risk pregnancy.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Vasculitis AAV</w:t>
      </w:r>
    </w:p>
    <w:p>
      <w:pPr>
        <w:spacing w:after="0" w:line="10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 September 2020, we launched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Vasculitis AAV which utilizes a testing panel of individual analytes designed to provide physicians with rapid and reliable results in the assessment and monitoring of anti-neutrophil cytoplasmic antibody, or ANCA, associated vasculitis, or AAV. AAV is a group of autoimmune diseases characterized by vascular inflammation and damage. Early signs and symptoms vary greatly and are not always indicative of the severity of the disease. Rapid and accurate testing is essential to prevent death and long-term disability.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Prognosis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Prognostic</w:t>
      </w:r>
    </w:p>
    <w:p>
      <w:pPr>
        <w:spacing w:after="0" w:line="100"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is a ten-biomarker panel of autoantibodies that have established predictive value for assessing the potential for complications affecting the kidney, brain and cardiovascular system, including lupus nephritis, lupus psychosis, strokes and heart attacks related to lupus. Rheumatologists rely on insights from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test to help tailor their treatment approach.</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-48895</wp:posOffset>
            </wp:positionV>
            <wp:extent cx="5270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8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which measures anti-carbamylated protein antibody, or anti-CarP, was developed by the Leiden University Medical Center, and we introduced it as a biomarker-driven RA prognostic test through a distribution agreement with Inova Diagnostics, Inc. with the goal of identifying patients prone to more severe disease. We were the first commercial laboratory to make testing for anti-CarP available in the United States with the introduction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PC4d</w:t>
      </w:r>
    </w:p>
    <w:p>
      <w:pPr>
        <w:spacing w:after="0" w:line="100" w:lineRule="exact"/>
        <w:rPr>
          <w:sz w:val="20"/>
          <w:szCs w:val="20"/>
          <w:color w:val="auto"/>
        </w:rPr>
      </w:pPr>
    </w:p>
    <w:p>
      <w:pPr>
        <w:ind w:right="220"/>
        <w:spacing w:after="0" w:line="21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PC4d, introduced in 2018, reflects over 10 years of research efforts and employs our proprietary CB-CAPs technology. This proprietary CB-CAP biomarker measures platelet- 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PC4d promises to be a valuable tool for SLE disease monitoring.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SLE Monitor</w:t>
      </w:r>
    </w:p>
    <w:p>
      <w:pPr>
        <w:spacing w:after="0" w:line="100"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is a six-biomarker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over 70% of healthcare providers are unaware of this bias.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demonstrates correlation to SLE disease activity and is therefore designed to enable rheumatologists to effectively assess and optimize therapeutic intervention in patients diagnosed with SLE. Additionally,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measures EC4d, anti-C1q, C3, C4 and anti-dsDNA which can assist physicians with managing their lupus nephritis patients. Depending on disease severity,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testing product may be utilized by patients multiple times a year and throughout their lives. We believe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will play an increasingly important role in the management of SLE patients and further solidify the role and relationship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these patients.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1" w:name="page12"/>
    <w:bookmarkEnd w:id="11"/>
    <w:p>
      <w:pPr>
        <w:ind w:right="200"/>
        <w:spacing w:after="0" w:line="257" w:lineRule="auto"/>
        <w:rPr>
          <w:sz w:val="20"/>
          <w:szCs w:val="20"/>
          <w:color w:val="auto"/>
        </w:rPr>
      </w:pPr>
      <w:r>
        <w:rPr>
          <w:rFonts w:ascii="Arial" w:cs="Arial" w:eastAsia="Arial" w:hAnsi="Arial"/>
          <w:sz w:val="18"/>
          <w:szCs w:val="18"/>
          <w:color w:val="auto"/>
        </w:rPr>
        <w:t>In the first quarter of 2021, physicians will have the option to obtain complete blood counts with differential (CBC+diff) and serum creatinine and C-reactive protein measurements for their patients along with their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Monitor test order.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MTX</w:t>
      </w:r>
    </w:p>
    <w:p>
      <w:pPr>
        <w:spacing w:after="0" w:line="10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a patented and validated blood test that precisely measures blood levels of MTXPG, the active metabolite of methotrexate linked to disease control in RA patients. There is large variability in the way patients absorb and metabolize methotrexate, leaving rheumatologists unsure of what steps to take when a patient has an inadequate response. Methotrexate is the most widely prescribed drug by rheumatologists in the treatment of RA. Measuring MTXPGs allows rheumatologists to identify patients presenting with inadequate exposure to methotrexate enabling them to optimize dosing and achieve therapeutic levels commensurate with adequate disease control.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The rheumatologists can then make informed therapeutic decisions to optimize methotrexate therapy and give patients their best chance at achieving an optimal response.</w:t>
      </w:r>
    </w:p>
    <w:p>
      <w:pPr>
        <w:spacing w:after="0" w:line="139"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is compatible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3"/>
          <w:szCs w:val="23"/>
          <w:u w:val="single" w:color="auto"/>
          <w:color w:val="auto"/>
          <w:vertAlign w:val="superscript"/>
        </w:rPr>
        <w:t>®</w:t>
      </w:r>
      <w:r>
        <w:rPr>
          <w:rFonts w:ascii="Arial" w:cs="Arial" w:eastAsia="Arial" w:hAnsi="Arial"/>
          <w:sz w:val="18"/>
          <w:szCs w:val="18"/>
          <w:u w:val="single" w:color="auto"/>
          <w:color w:val="auto"/>
        </w:rPr>
        <w:t xml:space="preserve"> HCQ</w:t>
      </w:r>
    </w:p>
    <w:p>
      <w:pPr>
        <w:spacing w:after="0" w:line="10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payors, to adopt an approach that optimizes a generic drug before advancing to a costlier alternative.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is also compatible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Reports</w:t>
      </w:r>
    </w:p>
    <w:p>
      <w:pPr>
        <w:spacing w:after="0" w:line="169" w:lineRule="exact"/>
        <w:rPr>
          <w:sz w:val="20"/>
          <w:szCs w:val="20"/>
          <w:color w:val="auto"/>
        </w:rPr>
      </w:pPr>
    </w:p>
    <w:p>
      <w:pPr>
        <w:spacing w:after="0" w:line="194"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portion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 In addition, all biomarker results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is shown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CTD Report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962660</wp:posOffset>
            </wp:positionH>
            <wp:positionV relativeFrom="page">
              <wp:posOffset>680720</wp:posOffset>
            </wp:positionV>
            <wp:extent cx="5631815" cy="7235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631815" cy="723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680720</wp:posOffset>
            </wp:positionV>
            <wp:extent cx="5666105" cy="7218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Therapeutics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4" w:name="page15"/>
    <w:bookmarkEnd w:id="14"/>
    <w:p>
      <w:pPr>
        <w:ind w:right="80"/>
        <w:spacing w:after="0" w:line="210" w:lineRule="auto"/>
        <w:rPr>
          <w:sz w:val="20"/>
          <w:szCs w:val="20"/>
          <w:color w:val="auto"/>
        </w:rPr>
      </w:pPr>
      <w:r>
        <w:rPr>
          <w:rFonts w:ascii="Arial" w:cs="Arial" w:eastAsia="Arial" w:hAnsi="Arial"/>
          <w:sz w:val="18"/>
          <w:szCs w:val="18"/>
          <w:color w:val="auto"/>
        </w:rPr>
        <w:t>In December 2018, we entered into the Janssen Agreement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and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rheumatologists with our specialized salesforce in January 2019. We believe our salesforce allows us to reach the approximately 5,000 rheumatologists in the United States. Additionally, we believe that educating providers regarding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 and will continue to facilitate greater acceptance of SIMPONI</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68"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can identify methotrexate patients with inadequate methotrexate exposure who are potential candidates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therapy.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Anti-CarP test can identify RA patients with more severe disease requiring more aggressive therapy, such as anti-TNF biologics like SIMPONI</w:t>
      </w:r>
      <w:r>
        <w:rPr>
          <w:rFonts w:ascii="Arial" w:cs="Arial" w:eastAsia="Arial" w:hAnsi="Arial"/>
          <w:sz w:val="23"/>
          <w:szCs w:val="23"/>
          <w:color w:val="auto"/>
          <w:vertAlign w:val="superscript"/>
        </w:rPr>
        <w:t>®</w:t>
      </w:r>
      <w:r>
        <w:rPr>
          <w:rFonts w:ascii="Arial" w:cs="Arial" w:eastAsia="Arial" w:hAnsi="Arial"/>
          <w:sz w:val="18"/>
          <w:szCs w:val="18"/>
          <w:color w:val="auto"/>
        </w:rPr>
        <w:t>. We believe our strategy of integrating the promotion of testing products and therapeutics, combined with our specialized salesforce, uniquely position us to expand SIMPONI</w:t>
      </w:r>
      <w:r>
        <w:rPr>
          <w:rFonts w:ascii="Arial" w:cs="Arial" w:eastAsia="Arial" w:hAnsi="Arial"/>
          <w:sz w:val="23"/>
          <w:szCs w:val="23"/>
          <w:color w:val="auto"/>
          <w:vertAlign w:val="superscript"/>
        </w:rPr>
        <w:t>®</w:t>
      </w:r>
      <w:r>
        <w:rPr>
          <w:rFonts w:ascii="Arial" w:cs="Arial" w:eastAsia="Arial" w:hAnsi="Arial"/>
          <w:sz w:val="18"/>
          <w:szCs w:val="18"/>
          <w:color w:val="auto"/>
        </w:rPr>
        <w:t>’s U.S. market share. We recognized co-promotional revenue of approximately $5.1 million and $1.5 million during the years ended December 31, 2020 and 2019, respectively. For more information regarding the Janssen Agreement, including predetermined baselines and minimum promotion fee levels for 2021, see “—Agreements with Pharmaceutical Companies.”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recent years, advancements in the understanding of the autoimmune and autoimmune-related disease process have led to a significant number of novel biologic drugs and drug development initiatives, especially in RA and SLE, and we intend to leverage our integrated testing and therapeutics strategy to establish additional partnerships with a focus on the development and commercialization of therapeutics that are synergistic with our testing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80"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In December 2019, we formed a Scientific Advisory Board consisting of national experts in the clinical management of rheumatic autoimmune diseases including RA and lupus to help guide the organization’s leadership team on the design and execution of research projects as well as weigh-in on known and anticipated advances in technologies affecting clinical management of autoimmune diseases. 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In addition, we are developing a panel of assays that we believe may have high diagnostic and/or prognostic value in patients with fibromyalgia, RA, Sjögren’s and myositis, and we continue to evaluate the use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and microfluidics for our broader portfolio of testing products to increase convenience and cost-effectiveness.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specialized salesforce is focused on targeting the approximately 5,000 rheumatologists across the United States. Our sales representatives generally have extensive experience in healthcare sales 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151"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Our sales model involves integrating the promotion of testing products and therapeutics in a unique approach that will enable our sales representatives to gain greater access and time with rheumatologists. The test information available to our sales representatives creates a different dynamic as compared to a traditional drug sales representative’s product detail. It enables a timely, extended, patient-focused discussion that naturally transitions to a therapeutic discussion during the same sales call. Our goal is for our sales representative to be viewed as a collaborative consultant versus a traditional drug sales representative. We intend to capitalize on our established reputation, market presence and expertise to sell additional products and services into the autoimmune and autoimmune-related disease market. We believe that a collaborative relationship with rheumatologists helps build a lasting sales channel through which additional products and services can be introduced.</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As of December 31, 2020, our overall sales team consisted of approximately 66 members. We have a salesforce of 53 representatives, who are managed by a team of seven regional sales directors. Our salesforce is organized into seven regions which include, Pacific, Southwest, Midwest, Great Lakes, Southeast, Atlantic and Northeast. As of December 31, 2020, our salesforce was covering a total of 56 territories within the seven regions. We expanded the reach and frequency of our salesforce by adding seven new territories in 2021 for a total of 63 territories, as well as the creation of an inside salesforce to further our reach with rheumatologists in white space, complementing our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5" w:name="page16"/>
    <w:bookmarkEnd w:id="15"/>
    <w:p>
      <w:pPr>
        <w:spacing w:after="0" w:line="237" w:lineRule="auto"/>
        <w:rPr>
          <w:sz w:val="20"/>
          <w:szCs w:val="20"/>
          <w:color w:val="auto"/>
        </w:rPr>
      </w:pPr>
      <w:r>
        <w:rPr>
          <w:rFonts w:ascii="Arial" w:cs="Arial" w:eastAsia="Arial" w:hAnsi="Arial"/>
          <w:sz w:val="18"/>
          <w:szCs w:val="18"/>
          <w:color w:val="auto"/>
        </w:rPr>
        <w:t>decentralized salesforce and covering vacant territories. In addition, we expect to increase our salesforce in 2021, which is expected to significantly increase the number of sales calls made per year, helping us to cultivate a strong collaborative relationship with rheumatologists through increased interactions. To further support our promotional efforts, we have a centralized, dedicated client services department with a high level of technical training that augments our specialized salesforce and marketing activities and enhances sales efficiency and customer satisfaction by providing personalized customer support. We believe our salesforce allows us to reach the approximately 5,000 rheumatologists in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Doctor, Right Message, Right Frequency</w:t>
      </w:r>
    </w:p>
    <w:p>
      <w:pPr>
        <w:spacing w:after="0" w:line="1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We believe our sales model of integrating the promotion of testing products and therapeutics will be complemented by our focused “high-touch” selling approach that emphasizes execution in three core areas: </w:t>
      </w:r>
      <w:r>
        <w:rPr>
          <w:rFonts w:ascii="Arial" w:cs="Arial" w:eastAsia="Arial" w:hAnsi="Arial"/>
          <w:sz w:val="18"/>
          <w:szCs w:val="18"/>
          <w:i w:val="1"/>
          <w:iCs w:val="1"/>
          <w:color w:val="auto"/>
        </w:rPr>
        <w:t>targeting, messaging and call frequency</w:t>
      </w:r>
      <w:r>
        <w:rPr>
          <w:rFonts w:ascii="Arial" w:cs="Arial" w:eastAsia="Arial" w:hAnsi="Arial"/>
          <w:sz w:val="18"/>
          <w:szCs w:val="18"/>
          <w:color w:val="auto"/>
        </w:rPr>
        <w:t xml:space="preserve">. We strategically </w:t>
      </w:r>
      <w:r>
        <w:rPr>
          <w:rFonts w:ascii="Arial" w:cs="Arial" w:eastAsia="Arial" w:hAnsi="Arial"/>
          <w:sz w:val="18"/>
          <w:szCs w:val="18"/>
          <w:i w:val="1"/>
          <w:iCs w:val="1"/>
          <w:color w:val="auto"/>
        </w:rPr>
        <w:t>target</w:t>
      </w:r>
      <w:r>
        <w:rPr>
          <w:rFonts w:ascii="Arial" w:cs="Arial" w:eastAsia="Arial" w:hAnsi="Arial"/>
          <w:sz w:val="18"/>
          <w:szCs w:val="18"/>
          <w:color w:val="auto"/>
        </w:rPr>
        <w:t xml:space="preserve"> the highest-potential practices by utilizing various data sources (e.g., market analytics, demographic data, historical biologic and diagnostic product usage trends). Furthermore, we believe the increased access afforded by our testing products will allow for patient-focused </w:t>
      </w:r>
      <w:r>
        <w:rPr>
          <w:rFonts w:ascii="Arial" w:cs="Arial" w:eastAsia="Arial" w:hAnsi="Arial"/>
          <w:sz w:val="18"/>
          <w:szCs w:val="18"/>
          <w:i w:val="1"/>
          <w:iCs w:val="1"/>
          <w:color w:val="auto"/>
        </w:rPr>
        <w:t xml:space="preserve">messaging </w:t>
      </w:r>
      <w:r>
        <w:rPr>
          <w:rFonts w:ascii="Arial" w:cs="Arial" w:eastAsia="Arial" w:hAnsi="Arial"/>
          <w:sz w:val="18"/>
          <w:szCs w:val="18"/>
          <w:color w:val="auto"/>
        </w:rPr>
        <w:t>and the increased accuracy of our testing products over current standard of care diagnostic methodologies. Finally, we execute a</w:t>
      </w:r>
      <w:r>
        <w:rPr>
          <w:rFonts w:ascii="Arial" w:cs="Arial" w:eastAsia="Arial" w:hAnsi="Arial"/>
          <w:sz w:val="18"/>
          <w:szCs w:val="18"/>
          <w:i w:val="1"/>
          <w:iCs w:val="1"/>
          <w:color w:val="auto"/>
        </w:rPr>
        <w:t xml:space="preserve"> </w:t>
      </w:r>
      <w:r>
        <w:rPr>
          <w:rFonts w:ascii="Arial" w:cs="Arial" w:eastAsia="Arial" w:hAnsi="Arial"/>
          <w:sz w:val="18"/>
          <w:szCs w:val="18"/>
          <w:color w:val="auto"/>
        </w:rPr>
        <w:t>high-</w:t>
      </w:r>
      <w:r>
        <w:rPr>
          <w:rFonts w:ascii="Arial" w:cs="Arial" w:eastAsia="Arial" w:hAnsi="Arial"/>
          <w:sz w:val="18"/>
          <w:szCs w:val="18"/>
          <w:i w:val="1"/>
          <w:iCs w:val="1"/>
          <w:color w:val="auto"/>
        </w:rPr>
        <w:t>frequency</w:t>
      </w:r>
      <w:r>
        <w:rPr>
          <w:rFonts w:ascii="Arial" w:cs="Arial" w:eastAsia="Arial" w:hAnsi="Arial"/>
          <w:sz w:val="18"/>
          <w:szCs w:val="18"/>
          <w:color w:val="auto"/>
        </w:rPr>
        <w:t xml:space="preserve"> promotional strategy for our top targeted rheumatologists and their office personnel to build knowledge, understanding and retention of the benefits of our testing products.</w:t>
      </w:r>
    </w:p>
    <w:p>
      <w:pPr>
        <w:spacing w:after="0" w:line="14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76"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We seek reimbursement for our testing products from several sources, including commercial third-party payors, government payors and patients. Payment from commercial third-party payors differs depending on whether we have entered into a contract with the payor as a participating provider or do not have a contract and are considered to be an out-of-network provider. When we contract to serve as a participating provider, reimbursements are made pursuant to a percentage of our charges or a negotiated fee schedule amount. Where we are not reimbursed in full, we may elect to appeal the insurer’s underpayment or denial of payment or seek payment from the patient. We continue to focus on expanding coverage among existing contracted providers and achieving coverage with commercial payors, laboratory benefit managers and evidence review organizations. We employ a multi-pronged strategy designed to achieve broad coverage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3" w:lineRule="exact"/>
        <w:rPr>
          <w:sz w:val="20"/>
          <w:szCs w:val="20"/>
          <w:color w:val="auto"/>
        </w:rPr>
      </w:pPr>
    </w:p>
    <w:p>
      <w:pPr>
        <w:ind w:left="660" w:hanging="328"/>
        <w:spacing w:after="0" w:line="228" w:lineRule="auto"/>
        <w:tabs>
          <w:tab w:leader="none" w:pos="65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plays a critical role in payors’ coverage decisions. In order to change 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which helped us secure favorable coverage from various commercial plans. We have conducted, and continue to conduct, clinical validation and clinical utility studies for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which we believe will provide a basis for the ACR White Paper and/or UpToDate to consider inclusion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in their respective guidelines. In the future, we also intend to conduct similar studies in order to develop similar supporting literature with respect to our other testing products.</w:t>
      </w:r>
    </w:p>
    <w:p>
      <w:pPr>
        <w:spacing w:after="0" w:line="23" w:lineRule="exact"/>
        <w:rPr>
          <w:rFonts w:ascii="Arial" w:cs="Arial" w:eastAsia="Arial" w:hAnsi="Arial"/>
          <w:sz w:val="17"/>
          <w:szCs w:val="17"/>
          <w:color w:val="auto"/>
        </w:rPr>
      </w:pPr>
    </w:p>
    <w:p>
      <w:pPr>
        <w:ind w:left="660" w:right="380" w:hanging="328"/>
        <w:spacing w:after="0" w:line="242"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payors to obtain maximum reimbursement. In parallel, a managed care team collaborates with our reimbursement specialists to ensure our payor outreach strategy reacts and anticipates the changing needs of our customer base. Our customer service team is an integral part of our reimbursement strategy, working with patients and rheumatologists to navigate the claims process.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6" w:name="page17"/>
    <w:bookmarkEnd w:id="16"/>
    <w:p>
      <w:pPr>
        <w:ind w:left="660" w:right="40" w:hanging="328"/>
        <w:spacing w:after="0" w:line="245"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65" w:lineRule="exact"/>
        <w:rPr>
          <w:sz w:val="20"/>
          <w:szCs w:val="20"/>
          <w:color w:val="auto"/>
        </w:rPr>
      </w:pPr>
    </w:p>
    <w:p>
      <w:pPr>
        <w:ind w:right="320"/>
        <w:spacing w:after="0" w:line="206"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38" w:lineRule="exact"/>
        <w:rPr>
          <w:sz w:val="20"/>
          <w:szCs w:val="20"/>
          <w:color w:val="auto"/>
        </w:rPr>
      </w:pPr>
    </w:p>
    <w:p>
      <w:pPr>
        <w:spacing w:after="0" w:line="199" w:lineRule="auto"/>
        <w:rPr>
          <w:sz w:val="20"/>
          <w:szCs w:val="20"/>
          <w:color w:val="auto"/>
        </w:rPr>
      </w:pPr>
      <w:r>
        <w:rPr>
          <w:rFonts w:ascii="Arial" w:cs="Arial" w:eastAsia="Arial" w:hAnsi="Arial"/>
          <w:sz w:val="18"/>
          <w:szCs w:val="18"/>
          <w:color w:val="auto"/>
        </w:rPr>
        <w:t>We further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for detection of probable SLE, or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CB-CAPs as a marker of complement activation in patients with pSLE and the usefulness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as a predictor of the evolution of pSLE into classified SLE by the ACR criteria. Of the 92 pSLE patients, more pSLE were positive for CB-CAPs (28%) 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(40%) than for low complement (9%) at the enrollment visit (p=0.0001, for each) and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65" w:lineRule="exact"/>
        <w:rPr>
          <w:sz w:val="20"/>
          <w:szCs w:val="20"/>
          <w:color w:val="auto"/>
        </w:rPr>
      </w:pPr>
    </w:p>
    <w:p>
      <w:pPr>
        <w:ind w:right="500"/>
        <w:spacing w:after="0" w:line="230" w:lineRule="auto"/>
        <w:rPr>
          <w:sz w:val="20"/>
          <w:szCs w:val="20"/>
          <w:color w:val="auto"/>
        </w:rPr>
      </w:pPr>
      <w:r>
        <w:rPr>
          <w:rFonts w:ascii="Arial" w:cs="Arial" w:eastAsia="Arial" w:hAnsi="Arial"/>
          <w:sz w:val="17"/>
          <w:szCs w:val="17"/>
          <w:color w:val="auto"/>
        </w:rPr>
        <w:t>We have collaborated with both academic and community clinicians to demonstrate the clinical utility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versus standard diagnostic tests in physician diagnosis, impact on patient management decisions, patient reported outcomes and health economics.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3"/>
          <w:szCs w:val="23"/>
          <w:color w:val="auto"/>
          <w:vertAlign w:val="superscript"/>
        </w:rPr>
        <w:t>®</w:t>
      </w:r>
    </w:p>
    <w:p>
      <w:pPr>
        <w:spacing w:after="0" w:line="234" w:lineRule="auto"/>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90"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laboratory tests, or SDLT. A total of 145 patients were enrolled across 32 sites between July 2017 and December 2018, with 73 patients enrolled in the SDLT group and 72 patients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The CARE study was published in September 2019 in Lupus Science &amp; Medicine. Results showed among patients who tested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(n=9), 44%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higher likelihood of SLE, compared with 9% in the SDLT group (p=0.127), whereas among patients who tested negative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lower likelihood of SLE, compared with 37% in the SDLT group (p=0.012).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or EQ5D-5L index score, from enrollment to visit 2 (p=0.028), and greater improvements were detectable when compared to the group of patients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randomized to the SDLT arm (p=0.049).</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Economics</w:t>
      </w:r>
    </w:p>
    <w:p>
      <w:pPr>
        <w:spacing w:after="0" w:line="176"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Systemic Lupus Erythematosus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$2.0 million, or $1,991 per patient. In addition, the year one savings was $655,403, or $655 per eligible patient, with the use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aligns with early benefit to health plans looking for savings in the first year.</w:t>
      </w:r>
    </w:p>
    <w:p>
      <w:pPr>
        <w:spacing w:after="0" w:line="70"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The above referenced studies are included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Dossier. In March 2020, we announced coverage and in-network contract with three California Medical Groups followed by coverage and an in-network agreement</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17" w:name="page18"/>
    <w:bookmarkEnd w:id="17"/>
    <w:p>
      <w:pPr>
        <w:ind w:right="40"/>
        <w:spacing w:after="0" w:line="246" w:lineRule="auto"/>
        <w:rPr>
          <w:sz w:val="20"/>
          <w:szCs w:val="20"/>
          <w:color w:val="auto"/>
        </w:rPr>
      </w:pPr>
      <w:r>
        <w:rPr>
          <w:rFonts w:ascii="Arial" w:cs="Arial" w:eastAsia="Arial" w:hAnsi="Arial"/>
          <w:sz w:val="18"/>
          <w:szCs w:val="18"/>
          <w:color w:val="auto"/>
        </w:rPr>
        <w:t>with TRICARE East Humana Military and Highmark BCBS coverage policy. We anticipate continued coverage determinations and in-network contracting announcements in 2021 and beyond.</w:t>
      </w:r>
    </w:p>
    <w:p>
      <w:pPr>
        <w:spacing w:after="0" w:line="14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believe our reimbursement strategy, including establishing the clinical validation, clinical utility and health economics of our testing products will continue to allow us to drive an expansion in reimbursement coverage for our testing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69"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8,000 square foot clinical laboratory, which is certified by the Clinical Laboratory Improvement Amendments of 1988, or CLIA, and accredited by the College of American Pathologists, or CAP, and located in Vista, California. Our laboratory is certified for the performance of high-complexity testing by the Centers for Medicare and Medicaid Services, or CMS, in accordance with CLIA. We are approved to offer our products in all 50 states.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fourth quarter of 2020, we completed the build-out of approximately 2,000 additional square feet to our clinical laboratory. We believe that our existing laboratory facilities are adequate to meet our business needs for at least the next 12 months and that additional laboratory space will be available on commercially reasonable terms, if required.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is traditional methods used by healthcare providers to test patients with CTD like symptoms. Such traditional methods include testing for a broad range of diagnostic, 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Myriad Genetics, Inc., Progentec Diagnostics Inc., Scipher Medicine Corporation, Genalyte Inc., Oncimmune plc, DxTerity Diagnostics Inc. and Immunovia AB. In the future, we may also face competition from companies developing new products or technologies.</w:t>
      </w:r>
    </w:p>
    <w:p>
      <w:pPr>
        <w:spacing w:after="0" w:line="143" w:lineRule="exact"/>
        <w:rPr>
          <w:sz w:val="20"/>
          <w:szCs w:val="20"/>
          <w:color w:val="auto"/>
        </w:rPr>
      </w:pPr>
    </w:p>
    <w:p>
      <w:pPr>
        <w:ind w:right="80"/>
        <w:spacing w:after="0" w:line="198"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Abbvie Inc., ENBREL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Amgen Inc., CIMZIA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UCB, INFLECTRA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Pfizer Inc., or Pfizer, (biosimilar REMICADE</w:t>
      </w:r>
      <w:r>
        <w:rPr>
          <w:rFonts w:ascii="Arial" w:cs="Arial" w:eastAsia="Arial" w:hAnsi="Arial"/>
          <w:sz w:val="23"/>
          <w:szCs w:val="23"/>
          <w:color w:val="auto"/>
          <w:vertAlign w:val="superscript"/>
        </w:rPr>
        <w:t>®</w:t>
      </w:r>
      <w:r>
        <w:rPr>
          <w:rFonts w:ascii="Arial" w:cs="Arial" w:eastAsia="Arial" w:hAnsi="Arial"/>
          <w:sz w:val="18"/>
          <w:szCs w:val="18"/>
          <w:color w:val="auto"/>
        </w:rPr>
        <w:t>) and RENFLEXIS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Merck &amp; Co. (biosimilar REMICADE</w:t>
      </w:r>
      <w:r>
        <w:rPr>
          <w:rFonts w:ascii="Arial" w:cs="Arial" w:eastAsia="Arial" w:hAnsi="Arial"/>
          <w:sz w:val="23"/>
          <w:szCs w:val="23"/>
          <w:color w:val="auto"/>
          <w:vertAlign w:val="superscript"/>
        </w:rPr>
        <w:t>®</w:t>
      </w:r>
      <w:r>
        <w:rPr>
          <w:rFonts w:ascii="Arial" w:cs="Arial" w:eastAsia="Arial" w:hAnsi="Arial"/>
          <w:sz w:val="18"/>
          <w:szCs w:val="18"/>
          <w:color w:val="auto"/>
        </w:rPr>
        <w:t>). Additionally, we are restricted from promoting any other biologic or Janus kinase inhibitor, or JAK inhibitor, used for treatment of indications covered by the Janssen Agreement without Janssen's consent. Additional competitors include companies with other biologic drugs indicated for RA that have significant sales or sales potential. Specifically, these include ORENCIA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Bristol-Myers Squibb Company, ACTEMRA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Roche Holding AG, or Roche, RITUXAN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Roche, XELJANZ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Pfizer, KEVZARA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Sanofi S.A., RINVOQ</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from Abbvie Inc. and OLUMIANT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such as psoriatic arthritis and ankylosing spondylitis.</w:t>
      </w:r>
    </w:p>
    <w:p>
      <w:pPr>
        <w:spacing w:after="0" w:line="15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 w:name="page19"/>
    <w:bookmarkEnd w:id="18"/>
    <w:p>
      <w:pPr>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Agreement</w:t>
      </w:r>
    </w:p>
    <w:p>
      <w:pPr>
        <w:spacing w:after="0" w:line="16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In December 2018, we and Janssen entered into the Janssen agreement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We are responsible for the costs associated with our salesforce over the course of such co-promotion. Janssen is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quarters ended March 31, 2019 to December 31, 2020. The predetermined average baseline for quarters ended March 31, 2019 to March 31, 2020 was approximately 29,000 prescribed units per quarter, subject to adjustment under certain circumstances. In June 2020, due in part to COVID-19, we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each remaining quarter in 2020, starting with the quarter ending June 30, 2020, was adjusted from approximately 29,000 to approximately 26,000 prescribed units per quarter, and subject to adjustment under certain circumstances. For each of the third and fourth quarters of 2020, we received a minimum promotion fee of $0.3 million and the fee was capped at 5% above the adjusted predetermined baseline. In December 2020, we further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 March 31, 2021 and June 30, 2021 was adjusted to approximately 28,750 prescribed units per quarter, subject to further adjustment under certain circumstances. For the first and second quarter of 2021, we will be entitled to an amended quarterly tiered promotion fee ranging from $500 to $1,000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the predetermined baseline. We refer to the Janssen Agreement, as amended in June 2020 and December 2020, as the Amended Janssen Agreement. Pursuant to the Amended Janssen Agreement, for each of the first and second quarters of 2021, we will receive a minimum promotion fee of $0.3 million and the fee will be capped at 10% above the adjusted predetermined baseline. We continued to receive a minimum promotion fee of $0.3 million and the fee was capped at 5% above the adjusted predetermined baseline for the quarter ended December 31, 2020. The quarterly tiered promotion fee for the remaining term of the Amended Janssen Agreement beginning with the quarter ended September 30, 2021 will revert to the terms set forth in the Janssen Agreement prior to the amendment, with no minimum promotion fee and no cap on predetermined baseline units.</w:t>
      </w:r>
    </w:p>
    <w:p>
      <w:pPr>
        <w:spacing w:after="0" w:line="15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Janssen Agreement expires on December 31, 2021, unless extended by us for an additional 12 months upon 180 days written notice prior to the end of the current term. If we elect to extend the term, the predetermined baseline for 2022 will be subject to future agreement by us and Janssen.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with GSK</w:t>
      </w:r>
    </w:p>
    <w:p>
      <w:pPr>
        <w:spacing w:after="0" w:line="17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HCQ testing products and extend the term of the agreement through December 31, 2019. The agreement was further amended in November 2019 and November 2020 to, among other things, extend the term of the agreement through December 31, 2020 and December 31, 2021, respectively.</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Under the agreement, we are required to deliver weekly de-identified data files to GSK covering all data obtained from the performance of certain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subject to applicable requirements under the Federal Health Insurance Portability and Accountability Act of 1996, or HIPAA, internal policy requirements and other applicable laws. During the term of the agreement, the data we provide to GSK may not be provided, directly or through a third party, to any other pharmaceutical company that is marketing or developing a product for the</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19" w:name="page20"/>
    <w:bookmarkEnd w:id="19"/>
    <w:p>
      <w:pPr>
        <w:jc w:val="both"/>
        <w:ind w:right="340"/>
        <w:spacing w:after="0" w:line="223" w:lineRule="auto"/>
        <w:rPr>
          <w:sz w:val="20"/>
          <w:szCs w:val="20"/>
          <w:color w:val="auto"/>
        </w:rPr>
      </w:pPr>
      <w:r>
        <w:rPr>
          <w:rFonts w:ascii="Arial" w:cs="Arial" w:eastAsia="Arial" w:hAnsi="Arial"/>
          <w:sz w:val="18"/>
          <w:szCs w:val="18"/>
          <w:color w:val="auto"/>
        </w:rPr>
        <w:t>treatment of SLE.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8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49"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14"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summarized below in the section entitled “—License Agreements.” As of February 8, 2021, our portfolio primarily consisted of the following: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two pending U.S. nonprovisional patent applications, a pending PCT application, and a pending U.S. provisional application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products. Foreign patents corresponding to US 10,132,813 have issued in Europe (EP 2,673,644) and Japan (JP 5,990,542) and Hong Kong (HK112316).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8"/>
          <w:szCs w:val="18"/>
          <w:b w:val="1"/>
          <w:bCs w:val="1"/>
          <w:i w:val="1"/>
          <w:iCs w:val="1"/>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16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are the exclusive licensee of four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and patent applications are owned by Prometheus and are exclusively licensed to us for all uses except for use in gastrointestinal diseases. These patents include U.S. Patent Nos. 6,921,667; 7,563,590; 7,582,282 and 7,695,908, which are expected to expire between 2023 and 2027. We also are the exclusive licensee of two issued US patents (US 9,261,509 and US 9,822,391)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0" w:name="page21"/>
    <w:bookmarkEnd w:id="20"/>
    <w:p>
      <w:pPr>
        <w:spacing w:after="0" w:line="236"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7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 (1) 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15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15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14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7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15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151"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14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Prometheus Laboratories, Inc.</w:t>
      </w:r>
    </w:p>
    <w:p>
      <w:pPr>
        <w:spacing w:after="0" w:line="17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services. This agreement was subsequently amended in October 2013.</w:t>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Prometheus Patent Rights and to sublicense such rights; provided, however, that 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 Pursuant to the agreement, we are obligated to use reasonable commercial efforts to undertake certain development activities with respect to products utilizing the Prometheus Patent Rights, including the completion of certain clinical studies. In addition, in the event that we do not timely complete these studies or approved substitute studies, we will become obligated to pay to Prometheus a one-time payment of $50,000.</w:t>
      </w:r>
    </w:p>
    <w:p>
      <w:pPr>
        <w:spacing w:after="0" w:line="14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licensed-product-by-licensed-product and country-by-country basis until the expiration, lapse or invalidation of the last valid claim in a licensed patent covering the applicable licensed product in such country.</w:t>
      </w:r>
    </w:p>
    <w:p>
      <w:pPr>
        <w:spacing w:after="0" w:line="15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In the event we sublicense any of the Prometheus Patent Rights, we are obligated to pay to Prometheus a fee based on a percentage of sublicense fees received by us, which percentage is in the mid-twenties. In addition, we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2" w:name="page23"/>
    <w:bookmarkEnd w:id="22"/>
    <w:p>
      <w:pPr>
        <w:ind w:right="100"/>
        <w:spacing w:after="0"/>
        <w:rPr>
          <w:sz w:val="20"/>
          <w:szCs w:val="20"/>
          <w:color w:val="auto"/>
        </w:rPr>
      </w:pPr>
      <w:r>
        <w:rPr>
          <w:rFonts w:ascii="Arial" w:cs="Arial" w:eastAsia="Arial" w:hAnsi="Arial"/>
          <w:sz w:val="18"/>
          <w:szCs w:val="18"/>
          <w:color w:val="auto"/>
        </w:rPr>
        <w:t>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unilaterally terminate the agreement for any reason upon 60-days’ written notice to Prometheus. Either party may terminate the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Cypress (Royalty Pharma) and Proprius</w:t>
      </w:r>
    </w:p>
    <w:p>
      <w:pPr>
        <w:spacing w:after="0" w:line="17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4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 wide net sales of CB-CAPs products and a low double-digit royalty on the net sales of certain new products in each case, for a period of eight years, which eight year period expired in January 2020.</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nets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17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September 2011, we entered into a license agreement with Dr. Thierry Dervieux, our former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services.</w:t>
      </w:r>
    </w:p>
    <w:p>
      <w:pPr>
        <w:spacing w:after="0" w:line="7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considerations for the rights granted to us under the agreement, we are required to make milestone payments, up to an aggregate of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3" w:name="page24"/>
    <w:bookmarkEnd w:id="23"/>
    <w:p>
      <w:pPr>
        <w:ind w:right="40"/>
        <w:spacing w:after="0" w:line="246"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4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Penalties for non-compliance with CLIA requirements include suspension, limitation or revocation of the laboratory’s CLIA certificate, as well as directed plan of correction, state on-site monitoring, civil money penalties, civil injunctive suit or criminal penalties.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176"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5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Because we receive specimens from New York, our clinical reference laboratory is required to be licensed by New York, under New York laws and regulations, which establish standards for:</w:t>
      </w:r>
    </w:p>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day-to-day operation of a clinical laboratory, including training and skill levels required of laboratory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Department of Health, or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w:t>
      </w:r>
    </w:p>
    <w:p>
      <w:pPr>
        <w:spacing w:after="0" w:line="15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w:t>
      </w:r>
    </w:p>
    <w:p>
      <w:pPr>
        <w:spacing w:after="0" w:line="176"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Clinical laboratory tests like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SLE Prognostic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are regulated under CLIA, as administered by CMS, as well as by applicable state laws. In addition, the Federal Food, Drug and Cosmetic Act, or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4" w:name="page25"/>
    <w:bookmarkEnd w:id="24"/>
    <w:p>
      <w:pPr>
        <w:ind w:right="80"/>
        <w:spacing w:after="0" w:line="236" w:lineRule="auto"/>
        <w:rPr>
          <w:sz w:val="20"/>
          <w:szCs w:val="20"/>
          <w:color w:val="auto"/>
        </w:rPr>
      </w:pPr>
      <w:r>
        <w:rPr>
          <w:rFonts w:ascii="Arial" w:cs="Arial" w:eastAsia="Arial" w:hAnsi="Arial"/>
          <w:sz w:val="18"/>
          <w:szCs w:val="18"/>
          <w:color w:val="auto"/>
        </w:rPr>
        <w:t>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testing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5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designed, manufactured, and used within a single laboratory for use only in that laboratory, which are referred to as laboratory developed tests, or LDTs. We believe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are LDTs, as are our near-term pipeline candidate tests. As a result, we believe many of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Legislative and administrative proposals proposing to amend the FDA’s oversight of LDTs have been introduced in recent years and we expect that new legislative and administrative proposals will continue to be introduced from time to time. It is possible that legislation could be enacted into law or regulations or guidance could be issued by the FDA which may result in new or increased regulatory requirements for us to continue to offer our LDTs or to develop and introduce new tests as LDTs.</w:t>
      </w:r>
    </w:p>
    <w:p>
      <w:pPr>
        <w:spacing w:after="0" w:line="15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For example, in recent years, FDA has stated its intention to modify its enforcement discretion policy with respect to LDTs. For example,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Framework Guidance stated that FDA intends to modify its policy of enforcement discretion with respect to LDTs in a risk-based manner consistent with the classification of medical devices generally in Classes I through III. The Reporting Guidance would have further enabled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 On November 18, 2016, the FDA announced that it would not finalize either guidance document to allow for further public discussion on an appropriate oversight approach to LDTs and to give Congressional authorizing committees the opportunity to develop a legislative solution, and the FDA issued a discussion paper on possible approaches to LDT regulation in January 2017. Moreover, in August 2020, the U.S. Department of Health and Human Services announced that FDA will not require premarket review of LDTs absent notice-and-comment rulemaking, as opposed to through guidance documents and other informal issuances.</w:t>
      </w:r>
    </w:p>
    <w:p>
      <w:pPr>
        <w:spacing w:after="0" w:line="147" w:lineRule="exact"/>
        <w:rPr>
          <w:sz w:val="20"/>
          <w:szCs w:val="20"/>
          <w:color w:val="auto"/>
        </w:rPr>
      </w:pPr>
    </w:p>
    <w:p>
      <w:pPr>
        <w:ind w:right="660"/>
        <w:spacing w:after="0"/>
        <w:rPr>
          <w:sz w:val="20"/>
          <w:szCs w:val="20"/>
          <w:color w:val="auto"/>
        </w:rPr>
      </w:pPr>
      <w:r>
        <w:rPr>
          <w:rFonts w:ascii="Arial" w:cs="Arial" w:eastAsia="Arial" w:hAnsi="Arial"/>
          <w:sz w:val="18"/>
          <w:szCs w:val="18"/>
          <w:color w:val="auto"/>
        </w:rPr>
        <w:t>The FDA could ultimately modify its current approach to LDTs in a way that would subject LDTs to additional regulatory requirements. Moreover, legislative measures have could likewise result in a change to the approach to FDA's regulation over LDTs, including a requirement for premarket review of LDTs, among other things.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 Regulatory Framework</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we currently market our proprietary testing products as LDTs, which are currently subject to enforcement discretion, we could be subject to more onerous FDA compliance obligations in the future. Specifically, if the FDA begins to actively regulate LDTs, then, unless an exemption applies, each new or significantly modified medical device we seek to commercially distribute in the U.S. will require either a premarket notification to the FDA requesting permission for commercial distribution under Section 510(k) of the FDCA, also referred to as a 510(k) clearance, or approval from the FDA of a premarket approval, or PMA, application. Both the 510(k) clearance and PMA processes can be resource intensive, expensive, and lengthy, and require payment of significant user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Device Classification</w:t>
      </w:r>
    </w:p>
    <w:p>
      <w:pPr>
        <w:spacing w:after="0" w:line="176"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Under the FDCA, medical devices are classified into one of three classes-Class I, Class II or Class III depending on the degree of risk associated with each medical device and the extent of control needed to provide reasonable assurances with respect to safety and effectiveness.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spacing w:after="0" w:line="23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quality system regulation, or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w:t>
      </w:r>
    </w:p>
    <w:p>
      <w:pPr>
        <w:spacing w:after="0" w:line="15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time-consuming than the 510(k) process. Through the PMA application process,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510(k) Clearance Process</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149"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The de novo classification process is an alternate pathway to classify medical devices that are automatically classified into Class III but which are low to moderate risk. A manufacturer can submit a petition for direct de novo review if the manufacturer is unable to identify an appropriate predicate device and the new device or new use of the device presents a moderate or low risk. De novo classification may also be available after receipt of a “not substantially equivalent” letter following submission of a 510(k) to FDA.</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determine whether the proposed change requires a new submission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to obtain clearance for such change. The FDA can always review these letters to file in an inspection. If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6" w:name="page27"/>
    <w:bookmarkEnd w:id="26"/>
    <w:p>
      <w:pPr>
        <w:ind w:right="160"/>
        <w:spacing w:after="0" w:line="238" w:lineRule="auto"/>
        <w:rPr>
          <w:sz w:val="20"/>
          <w:szCs w:val="20"/>
          <w:color w:val="auto"/>
        </w:rPr>
      </w:pPr>
      <w:r>
        <w:rPr>
          <w:rFonts w:ascii="Arial" w:cs="Arial" w:eastAsia="Arial" w:hAnsi="Arial"/>
          <w:sz w:val="18"/>
          <w:szCs w:val="18"/>
          <w:color w:val="auto"/>
        </w:rPr>
        <w:t>FDA disagrees with a manufacturer’s determination regarding whether a new premarket submission is required for the modification of an existing 510(k)-cleared device, the FDA can require the manufacturer to cease marketing and/or recall the modified device until 510(k) clearance or approval of a PMA application is obtained. In addition, in these circumstances, the FDA can impose significant regulatory fines or penalties for failure to submit the requisite application(s).</w:t>
      </w:r>
    </w:p>
    <w:p>
      <w:pPr>
        <w:spacing w:after="0" w:line="15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15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More recently, in September 2019, the FDA published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for such device types.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PMA Approval Process</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5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5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Prior to approval of a PMA, the FDA may conduct inspections of the clinical trial data and clinical trial sites, as well as inspections of the manufacturing facility and processes to ensure compliance with the QSR. PMA devices are also subject to the payment of user fees, and an annual establishment registration fee.</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7" w:name="page28"/>
    <w:bookmarkEnd w:id="27"/>
    <w:p>
      <w:pPr>
        <w:ind w:right="780"/>
        <w:spacing w:after="0" w:line="246" w:lineRule="auto"/>
        <w:rPr>
          <w:sz w:val="20"/>
          <w:szCs w:val="20"/>
          <w:color w:val="auto"/>
        </w:rPr>
      </w:pPr>
      <w:r>
        <w:rPr>
          <w:rFonts w:ascii="Arial" w:cs="Arial" w:eastAsia="Arial" w:hAnsi="Arial"/>
          <w:sz w:val="18"/>
          <w:szCs w:val="18"/>
          <w:color w:val="auto"/>
        </w:rPr>
        <w:t>may or may not require as extensive technical or clinical data or the convening of an advisory panel, depending on the nature of the proposed change.</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 New PMA applications or PMA supplements may also be required for modifications to any approved diagnostic tests, including modifications to our manufacturing processes, device labeling and device design, based on the findings of post-approval studies.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Clinical trials are almost always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5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the sponsor, the FDA or the IRB could suspend or terminate a clinical trial at any time for various reasons, including a belief that the risks to study subjects outweigh the anticipated benefits.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Regulation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5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49" w:lineRule="exact"/>
        <w:rPr>
          <w:rFonts w:ascii="Arial" w:cs="Arial" w:eastAsia="Arial" w:hAnsi="Arial"/>
          <w:sz w:val="18"/>
          <w:szCs w:val="18"/>
          <w:color w:val="auto"/>
        </w:rPr>
      </w:pPr>
    </w:p>
    <w:p>
      <w:pPr>
        <w:ind w:left="660" w:right="4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8" w:name="page29"/>
    <w:bookmarkEnd w:id="28"/>
    <w:p>
      <w:pPr>
        <w:ind w:left="660" w:right="32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49" w:lineRule="exact"/>
        <w:rPr>
          <w:rFonts w:ascii="Arial" w:cs="Arial" w:eastAsia="Arial" w:hAnsi="Arial"/>
          <w:sz w:val="18"/>
          <w:szCs w:val="18"/>
          <w:color w:val="auto"/>
        </w:rPr>
      </w:pPr>
    </w:p>
    <w:p>
      <w:pPr>
        <w:ind w:left="660" w:right="40" w:hanging="328"/>
        <w:spacing w:after="0"/>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40" w:lineRule="exact"/>
        <w:rPr>
          <w:rFonts w:ascii="Arial" w:cs="Arial" w:eastAsia="Arial" w:hAnsi="Arial"/>
          <w:sz w:val="18"/>
          <w:szCs w:val="18"/>
          <w:color w:val="auto"/>
        </w:rPr>
      </w:pPr>
    </w:p>
    <w:p>
      <w:pPr>
        <w:ind w:left="660" w:right="140" w:hanging="328"/>
        <w:spacing w:after="0"/>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40" w:lineRule="exact"/>
        <w:rPr>
          <w:rFonts w:ascii="Arial" w:cs="Arial" w:eastAsia="Arial" w:hAnsi="Arial"/>
          <w:sz w:val="18"/>
          <w:szCs w:val="18"/>
          <w:color w:val="auto"/>
        </w:rPr>
      </w:pPr>
    </w:p>
    <w:p>
      <w:pPr>
        <w:ind w:left="660" w:right="80" w:hanging="328"/>
        <w:spacing w:after="0"/>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40" w:lineRule="exact"/>
        <w:rPr>
          <w:rFonts w:ascii="Arial" w:cs="Arial" w:eastAsia="Arial" w:hAnsi="Arial"/>
          <w:sz w:val="18"/>
          <w:szCs w:val="18"/>
          <w:color w:val="auto"/>
        </w:rPr>
      </w:pPr>
    </w:p>
    <w:p>
      <w:pPr>
        <w:ind w:left="660" w:right="10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34" w:lineRule="exact"/>
        <w:rPr>
          <w:rFonts w:ascii="Arial" w:cs="Arial" w:eastAsia="Arial" w:hAnsi="Arial"/>
          <w:sz w:val="18"/>
          <w:szCs w:val="18"/>
          <w:color w:val="auto"/>
        </w:rPr>
      </w:pPr>
    </w:p>
    <w:p>
      <w:pPr>
        <w:ind w:left="660" w:right="50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Device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will be subject to periodic scheduled or unscheduled inspections by the FDA. Failure to maintain compliance with the QSR requirements could result in the shut-down of, or restrictions on, manufacturing operations and the recall or seizure of products. The discovery of previously unknown problems with any marketed medical device products, including unanticipated adverse events or adverse events of increasing severity or frequency, whether resulting from the use of the device within the scope of its clearance or off-label by a physician in the practice of medicine, could result in restrictions on a medical device, including the removal of the product from the market or voluntary or mandatory device recalls.</w:t>
      </w:r>
    </w:p>
    <w:p>
      <w:pPr>
        <w:spacing w:after="0" w:line="15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4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grant export approvals;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or PORA, and other comparable state laws. Together these restrictions generally prohibit us from billing a patient or any governmental or private payor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5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49" w:lineRule="exact"/>
        <w:rPr>
          <w:rFonts w:ascii="Arial" w:cs="Arial" w:eastAsia="Arial" w:hAnsi="Arial"/>
          <w:sz w:val="18"/>
          <w:szCs w:val="18"/>
          <w:color w:val="auto"/>
        </w:rPr>
      </w:pPr>
    </w:p>
    <w:p>
      <w:pPr>
        <w:ind w:left="660" w:right="460" w:hanging="328"/>
        <w:spacing w:after="0"/>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9" w:name="page30"/>
    <w:bookmarkEnd w:id="29"/>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up to three times the amounts for each item or service wrongfully claimed;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14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Further, a violation of PORA is a misdemeanor and could result in civil penalties and criminal fines. Other states also have self-referral restrictions with which we have to comply, some of which differ from those imposed by the Stark Law or California law.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assert that a claim that includes items or services resulting from a violation of the Anti-kickback Statute constitutes a false or fraudulent claim under the Federal False Claims Act, which is discussed in greater detail below. Additionally, a person or entity does not need to have actual knowledge of the statute or specific intent to violate it in order to have committed a violation.</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 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Anti-kickback Statute, holding that the statute may be violated if merely one purpose of a payment arrangement is to induce referrals or purchases.</w:t>
      </w:r>
    </w:p>
    <w:p>
      <w:pPr>
        <w:spacing w:after="0" w:line="15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w:t>
      </w:r>
    </w:p>
    <w:p>
      <w:pPr>
        <w:spacing w:after="0" w:line="14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Failure to meet the requirements of the safe harbor, however, does not render an arrangement illegal. Rather, the government may evaluate such arrangements on a case-by-case basis, taking into account all facts and circumstances. There are no regulatory safe harbors under California laws.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17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0" w:name="page31"/>
    <w:bookmarkEnd w:id="30"/>
    <w:p>
      <w:pPr>
        <w:jc w:val="both"/>
        <w:ind w:right="160"/>
        <w:spacing w:after="0" w:line="238" w:lineRule="auto"/>
        <w:rPr>
          <w:sz w:val="20"/>
          <w:szCs w:val="20"/>
          <w:color w:val="auto"/>
        </w:rPr>
      </w:pPr>
      <w:r>
        <w:rPr>
          <w:rFonts w:ascii="Arial" w:cs="Arial" w:eastAsia="Arial" w:hAnsi="Arial"/>
          <w:sz w:val="18"/>
          <w:szCs w:val="18"/>
          <w:color w:val="auto"/>
        </w:rPr>
        <w:t>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which may be broader in scope and may apply regardless of payor.</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significant civil monetary penalties for each wrongful act and up to three times the amount improperly claimed. Moreover, in certain cases, providers who routinely waive copayments and deductibles for Medicare and Medicaid beneficiaries can also be held liable under the Anti-Kickback Statute and False Claims Act. One of the statutory exceptions to the prohibition is non-routine, unadvertised waivers of copayments or deductible amounts based on individualized determinations of financial need or exhaustion of reasonable collection efforts. The Office of Inspector General of HHS, or OIG, emphasizes, however, that this exception should only be used occasionally to address special financial needs of a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Patient Protection and Affordable Care Act of 2010, as amended by the Health Care and Education Reconciliation Act of 2010, collectively the Affordable Care Act, or ACA, among other things, also imposed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 care providers beginning in 2022, and teaching hospitals, as well as ownership and investment interests held by physicians (as defined under the statute)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5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U.S. Foreign Corrupt Practices Act, or FCPA, and/or other applicable anti-corruption laws.</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ind w:right="60"/>
        <w:spacing w:after="0"/>
        <w:rPr>
          <w:sz w:val="20"/>
          <w:szCs w:val="20"/>
          <w:color w:val="auto"/>
        </w:rPr>
      </w:pPr>
      <w:r>
        <w:rPr>
          <w:rFonts w:ascii="Arial" w:cs="Arial" w:eastAsia="Arial" w:hAnsi="Arial"/>
          <w:sz w:val="18"/>
          <w:szCs w:val="18"/>
          <w:color w:val="auto"/>
        </w:rPr>
        <w:t>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Data Privacy and Security Laws</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HIPAA, as amended by the Health Information Technology for Economic and Clinical Health Act, or HITECH Act, HHS has issued regulations to protect the privacy and security of protected health information, or PHI,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HIPAA security regulations establish requirements for safeguarding the confidentiality, integrity, and availability of PHI that is electronically transmitted or electronically stored. The HIPAA breach notification regulations impose certain reporting requirements on covered entities and their business associates in the event of a breach of PHI. 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w:t>
      </w:r>
    </w:p>
    <w:p>
      <w:pPr>
        <w:spacing w:after="0" w:line="15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18"/>
          <w:szCs w:val="18"/>
          <w:color w:val="auto"/>
        </w:rPr>
        <w:t>litigation. The State of California, for example, recently adopted the California Consumer Privacy Act of 2018, or the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it may regulate or impact our processing of personal information depending on the context.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GDPR and Foreign Laws</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In Europe, the General Data Protection Regulation, or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pseudonymised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or EU, and European Economic Area, or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 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European Union, or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United Kingdom GDPR, or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and Government Reimbursement for Clinical Laboratory Services</w:t>
      </w:r>
    </w:p>
    <w:p>
      <w:pPr>
        <w:spacing w:after="0" w:line="180"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Medicare coverage is limited to items and services that are within the scope of a Medicare benefit category that are reasonable and necessary for the diagnosis or treatment of an illness or injury. With 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included substantial changes to the way in which clinical laboratory services will be paid under Medicare. Under PAMA, laboratories that receive the majority of their Medicare revenue from payments made under the CLFS or the Physician Fee Schedule are required to report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spacing w:after="0" w:line="238" w:lineRule="auto"/>
        <w:rPr>
          <w:sz w:val="20"/>
          <w:szCs w:val="20"/>
          <w:color w:val="auto"/>
        </w:rPr>
      </w:pPr>
      <w:r>
        <w:rPr>
          <w:rFonts w:ascii="Arial" w:cs="Arial" w:eastAsia="Arial" w:hAnsi="Arial"/>
          <w:sz w:val="18"/>
          <w:szCs w:val="18"/>
          <w:color w:val="auto"/>
        </w:rPr>
        <w:t>CMS, beginning in 2017 and every three years thereafter (or annually for “advanced diagnostic laboratory tests”),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15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payor rates. For clinical diagnostic laboratory tests that are assigned a new or substantially revised CPT code, initial payment rates will be assigned by the gap-fill methodology, as under prior law. Initial payment rates for new advanced diagnostic laboratory tests will be based on the actual list charge for the laboratory test. Any reductions to payment rates resulting from the new methodology are limited to 10% per test per year in each of the years 2018 through 2020 and to 15% per test per year in each of the years 2021 through 2023. At the beginning of 2020, PAMA’s impact on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was a reduction of 7.3% compared to levels experienced in 2019. Effective March 2020, as a result of our change in the composition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PAMA's impact on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was a reduction of 5.3% compared to levels experienced in 2019. We do not expect PAMA to impact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2021 compared to levels experienced in 2020. The Coronavirus Aid, Relief, and Economic Security Act, or the CARES Act, signed into law on March 27, 2020 provides clinical laboratories a one-year reprieve from reporting requirements under the Protecting Access to Medicare Act, as well as a one-year delay of rate cuts scheduled to take place next year. Reporting was not required between January 1, 2020 to December 31, 2020. Instead, it is required between January 1, 2022 and March 31, 2022. Additionally, the next round of rate cuts was pushed from 2021 to 2022, with tests receiving cuts of up to 15% a year from 2022 through 2024.</w:t>
      </w:r>
    </w:p>
    <w:p>
      <w:pPr>
        <w:spacing w:after="0" w:line="15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PAMA also authorizes the adoption of new, temporary billing codes and unique test identifiers for FDA-cleared or approved tests, as well as advanced diagnostic laboratory tests.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their test. If approved, the codes are issued by the AMA on a quarterly basis. While our testing products are not presently identified by any PLA codes, we may seek a specific PLA code or codes to describe some of our testing products in the future.</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payors, such as insurance companies,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 adversely affect our results of operations and cash flows. Failure to comply with applicable laws relating to billing federal healthcare programs could also lead to various penalties, including:</w:t>
      </w:r>
    </w:p>
    <w:p>
      <w:pPr>
        <w:spacing w:after="0" w:line="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March 2010, the ACA was enacted in the U.S. The ACA made a number of substantial changes to the way healthcare is financed by governmental and private insurers. The ACA, among other things, included provisions governing enrollment in federal and state healthcare programs, reimbursement matters and fraud and abuse, which we expect will impact our industry and our operations in ways that we cannot currently predict. Additionally,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4" w:name="page35"/>
    <w:bookmarkEnd w:id="34"/>
    <w:p>
      <w:pPr>
        <w:ind w:right="20"/>
        <w:spacing w:after="0" w:line="238" w:lineRule="auto"/>
        <w:rPr>
          <w:sz w:val="20"/>
          <w:szCs w:val="20"/>
          <w:color w:val="auto"/>
        </w:rPr>
      </w:pPr>
      <w:r>
        <w:rPr>
          <w:rFonts w:ascii="Arial" w:cs="Arial" w:eastAsia="Arial" w:hAnsi="Arial"/>
          <w:sz w:val="18"/>
          <w:szCs w:val="18"/>
          <w:color w:val="auto"/>
        </w:rPr>
        <w:t>health coverage for all or part of a year, which is commonly referred to as the “individual mandate”.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how the Supreme Court will rule. It is also unclear how other efforts, if any, to challenge, repeal or replace the ACA will impact the ACA.</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pursuant to the Budget Control Act of 2011, which went into effect on April 1, 2013, and due to subsequent legislative amendments to the statute, will remain in effect through 2030, with the exception of a temporary suspension from May 1, 2020 through March 31, 2021, unless additional Congressional action is taken.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Additional state and federal health care reform measures may also be adopted in the future, any of which could have a material adverse effect on the clinical laboratory industry.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of December 31, 2020, we had 181 full-time employees, and 2 part-time employees in the United States. These included 35 in laboratory operations, 12 in research and development, 71 in sales and marketing and 63 in general and administrative functions. None of our employees is represented by a labor union or covered by a collective bargaining agreement. We consider our relationship with our employees to be good.</w:t>
      </w:r>
    </w:p>
    <w:p>
      <w:pPr>
        <w:spacing w:after="0" w:line="15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expanding and retaining our workforce to support our current pipeline and future business goals. By focusing on employee retention and engagement, we also improve our ability to support our business and operations, our pipeline, and also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ensuring we listen to our employees.</w:t>
      </w:r>
    </w:p>
    <w:p>
      <w:pPr>
        <w:spacing w:after="0" w:line="14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14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 company by motivating our employees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183"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transportation kits from sole-source suppliers.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2020 and 2019 and our total assets as of December 31, 2020 and 2019, is included in our Financial Statements in Item 8 of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5" w:name="page36"/>
    <w:bookmarkEnd w:id="35"/>
    <w:p>
      <w:pPr>
        <w:ind w:right="40"/>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 our name to Exagen Diagnostics, Inc. In January 2019, we changed our name to Exagen Inc. Our principal executive offices are located at 1261 Liberty Way, Vista, California 92081. Our telephone number is (760) 560-1501. Our website address is www.exagen.com. The information contained in, or accessible through, our website is not part of, and is not incorporated by reference into, this Annual Report. Investors should not rely on any such information in deciding whether to purchase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Securities and Exchange Commission, or SEC. Our filings with the SEC are available free of charge on the SEC’s website at www.sec.gov and on the “Investors” section of our website as soon as reasonably practicable after we electronically file such material with, or furnish it to, the SEC. You may also read and copy, at SEC prescribed rates, any document we file with the SEC at the SEC’s Public Reference Room located at 100 F Street, N.E., Washington D.C. 20549. You can call the SEC at 1-800-SEC-0330 to obtain information on the operation of the Public Reference Room.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on Form 10-K,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8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4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risks arising from epidemic diseases, such as the global pandemic of the COVID-19 coronavirus;</w:t>
      </w:r>
    </w:p>
    <w:p>
      <w:pPr>
        <w:spacing w:after="0" w:line="76"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48" w:lineRule="exact"/>
        <w:rPr>
          <w:rFonts w:ascii="Arial" w:cs="Arial" w:eastAsia="Arial" w:hAnsi="Arial"/>
          <w:sz w:val="18"/>
          <w:szCs w:val="18"/>
          <w:color w:val="auto"/>
        </w:rPr>
      </w:pPr>
    </w:p>
    <w:p>
      <w:pPr>
        <w:ind w:left="660" w:right="54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48" w:lineRule="exact"/>
        <w:rPr>
          <w:rFonts w:ascii="Arial" w:cs="Arial" w:eastAsia="Arial" w:hAnsi="Arial"/>
          <w:sz w:val="18"/>
          <w:szCs w:val="18"/>
          <w:color w:val="auto"/>
        </w:rPr>
      </w:pPr>
    </w:p>
    <w:p>
      <w:pPr>
        <w:ind w:left="660" w:right="100" w:hanging="328"/>
        <w:spacing w:after="0" w:line="21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23"/>
          <w:szCs w:val="23"/>
          <w:color w:val="auto"/>
          <w:vertAlign w:val="superscript"/>
        </w:rPr>
        <w:t>®</w:t>
      </w:r>
      <w:r>
        <w:rPr>
          <w:rFonts w:ascii="Arial" w:cs="Arial" w:eastAsia="Arial" w:hAnsi="Arial"/>
          <w:sz w:val="18"/>
          <w:szCs w:val="18"/>
          <w:color w:val="auto"/>
        </w:rPr>
        <w:t>, which could adversely affect our ability to implement this strategy;</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manage our ongoing growth effectively, which could make it difficult to execute our business strategy;</w:t>
      </w:r>
    </w:p>
    <w:p>
      <w:pPr>
        <w:spacing w:after="0" w:line="63" w:lineRule="exact"/>
        <w:rPr>
          <w:rFonts w:ascii="Arial" w:cs="Arial" w:eastAsia="Arial" w:hAnsi="Arial"/>
          <w:sz w:val="18"/>
          <w:szCs w:val="18"/>
          <w:color w:val="auto"/>
        </w:rPr>
      </w:pPr>
    </w:p>
    <w:p>
      <w:pPr>
        <w:ind w:left="660" w:right="140" w:hanging="328"/>
        <w:spacing w:after="0"/>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54"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commercial success depends on attaining and maintaining significant market acceptance of our testing products and promoted therapeutics among rheumatologists, patients, third-party payors and others in the medical community;</w:t>
      </w:r>
    </w:p>
    <w:p>
      <w:pPr>
        <w:spacing w:after="0" w:line="61"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testing products, and we may not be able to fund replacements or transition to alternative suppliers;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6" w:name="page37"/>
    <w:bookmarkEnd w:id="36"/>
    <w:p>
      <w:pPr>
        <w:ind w:left="660" w:right="28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61" w:lineRule="exact"/>
        <w:rPr>
          <w:rFonts w:ascii="Arial" w:cs="Arial" w:eastAsia="Arial" w:hAnsi="Arial"/>
          <w:sz w:val="18"/>
          <w:szCs w:val="18"/>
          <w:color w:val="auto"/>
        </w:rPr>
      </w:pPr>
    </w:p>
    <w:p>
      <w:pPr>
        <w:ind w:left="660" w:right="40" w:hanging="328"/>
        <w:spacing w:after="0"/>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third-party payors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payor contracts, our commercial success could be compromised;</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or achieve profitability;</w:t>
      </w:r>
    </w:p>
    <w:p>
      <w:pPr>
        <w:spacing w:after="0" w:line="63" w:lineRule="exact"/>
        <w:rPr>
          <w:rFonts w:ascii="Arial" w:cs="Arial" w:eastAsia="Arial" w:hAnsi="Arial"/>
          <w:sz w:val="18"/>
          <w:szCs w:val="18"/>
          <w:color w:val="auto"/>
        </w:rPr>
      </w:pPr>
    </w:p>
    <w:p>
      <w:pPr>
        <w:ind w:left="660" w:right="4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61" w:lineRule="exact"/>
        <w:rPr>
          <w:rFonts w:ascii="Arial" w:cs="Arial" w:eastAsia="Arial" w:hAnsi="Arial"/>
          <w:sz w:val="18"/>
          <w:szCs w:val="18"/>
          <w:color w:val="auto"/>
        </w:rPr>
      </w:pPr>
    </w:p>
    <w:p>
      <w:pPr>
        <w:ind w:left="660" w:right="48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48" w:lineRule="exact"/>
        <w:rPr>
          <w:rFonts w:ascii="Arial" w:cs="Arial" w:eastAsia="Arial" w:hAnsi="Arial"/>
          <w:sz w:val="18"/>
          <w:szCs w:val="18"/>
          <w:color w:val="auto"/>
        </w:rPr>
      </w:pPr>
    </w:p>
    <w:p>
      <w:pPr>
        <w:jc w:val="both"/>
        <w:ind w:left="660" w:right="380" w:hanging="328"/>
        <w:spacing w:after="0"/>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 and</w:t>
      </w:r>
    </w:p>
    <w:p>
      <w:pPr>
        <w:spacing w:after="0" w:line="76" w:lineRule="exact"/>
        <w:rPr>
          <w:rFonts w:ascii="Arial" w:cs="Arial" w:eastAsia="Arial" w:hAnsi="Arial"/>
          <w:sz w:val="18"/>
          <w:szCs w:val="18"/>
          <w:color w:val="auto"/>
        </w:rPr>
      </w:pPr>
    </w:p>
    <w:p>
      <w:pPr>
        <w:ind w:left="660" w:right="240" w:hanging="328"/>
        <w:spacing w:after="0"/>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global pandemic of the COVID-19 coronavirus.</w:t>
      </w:r>
    </w:p>
    <w:p>
      <w:pPr>
        <w:spacing w:after="0" w:line="18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restricting business functions outside of one's home, restricting gatherings, restricting travel, and mandating social distancing and face coverings. Certain jurisdictions have begun re-opening only to return to restrictions due to increases in new COVID-19 cases. Even in areas where "stay-at-home" restrictions have been lifted and the number of COVID-19 cases have declined, many individuals remain cautious about resuming activities such as preventative-care medical visits. A pandemic, including COVID-19 or other public health epidemic, poses the risk that we or our employees, contractors, suppliers, third-party shipping carries, government and third-party payors and other partners may be prevented from conducting business activities for an indefinite period of time, including due to spread of the disease within these groups or due to shutdowns that may be requested or mandated by governmental authorities. As a result of COVID-19 related limitations and reordering of priorities across the U.S. healthcare system, a reduction in patient flow occurred and our test volumes began to decrease in the second half of March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By the end of the third quarter of 2020,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reported in the first quarter of 2020, and in the fourth quarter of 2020,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exceeded our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reported in the first quarter of 2020. For the three months ended December 31, 2020 as compared to the same period in 2019,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5%. However, the continued spread of COVID-19 may adversely affect testing volumes in future periods, the extent of which is highly uncertain.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economic downturn may also result in closures of the practices of our primary customers. As it relates to our promotion efforts of SIMPONI</w:t>
      </w:r>
      <w:r>
        <w:rPr>
          <w:rFonts w:ascii="Arial" w:cs="Arial" w:eastAsia="Arial" w:hAnsi="Arial"/>
          <w:sz w:val="23"/>
          <w:szCs w:val="23"/>
          <w:color w:val="auto"/>
          <w:vertAlign w:val="superscript"/>
        </w:rPr>
        <w:t>®</w:t>
      </w:r>
      <w:r>
        <w:rPr>
          <w:rFonts w:ascii="Arial" w:cs="Arial" w:eastAsia="Arial" w:hAnsi="Arial"/>
          <w:sz w:val="18"/>
          <w:szCs w:val="18"/>
          <w:color w:val="auto"/>
        </w:rPr>
        <w:t>, we may experience decreased demand for or discontinued treatment 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patients who are infected by COVID-19 or who may be at higher risk of infection if it is determined that such patients should minimize exposure to immunosuppressant therapies.</w:t>
      </w:r>
    </w:p>
    <w:p>
      <w:pPr>
        <w:spacing w:after="0" w:line="161"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7" w:name="page38"/>
    <w:bookmarkEnd w:id="37"/>
    <w:p>
      <w:pPr>
        <w:spacing w:after="0" w:line="236" w:lineRule="auto"/>
        <w:rPr>
          <w:sz w:val="20"/>
          <w:szCs w:val="20"/>
          <w:color w:val="auto"/>
        </w:rPr>
      </w:pPr>
      <w:r>
        <w:rPr>
          <w:rFonts w:ascii="Arial" w:cs="Arial" w:eastAsia="Arial" w:hAnsi="Arial"/>
          <w:sz w:val="18"/>
          <w:szCs w:val="18"/>
          <w:color w:val="auto"/>
        </w:rPr>
        <w:t>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or re-negotiate volume-based discounts with our key suppliers and to absorb fixed laboratory expenses. For example, we have experienced delays in patient enrollment for ongoing and planned clinical studies involving our tests, which may delay or prevent launch of future test products. Our salesforce has been, and for an extended period of time may continue to be limited to their in-person interactions with healthcare providers, and therefore, also limited their ability to engage in various types of healthcare provider education activities. The portion of our workforce which has been working remotely in an effort to reduce the spread of COVID-19, may be infected from the virus or otherwise distracted. We have also experienced delays in procurement of our testing supplies due to the resurgence of varying forms of "stay-at-home" orders in the fourth quarter of 2020, which may continue into the future, and our partners, including Janssen, may also experience a disruption in their ability to readily obtain supply. We may also face increased competition for laboratory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Any disruption in our laboratory operations would have a material adverse effect on our business and would impede our ability to process tests in a timely manner, or at all.</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w:t>
      </w:r>
    </w:p>
    <w:p>
      <w:pPr>
        <w:spacing w:after="0" w:line="18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122"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We have incurred net losses since our inception. For the years ended December 31, 2020 and 2019, we incurred net losses of $16.7 and $12.0 million, respectively, and we expect to incur additional losses in 2021 and in future years. As of December 31, 2020, we had an accumulated deficit of $181.3 million. Over the next several years, we expect to continue to devote substantially all of our resources to increase adoption of, and reimbursement for, our testing products, to develop future testing products and to continue to execute our integrated testing and therapeutics strategy. We have experienced and may continue to experience decreases in test volumes due to the impact of the COVID-19 pandemic. We may not be able to generate sufficient revenue to achieve and maintain profitability. Our failure to achieve and maintain profitability in the future could cause the market price of our common stock to decline.</w:t>
      </w:r>
    </w:p>
    <w:p>
      <w:pPr>
        <w:spacing w:after="0" w:line="14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only recently began transitioning toward an integrated testing and therapeutics strategy, and have experienced material fluctuations in our ability to drive meaningful revenue from the promotion of therapeutics.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8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111" w:lineRule="exact"/>
        <w:rPr>
          <w:sz w:val="20"/>
          <w:szCs w:val="20"/>
          <w:color w:val="auto"/>
        </w:rPr>
      </w:pPr>
    </w:p>
    <w:p>
      <w:pPr>
        <w:ind w:right="200"/>
        <w:spacing w:after="0" w:line="212"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15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right="140"/>
        <w:spacing w:after="0"/>
        <w:rPr>
          <w:sz w:val="20"/>
          <w:szCs w:val="20"/>
          <w:color w:val="auto"/>
        </w:rPr>
      </w:pPr>
      <w:r>
        <w:rPr>
          <w:rFonts w:ascii="Arial" w:cs="Arial" w:eastAsia="Arial" w:hAnsi="Arial"/>
          <w:sz w:val="18"/>
          <w:szCs w:val="18"/>
          <w:color w:val="auto"/>
        </w:rPr>
        <w:t>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which could adversely affect our ability to implement this strategy.</w:t>
      </w:r>
    </w:p>
    <w:p>
      <w:pPr>
        <w:spacing w:after="0" w:line="62"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Pursuant to the Janssen Agreement, we are entitled to receive a tiered promotion fee based on the total number of incremental prescriptions written above an established baseline. Our ability to continue to effectively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require us to be successful in a range of activities, including creating demand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through our commercial and sales activities as well as those of Janssen. Moreover, we may encounter difficulties in maintaining an effective salesforce in furtherance of our promotion efforts for SIMPONI</w:t>
      </w:r>
      <w:r>
        <w:rPr>
          <w:rFonts w:ascii="Arial" w:cs="Arial" w:eastAsia="Arial" w:hAnsi="Arial"/>
          <w:sz w:val="23"/>
          <w:szCs w:val="23"/>
          <w:color w:val="auto"/>
          <w:vertAlign w:val="superscript"/>
        </w:rPr>
        <w:t>®</w:t>
      </w:r>
      <w:r>
        <w:rPr>
          <w:rFonts w:ascii="Arial" w:cs="Arial" w:eastAsia="Arial" w:hAnsi="Arial"/>
          <w:sz w:val="18"/>
          <w:szCs w:val="18"/>
          <w:color w:val="auto"/>
        </w:rPr>
        <w:t>, which could have a material impact on our ability to continue to successfully generate co-promotion revenue. If we encounter difficulties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our ability to generate significant revenue under the Amended Janssen Agreement will be harmed. In addition, in June 2020 we amended the Janssen Agreement, pursuant to which the predetermined average baseline for each remaining quarter in 2020, starting with the quarter ended June 30, 2020, was adjusted to approximately 26,000 prescribed units per quarter, due in part to COVID-19 and subject to adjustment under certain circumstances. In December 2020, we further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 March 31, 2021 and June 30, 2021, was adjusted to approximately 28,750 prescribed units per quarter, subject to further adjustment under certain circumstances. Pursuant to the Amended Janssen Agreement, for each of the first and second quarters of 2021, we will receive a minimum promotion fee of $0.3 million and the fee will be capped at 10% above the adjusted predetermined baseline. The quarterly tiered promotion fee for the remaining term of the Amended Janssen Agreement beginning with the quarter ended September 30, 2021 will revert to the terms set forth in the Janssen Agreement prior to the amendment, with no minimum promotion fee and no cap on predetermined baseline units. However, based on the revised predetermined baseline we don't anticipate generating meaningful revenue beyond the minimum promotion fee for the first half of 2021, and may not generate any meaningful revenue thereafter. The Janssen Agreement expires on December 31, 2021, unless extended by us for an additional 12 months upon 180 days written notice prior to the end of the current term. Janssen also has the right to terminate the Janssen Agreement with or without cause after 30-days’ notice, including if we are unable to agree to a new baseline for 2022. If Janssen were to exercise this right, we may be unable to recoup substantial investments we have made and intend to make in order to support the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40"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 This may also adversely affect our ability to secure additional therapeutic promotion opportunities.</w:t>
      </w:r>
    </w:p>
    <w:p>
      <w:pPr>
        <w:spacing w:after="0" w:line="18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have 53 representatives as of December 31, 2020 compared to 50 representatives as of December 31, 2019, and expect to continue to expand our salesforce in 2021, which we believe will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 w:name="page40"/>
    <w:bookmarkEnd w:id="39"/>
    <w:p>
      <w:pPr>
        <w:spacing w:after="0" w:line="238" w:lineRule="auto"/>
        <w:rPr>
          <w:sz w:val="20"/>
          <w:szCs w:val="20"/>
          <w:color w:val="auto"/>
        </w:rPr>
      </w:pPr>
      <w:r>
        <w:rPr>
          <w:rFonts w:ascii="Arial" w:cs="Arial" w:eastAsia="Arial" w:hAnsi="Arial"/>
          <w:sz w:val="18"/>
          <w:szCs w:val="18"/>
          <w:color w:val="auto"/>
        </w:rPr>
        <w:t>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the Janssen Agreement, we plan to opportunistically evaluate, and may continue to enter into, additional agreements with pharmaceutical companies to integrate the promotion of our testing products with their therapeutics. We have also entered into, and may continue to enter into, other agreements that leverage our testing products and/or data generated from such tests. For example, we provide GSK our test result data to provide market insight into and help increase awareness of the benefits of an early and accurate diagnosis of SLE and monitoring disease activity.</w:t>
      </w:r>
    </w:p>
    <w:p>
      <w:pPr>
        <w:spacing w:after="0" w:line="148" w:lineRule="exact"/>
        <w:rPr>
          <w:sz w:val="20"/>
          <w:szCs w:val="20"/>
          <w:color w:val="auto"/>
        </w:rPr>
      </w:pPr>
    </w:p>
    <w:p>
      <w:pPr>
        <w:ind w:right="60"/>
        <w:spacing w:after="0" w:line="204" w:lineRule="auto"/>
        <w:rPr>
          <w:sz w:val="20"/>
          <w:szCs w:val="20"/>
          <w:color w:val="auto"/>
        </w:rPr>
      </w:pPr>
      <w:r>
        <w:rPr>
          <w:rFonts w:ascii="Arial" w:cs="Arial" w:eastAsia="Arial" w:hAnsi="Arial"/>
          <w:sz w:val="18"/>
          <w:szCs w:val="18"/>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such as pricing decisions, manufacture and supply of SIMPONI</w:t>
      </w:r>
      <w:r>
        <w:rPr>
          <w:rFonts w:ascii="Arial" w:cs="Arial" w:eastAsia="Arial" w:hAnsi="Arial"/>
          <w:sz w:val="23"/>
          <w:szCs w:val="23"/>
          <w:color w:val="auto"/>
          <w:vertAlign w:val="superscript"/>
        </w:rPr>
        <w:t>®</w:t>
      </w:r>
      <w:r>
        <w:rPr>
          <w:rFonts w:ascii="Arial" w:cs="Arial" w:eastAsia="Arial" w:hAnsi="Arial"/>
          <w:sz w:val="18"/>
          <w:szCs w:val="18"/>
          <w:color w:val="auto"/>
        </w:rPr>
        <w:t>, reimbursement support, marketing materials, the prosecution and enforcement of patents and other intellectual property rights related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public communications and presentations regarding SIMPONI</w:t>
      </w:r>
      <w:r>
        <w:rPr>
          <w:rFonts w:ascii="Arial" w:cs="Arial" w:eastAsia="Arial" w:hAnsi="Arial"/>
          <w:sz w:val="23"/>
          <w:szCs w:val="23"/>
          <w:color w:val="auto"/>
          <w:vertAlign w:val="superscript"/>
        </w:rPr>
        <w:t>®</w:t>
      </w:r>
      <w:r>
        <w:rPr>
          <w:rFonts w:ascii="Arial" w:cs="Arial" w:eastAsia="Arial" w:hAnsi="Arial"/>
          <w:sz w:val="18"/>
          <w:szCs w:val="18"/>
          <w:color w:val="auto"/>
        </w:rPr>
        <w:t>. We likewise have limited control of how our other partners use the information provided by our testing products.</w:t>
      </w:r>
    </w:p>
    <w:p>
      <w:pPr>
        <w:spacing w:after="0" w:line="14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23"/>
          <w:szCs w:val="23"/>
          <w:color w:val="auto"/>
          <w:vertAlign w:val="superscript"/>
        </w:rPr>
        <w:t>®</w:t>
      </w:r>
      <w:r>
        <w:rPr>
          <w:rFonts w:ascii="Arial" w:cs="Arial" w:eastAsia="Arial" w:hAnsi="Arial"/>
          <w:sz w:val="18"/>
          <w:szCs w:val="18"/>
          <w:color w:val="auto"/>
        </w:rPr>
        <w:t>. If Janssen commercializes any competing products, it may provide lower levels of support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14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We rely on Janssen to provide, on a timely basis, an adequate and reliable supply of SIMPONI</w:t>
      </w:r>
      <w:r>
        <w:rPr>
          <w:rFonts w:ascii="Arial" w:cs="Arial" w:eastAsia="Arial" w:hAnsi="Arial"/>
          <w:sz w:val="23"/>
          <w:szCs w:val="23"/>
          <w:color w:val="auto"/>
          <w:vertAlign w:val="superscript"/>
        </w:rPr>
        <w:t>®</w:t>
      </w:r>
      <w:r>
        <w:rPr>
          <w:rFonts w:ascii="Arial" w:cs="Arial" w:eastAsia="Arial" w:hAnsi="Arial"/>
          <w:sz w:val="18"/>
          <w:szCs w:val="18"/>
          <w:color w:val="auto"/>
        </w:rPr>
        <w:t>. Any delay or interruption of supply or Janssen’s failure to comply with regulatory or other requirements could limit its ability to make, or cause it to cease sales, of SIMPONI</w:t>
      </w:r>
      <w:r>
        <w:rPr>
          <w:rFonts w:ascii="Arial" w:cs="Arial" w:eastAsia="Arial" w:hAnsi="Arial"/>
          <w:sz w:val="23"/>
          <w:szCs w:val="23"/>
          <w:color w:val="auto"/>
          <w:vertAlign w:val="superscript"/>
        </w:rPr>
        <w:t>®</w:t>
      </w:r>
      <w:r>
        <w:rPr>
          <w:rFonts w:ascii="Arial" w:cs="Arial" w:eastAsia="Arial" w:hAnsi="Arial"/>
          <w:sz w:val="18"/>
          <w:szCs w:val="18"/>
          <w:color w:val="auto"/>
        </w:rPr>
        <w:t>. Any manufacturing defect or error discovered after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For example, in December 2019, a novel strain of coronavirus, COVID-19, has resulted in business closures and a limit on travel, as well as creating uncertainty in the broader economy and financial markets. Any disruption, including the extent to which COVID-19 has an effect on Janssen, may impact our ability to readily obtain supply and other requirements under our agreement with Janssen. To the extent Janssen faces manufacturing difficulties or is unable to provide an adequate and reliable supply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a timely basis, our reputation could be harmed and our business could suffer.</w:t>
      </w:r>
    </w:p>
    <w:p>
      <w:pPr>
        <w:spacing w:after="0" w:line="8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 financial, marketing and sales resources than we do, also compete with us for the acquisition of rights to therapeutics. In addition, under the Janssen Agreement, we are prohibited from selling or promoting certain types of products that are used to treat the same indications that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 potential availability and value to us of additional agreements to promote therapeutics. The inability to enter into agreements for additional therapeutics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ind w:right="140"/>
        <w:spacing w:after="0" w:line="238" w:lineRule="auto"/>
        <w:rPr>
          <w:sz w:val="20"/>
          <w:szCs w:val="20"/>
          <w:color w:val="auto"/>
        </w:rPr>
      </w:pPr>
      <w:r>
        <w:rPr>
          <w:rFonts w:ascii="Arial" w:cs="Arial" w:eastAsia="Arial" w:hAnsi="Arial"/>
          <w:sz w:val="18"/>
          <w:szCs w:val="18"/>
          <w:color w:val="auto"/>
        </w:rPr>
        <w:t>could limit the overall growth of our business and adversely affect our business, financial condition and results of operations. Disputes could also arise 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2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For example, in the fourth quarter of 2020, we were featured in six scientific presentations at the 2020 American College of Rheumatology's (ACR) Virtual Annual Conference, ACR Convergence 2020.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payors may limit adoption by rheumatologists, as well as third-party payors exerting pressure on rheumatologists and healthcare providers to order in-network testing products which could adversely affect our revenue. With respect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particular, if we are unable to generate sales above certain thresholds agreed to with Janssen, we will not generate meaningful revenue under the Amended Janssen Agreement.</w:t>
      </w:r>
    </w:p>
    <w:p>
      <w:pPr>
        <w:spacing w:after="0" w:line="152"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payors and others in the medical community.</w:t>
      </w:r>
    </w:p>
    <w:p>
      <w:pPr>
        <w:spacing w:after="0" w:line="12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payors, patients and the medical community. Market acceptance of our testing products and promoted therapeutics depends on a number of factors, including:</w:t>
      </w:r>
    </w:p>
    <w:p>
      <w:pPr>
        <w:spacing w:after="0" w:line="4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49" w:lineRule="exact"/>
        <w:rPr>
          <w:rFonts w:ascii="Arial" w:cs="Arial" w:eastAsia="Arial" w:hAnsi="Arial"/>
          <w:sz w:val="18"/>
          <w:szCs w:val="18"/>
          <w:color w:val="auto"/>
        </w:rPr>
      </w:pPr>
    </w:p>
    <w:p>
      <w:pPr>
        <w:ind w:left="660" w:right="106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34"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49"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from our promoted therapeutics;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the use of our promoted therapeutics, if approved, together with other medications;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publicity concerning our testing products and promoted therapeutics or competing products and treatments;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ind w:right="40"/>
        <w:spacing w:after="0" w:line="216" w:lineRule="auto"/>
        <w:rPr>
          <w:sz w:val="20"/>
          <w:szCs w:val="20"/>
          <w:color w:val="auto"/>
        </w:rPr>
      </w:pPr>
      <w:r>
        <w:rPr>
          <w:rFonts w:ascii="Arial" w:cs="Arial" w:eastAsia="Arial" w:hAnsi="Arial"/>
          <w:sz w:val="18"/>
          <w:szCs w:val="18"/>
          <w:color w:val="auto"/>
        </w:rPr>
        <w:t>In addition, if we or our partners had to withdraw a product from the market, it could harm our business and could impact market acceptance of our other testing products or promoted therapeutics. Further,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consists of various biomarkers, any of which could independently encounter issues with manufacturing, supply or overall quality. If any of the biomarkers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were to encounter any issues, we may experience an impact in the overall success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a whole, including a reduction in average selling price or overall revenue, until such time as it can be remedied. Moreover, if our testing products and promoted therapeutics do not achieve an adequate level of acceptance by rheumatologists, hospitals, third-party payors or patients, we may not generate sufficient revenue from that testing product or therapeutic and may not become or remain profitable. Our efforts to educate the medical community and third-party payors regarding the benefits of our testing products and promoted therapeutics may require significant resources and may never be successful.</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The sizes of the markets for our testing products and promoted therapeutics have not been established with precision, and may be smaller than we estimate.</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3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continue to promote SIMPONI</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health crises such as the COVID-19 pandemic;</w:t>
      </w:r>
    </w:p>
    <w:p>
      <w:pPr>
        <w:spacing w:after="0" w:line="49" w:lineRule="exact"/>
        <w:rPr>
          <w:rFonts w:ascii="Arial" w:cs="Arial" w:eastAsia="Arial" w:hAnsi="Arial"/>
          <w:sz w:val="18"/>
          <w:szCs w:val="18"/>
          <w:color w:val="auto"/>
        </w:rPr>
      </w:pPr>
    </w:p>
    <w:p>
      <w:pPr>
        <w:jc w:val="both"/>
        <w:ind w:left="660" w:right="580" w:hanging="328"/>
        <w:spacing w:after="0"/>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40" w:lineRule="exact"/>
        <w:rPr>
          <w:rFonts w:ascii="Arial" w:cs="Arial" w:eastAsia="Arial" w:hAnsi="Arial"/>
          <w:sz w:val="18"/>
          <w:szCs w:val="18"/>
          <w:color w:val="auto"/>
        </w:rPr>
      </w:pPr>
    </w:p>
    <w:p>
      <w:pPr>
        <w:ind w:left="660" w:right="80"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demand for our testing products and promoted therapeutics, which may vary significantly;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 and promoted therapeutics;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2" w:name="page43"/>
    <w:bookmarkEnd w:id="42"/>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49" w:lineRule="exact"/>
        <w:rPr>
          <w:rFonts w:ascii="Arial" w:cs="Arial" w:eastAsia="Arial" w:hAnsi="Arial"/>
          <w:sz w:val="18"/>
          <w:szCs w:val="18"/>
          <w:color w:val="auto"/>
        </w:rPr>
      </w:pPr>
    </w:p>
    <w:p>
      <w:pPr>
        <w:ind w:left="660" w:right="34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34"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4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12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including as a result of the COVID-19 pandemic, if the materials do not meet our quality specifications, or if we cannot obtain acceptable substitute materials, an interruption in test processing could occur and, in certain circumstances, we may be required to amend or cancel test results we have issued. For example, in November 2019, we identified a potential quality issue with reagents for Anti-CarP, a biomarker that can be ordered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that was resolved in September 2020. However,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including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could impact the average selling price and revenues received from sales of such test.</w:t>
      </w:r>
    </w:p>
    <w:p>
      <w:pPr>
        <w:spacing w:after="0" w:line="8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83"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3" w:name="page44"/>
    <w:bookmarkEnd w:id="43"/>
    <w:p>
      <w:pPr>
        <w:ind w:right="260"/>
        <w:spacing w:after="0" w:line="246" w:lineRule="auto"/>
        <w:rPr>
          <w:sz w:val="20"/>
          <w:szCs w:val="20"/>
          <w:color w:val="auto"/>
        </w:rPr>
      </w:pPr>
      <w:r>
        <w:rPr>
          <w:rFonts w:ascii="Arial" w:cs="Arial" w:eastAsia="Arial" w:hAnsi="Arial"/>
          <w:sz w:val="18"/>
          <w:szCs w:val="18"/>
          <w:color w:val="auto"/>
        </w:rPr>
        <w:t>products. If we encounter difficulty meeting market demand or quality standards, our reputation could be harmed and our future prospects and our business could suffer.</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payor contracts, our commercial success could be compromised.</w:t>
      </w:r>
    </w:p>
    <w:p>
      <w:pPr>
        <w:spacing w:after="0" w:line="1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payors, including government payors, such as Medicare and Medicaid and private insurers. For the testing products that we develop and commercialize as well as the therapeutics we promote, each third-party payor decides whether to cover the product, the amount it will reimburse for a covered product and the specific conditions for reimbursement.</w:t>
      </w:r>
    </w:p>
    <w:p>
      <w:pPr>
        <w:spacing w:after="0" w:line="151"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3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demonstrated lead to improved patient outcomes;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 Moreover, the COVID-19 pandemic may cause a delay in coverage decisions from Medicare and third-party payors, and have delayed ongoing and planned clinical trials involving our testing products, the occurrence of which may have a material adverse effect on our business.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used by third-party payors and health care providers as grounds to deny coverage for or refuse to use a test or procedure. In addition, third-party payors, have increased their efforts to control the cost, utilization and delivery of healthcare services. These measures have resulted in reduced payment rates and decreased utilization for the diagnostics industry.</w:t>
      </w:r>
    </w:p>
    <w:p>
      <w:pPr>
        <w:spacing w:after="0" w:line="14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Effective April 25, 2012, Palmetto GBA, the Medicare molecular diagnostic services program, or MolDx Program, contractor,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Healthcare Solutions, LLC, or Noridian, has adopted this coverage policy. Other third-party payors make their own decisions as to whether to establish a policy to reimburse our testing products, however, and because approvals must be sought on a payor by payor basis, establishing broad coverage is a time-consuming and costly process. There are many third-party payors who have not yet established a coverage policy applicable to our testing products. In addition, several Blue Cross Blue Shield plans and Aetna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5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we are not successful in reversing existing non-coverage policies, or if other third-party payors issue negative coverage policies, these policies could have a material adverse effect on our business and operations. Even if many third-party payors currently reimburse for our testing products, such payors may withdraw coverage at any time, review and adjust the rate of reimbursement, require co-payments from patients or stop paying for our testing products altogether, any of which would reduce our revenue.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4" w:name="page45"/>
    <w:bookmarkEnd w:id="44"/>
    <w:p>
      <w:pPr>
        <w:ind w:right="14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payors, including Medicare and private insurance companies,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5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among third-party payors as to which party is responsible for payment;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in coverage among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payor. Claim adjudication errors may result in a delay in payment processing or a reduction in the amount of the payment received.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payors deny our claims, in order to obtain reimbursement for services that we provide, we may challenge coverage and payment denials. Payors also conduct external audits to evaluate payments, which add further complexity to the billing process. If the payor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payors under the Medicare and Medicaid programs within 60 days of identification. Failure to identify and return such overpayments exposes the provider or supplier to liability under federal false claims laws.</w:t>
      </w:r>
    </w:p>
    <w:p>
      <w:pPr>
        <w:spacing w:after="0" w:line="15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Additionally, from time to time, third-party payors change processes that may affect timely payment. These changes may result in uneven cash flow or impact the timing of revenue recognized with these payors.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4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2020, Noridian posted the calendar year 2021 Medicare Physician Fee Schedule, or MPFS, and Clinical Laboratory Fee Schedule, or CLFS, which establishes the reimbursement rates to be paid by Medicare for our jurisdiction for services performed on or after January 1, 2021. We have estimated that the implementation of these reimbursement rates will not result in a reduction in anticipated reimbursements from Medicare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compared to levels experienced in 2020. On March 27, 2020, the CARES Act included the temporary suspension of Medicare sequestration of 2% during the period beginning on May 1, 2020 and ending on December 31, 2020. The Consolidated Appropriations Act of 2021, signed into law on December 27, 2020, extends the suspension period to March 31, 2021. Revenue from Medicare comprised 20% and 25% of our revenue for the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45" w:name="page46"/>
    <w:bookmarkEnd w:id="45"/>
    <w:p>
      <w:pPr>
        <w:ind w:right="280"/>
        <w:spacing w:after="0" w:line="246" w:lineRule="auto"/>
        <w:rPr>
          <w:sz w:val="20"/>
          <w:szCs w:val="20"/>
          <w:color w:val="auto"/>
        </w:rPr>
      </w:pPr>
      <w:r>
        <w:rPr>
          <w:rFonts w:ascii="Arial" w:cs="Arial" w:eastAsia="Arial" w:hAnsi="Arial"/>
          <w:sz w:val="18"/>
          <w:szCs w:val="18"/>
          <w:color w:val="auto"/>
        </w:rPr>
        <w:t>years ended December 31, 2020 and 2019, respectively. Revenue from the sale of our AVISE® CTD testing products comprised 70% and 82% of our revenue for the years ended December 31, 2020 and 2019, respectively.</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8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which could have an adverse effect on our revenue and financial condition.</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15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 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8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sell our testing products through our own specialized salesforce and have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For example, we have a salesforce of 53 representatives as of December 31, 2020, and expect to continue to expand our salesforce in 2021.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23"/>
          <w:szCs w:val="23"/>
          <w:color w:val="auto"/>
          <w:vertAlign w:val="superscript"/>
        </w:rPr>
        <w:t>®</w:t>
      </w:r>
      <w:r>
        <w:rPr>
          <w:rFonts w:ascii="Arial" w:cs="Arial" w:eastAsia="Arial" w:hAnsi="Arial"/>
          <w:sz w:val="18"/>
          <w:szCs w:val="18"/>
          <w:color w:val="auto"/>
        </w:rPr>
        <w:t>, as part of our organization, and they will need to complete additional</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spacing w:after="0" w:line="226" w:lineRule="auto"/>
        <w:rPr>
          <w:sz w:val="20"/>
          <w:szCs w:val="20"/>
          <w:color w:val="auto"/>
        </w:rPr>
      </w:pPr>
      <w:r>
        <w:rPr>
          <w:rFonts w:ascii="Arial" w:cs="Arial" w:eastAsia="Arial" w:hAnsi="Arial"/>
          <w:sz w:val="18"/>
          <w:szCs w:val="18"/>
          <w:color w:val="auto"/>
        </w:rPr>
        <w:t>training in order to effectively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49"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salesforce. If we are unsuccessful in this regard, it could negatively impact our revenue growth and potential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 - 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Myriad Genetics, Inc., Progentec Diagnostics Inc., Scipher Medicine Corporation, Genalyte Inc., Oncimmune plc, DxTerity Diagnostics Inc., and Immunovia AB. In the future, we may also face competition from companies developing new products or technologies.</w:t>
      </w:r>
    </w:p>
    <w:p>
      <w:pPr>
        <w:spacing w:after="0" w:line="139" w:lineRule="exact"/>
        <w:rPr>
          <w:sz w:val="20"/>
          <w:szCs w:val="20"/>
          <w:color w:val="auto"/>
        </w:rPr>
      </w:pPr>
    </w:p>
    <w:p>
      <w:pPr>
        <w:ind w:right="60"/>
        <w:spacing w:after="0" w:line="203"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Abbvie Inc., ENBREL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Amgen Inc., CIMZIA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UCB, INFLECTRA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Pfizer, (biosimilar REMICADE</w:t>
      </w:r>
      <w:r>
        <w:rPr>
          <w:rFonts w:ascii="Arial" w:cs="Arial" w:eastAsia="Arial" w:hAnsi="Arial"/>
          <w:sz w:val="23"/>
          <w:szCs w:val="23"/>
          <w:color w:val="auto"/>
          <w:vertAlign w:val="superscript"/>
        </w:rPr>
        <w:t>®</w:t>
      </w:r>
      <w:r>
        <w:rPr>
          <w:rFonts w:ascii="Arial" w:cs="Arial" w:eastAsia="Arial" w:hAnsi="Arial"/>
          <w:sz w:val="18"/>
          <w:szCs w:val="18"/>
          <w:color w:val="auto"/>
        </w:rPr>
        <w:t>) and RENFLEXIS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Merck &amp; Co. (biosimilar REMICADE</w:t>
      </w:r>
      <w:r>
        <w:rPr>
          <w:rFonts w:ascii="Arial" w:cs="Arial" w:eastAsia="Arial" w:hAnsi="Arial"/>
          <w:sz w:val="23"/>
          <w:szCs w:val="23"/>
          <w:color w:val="auto"/>
          <w:vertAlign w:val="superscript"/>
        </w:rPr>
        <w:t>®</w:t>
      </w:r>
      <w:r>
        <w:rPr>
          <w:rFonts w:ascii="Arial" w:cs="Arial" w:eastAsia="Arial" w:hAnsi="Arial"/>
          <w:sz w:val="18"/>
          <w:szCs w:val="18"/>
          <w:color w:val="auto"/>
        </w:rPr>
        <w:t>). Additionally, we are restricted from promoting any other biologic or Janus kinase inhibitor, or JAK inhibitor, used for treatment of indications covered by the Janssen Agreement without Janssen's consent. Additional competitors include companies with other biologic drugs indicated for RA that have significant sales or sales potential. Specifically, these include ORENCIA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Bristol-Myers Squibb Company, ACTEMRA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Roche, RITUXAN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Roche, XELJANZ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Pfizer, KEVZARA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Sanofi S.A., RINVOQ™ from Abbvie Inc. and OLUMIANT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such as psoriatic arthritis and ankylosing spondylitis.</w:t>
      </w:r>
    </w:p>
    <w:p>
      <w:pPr>
        <w:spacing w:after="0" w:line="15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4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7" w:name="page48"/>
    <w:bookmarkEnd w:id="47"/>
    <w:p>
      <w:pPr>
        <w:ind w:right="120"/>
        <w:spacing w:after="0"/>
        <w:rPr>
          <w:sz w:val="20"/>
          <w:szCs w:val="20"/>
          <w:color w:val="auto"/>
        </w:rPr>
      </w:pPr>
      <w:r>
        <w:rPr>
          <w:rFonts w:ascii="Arial" w:cs="Arial" w:eastAsia="Arial" w:hAnsi="Arial"/>
          <w:sz w:val="18"/>
          <w:szCs w:val="18"/>
          <w:color w:val="auto"/>
        </w:rPr>
        <w:t>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5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12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7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ind w:right="140"/>
        <w:spacing w:after="0" w:line="237" w:lineRule="auto"/>
        <w:rPr>
          <w:sz w:val="20"/>
          <w:szCs w:val="20"/>
          <w:color w:val="auto"/>
        </w:rPr>
      </w:pPr>
      <w:r>
        <w:rPr>
          <w:rFonts w:ascii="Arial" w:cs="Arial" w:eastAsia="Arial" w:hAnsi="Arial"/>
          <w:sz w:val="18"/>
          <w:szCs w:val="18"/>
          <w:color w:val="auto"/>
        </w:rPr>
        <w:t>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12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the treatment of RA, active psoriatic arthritis, or active ankylosing spondylitis, there are many novel therapeutic approaches in development and we expect that the competition in this market will increase dramatically. If new therapeutics make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obsolete or diminish the degree to which rheumatologists prescribe it, our ability to generate revenue under the Janssen Agreement will be harmed.</w:t>
      </w:r>
    </w:p>
    <w:p>
      <w:pPr>
        <w:spacing w:after="0" w:line="18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ind w:right="20"/>
        <w:spacing w:after="0" w:line="237" w:lineRule="auto"/>
        <w:rPr>
          <w:sz w:val="20"/>
          <w:szCs w:val="20"/>
          <w:color w:val="auto"/>
        </w:rPr>
      </w:pPr>
      <w:r>
        <w:rPr>
          <w:rFonts w:ascii="Arial" w:cs="Arial" w:eastAsia="Arial" w:hAnsi="Arial"/>
          <w:sz w:val="18"/>
          <w:szCs w:val="18"/>
          <w:color w:val="auto"/>
        </w:rPr>
        <w:t>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12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Other than with respect to Mr. Rocca, we do not carry key man insurance for any of our employees.</w:t>
      </w:r>
    </w:p>
    <w:p>
      <w:pPr>
        <w:spacing w:after="0" w:line="18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or public health crises such as the COVID-19 pandemic.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including as a result of the COVID-19 pandemic,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5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ind w:right="180"/>
        <w:spacing w:after="0"/>
        <w:rPr>
          <w:sz w:val="20"/>
          <w:szCs w:val="20"/>
          <w:color w:val="auto"/>
        </w:rPr>
      </w:pPr>
      <w:r>
        <w:rPr>
          <w:rFonts w:ascii="Arial" w:cs="Arial" w:eastAsia="Arial" w:hAnsi="Arial"/>
          <w:sz w:val="18"/>
          <w:szCs w:val="18"/>
          <w:color w:val="auto"/>
        </w:rPr>
        <w:t>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18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126"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color w:val="auto"/>
        </w:rPr>
        <w:t>As part of our process of determining CB-CAPs, which is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12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49"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salesforce and other personnel in a timely manner to conduct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50" w:lineRule="exact"/>
        <w:rPr>
          <w:sz w:val="20"/>
          <w:szCs w:val="20"/>
          <w:color w:val="auto"/>
        </w:rPr>
      </w:pPr>
    </w:p>
    <w:p>
      <w:pPr>
        <w:ind w:left="5540" w:right="1940" w:hanging="5208"/>
        <w:spacing w:after="0" w:line="888"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49" w:lineRule="exact"/>
        <w:rPr>
          <w:rFonts w:ascii="Arial" w:cs="Arial" w:eastAsia="Arial" w:hAnsi="Arial"/>
          <w:sz w:val="18"/>
          <w:szCs w:val="18"/>
          <w:color w:val="auto"/>
        </w:rPr>
      </w:pPr>
    </w:p>
    <w:p>
      <w:pPr>
        <w:ind w:left="660" w:right="44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3"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13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as a result of the COVID-19 pandemic, most of our employees are working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as amended by the HITECH Act, and their implementing regulations and regulatory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1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in connection with the ongoing COVID-19 pandemic, most of our employees are working remotely, which may increase the risk of security breaches, loss of data, and other disruptions as a consequence of more employees accessing sensitive and critical information from remote locations.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2" w:name="page53"/>
    <w:bookmarkEnd w:id="52"/>
    <w:p>
      <w:pPr>
        <w:ind w:right="2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Expedited, reliable shipping is essential to our operations. We have been utilizing both United Parcel Service and Federal Express Corporation for reliable and secure point-to-point transport of patient specimens to our laboratory and enhanced tracking of these patient specimens. Should Federal Express, United Parcel Service,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public health epidemics or pandemics (including, for example, the COVID-19 pandemic), terrorist attacks or threats, or for other reasons, could adversely affect our ability to receive and process patient specimens on a timely basis.</w:t>
      </w:r>
    </w:p>
    <w:p>
      <w:pPr>
        <w:spacing w:after="0" w:line="15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If we, Federal Express, or United Parcel Service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United Parcel Service. If any new provider does not provide, or if Federal Express or United Parcel Service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or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 our ability to use NOL carryforwards and other tax attributes to offset taxable income and taxes, as applicable, may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15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There may be other material adverse effects resulting from the legislation that we have not yet identified. While some of the changes made by the tax legislation may adversely affect us in one or more reporting periods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3" w:name="page54"/>
    <w:bookmarkEnd w:id="53"/>
    <w:p>
      <w:pPr>
        <w:ind w:right="420"/>
        <w:spacing w:after="0"/>
        <w:rPr>
          <w:sz w:val="20"/>
          <w:szCs w:val="20"/>
          <w:color w:val="auto"/>
        </w:rPr>
      </w:pPr>
      <w:r>
        <w:rPr>
          <w:rFonts w:ascii="Arial" w:cs="Arial" w:eastAsia="Arial" w:hAnsi="Arial"/>
          <w:sz w:val="18"/>
          <w:szCs w:val="18"/>
          <w:color w:val="auto"/>
        </w:rPr>
        <w:t>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81"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September 2017, we entered into the loan and security agreement with Innovatus Life Sciences Lending Fund I, LP, or Innovatus, which we subsequently amended in November 2019, or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as measured on a rolling twelve-month basis,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As of December 31, 2020, there was $25.0 million in principal outstanding under the term loan and an additional $ 1.8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2022. Our revenues for the twelve-month period ended September 30, 2020 were lower than the specified targets in the Amended Loan Agreement, and as a result, we and Innovatus agreed on a new management plan and target to bring us back into compliance with the Amended Loan Agreement. At December 31, 2020, we were in compliance with all covenants of the Amended Loan Agreement. We cannot be certain that we will be able to generate sufficient cash flow or revenue to meet the financial covenants or pay the principal and accrued interest on our debt.</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$500,000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including as a result of the COVID-19 pandemic,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promoted therapeutics or lower-than-expected rates of reimbursement from commercial third-party payors and government payors, or other risks described in this “Risk Factors” section, we may seek to raise additional capital through equity offerings, debt financings, collaborations or licensing arrangements. In the case of the incurrence of further indebtedness, the Amended Loan Agreement, subject to</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4" w:name="page55"/>
    <w:bookmarkEnd w:id="54"/>
    <w:p>
      <w:pPr>
        <w:ind w:right="20"/>
        <w:spacing w:after="0" w:line="236" w:lineRule="auto"/>
        <w:rPr>
          <w:sz w:val="20"/>
          <w:szCs w:val="20"/>
          <w:color w:val="auto"/>
        </w:rPr>
      </w:pPr>
      <w:r>
        <w:rPr>
          <w:rFonts w:ascii="Arial" w:cs="Arial" w:eastAsia="Arial" w:hAnsi="Arial"/>
          <w:sz w:val="18"/>
          <w:szCs w:val="18"/>
          <w:color w:val="auto"/>
        </w:rPr>
        <w:t>certain customary exceptions, restricts our ability to incur additional indebtedness or encumber any of our property without the prior consent of Innovatus. Under the Amended Loan Agreement, we are required to make monthly interest payments at a rate equal to 8.5% (provided that 2.0% of the 8.5%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market our in vitro diagnostic testing products in the United States as LDTs. LDTs are in vitro diagnostic tests that are intended for clinical use and are designed, manufactured, and used within a single laboratory. Although LDTs are classified as medical devices and the FDA has statutory authority to ensure that medical devices are safe and effective for their intended uses, the FDA has historically exercised enforcement discretion and has not enforced certain applicable FDA requirements, including premarket review, with respect to LDTs. Moreover, in August 2020, the U.S. Department of Health and Human Services, or HHS, announced that FDA will not require premarket review of LDTs absent notice-and-comment rulemaking.</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Legislative and administrative proposals proposing to amend the FDA’s oversight of LDTs have been introduced in recent years and we expect that new legislative and administrative proposals will continue to be introduced from time to time. It is possible that legislation could be enacted into law or regulations or guidance could be issued by the FDA which may result in new or increased regulatory requirements for us to continue to offer our LDTs or to develop and introduce new tests as LDTs.</w:t>
      </w:r>
    </w:p>
    <w:p>
      <w:pPr>
        <w:spacing w:after="0" w:line="15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example, the FDA could modify its current approach to LDTs in a way that would subject our tests that we market as LDTs to the enforcement of additional regulatory requirements. In recent years, the FDA has stated its intention to modify its enforcement discretion policy with respect to LDTs. Specifically,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FDA halted finalization of the guidance in November 2016 to allow for further public discussion on an appropriate oversight approach to LDTs and to give congressional authorizing committees the opportunity to develop a legislative solution, and FDA issued a discussion paper on possible approaches to LDT regulation in January 2017.</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ind w:right="100"/>
        <w:spacing w:after="0" w:line="235" w:lineRule="auto"/>
        <w:rPr>
          <w:sz w:val="20"/>
          <w:szCs w:val="20"/>
          <w:color w:val="auto"/>
        </w:rPr>
      </w:pPr>
      <w:r>
        <w:rPr>
          <w:rFonts w:ascii="Arial" w:cs="Arial" w:eastAsia="Arial" w:hAnsi="Arial"/>
          <w:sz w:val="18"/>
          <w:szCs w:val="18"/>
          <w:color w:val="auto"/>
        </w:rPr>
        <w:t>In addition, the FDA and Congress have, for over the past decade, considered a number of proposals to end the FDA’s enforcement discretion policy for LDTs and subject LDTs to additional regulatory requirements. For example, Congress has recently been working on legislation to create an LDT and in vitro diagnostic regulatory framework for all in vitro clinical tests, or IVCTs, that would be separate and distinct from the existing medical device regulatory framework. In March 2020, members of the U.S. House of Representatives formally introduced the VALID Act (Verifying Accurate Leading-edge IVCT Development Act of 2020) in the House and an identical version of the bill was introduced in the U.S. Senate. If passed in its current form, the VALID Act would create a new category of medical products separate from medical devices called “in vitro clinical tests,” or IVCTs, and bring all such products within the scope of FDA’s oversight. As proposed, the bill grandfathers many existing tests from the proposed premarket approval, quality systems, and labeling requirements, but would require such tests to comply with other regulatory requirements (for example, registration and notification, adverse event reporting). The bill also provides for IVCTs introduced before the effective date (drafted to be approximately four years after the enactment date) to be transitional and remain on the market subject to certain conditions. It is unclear whether the VALID Act or any other legislative proposals would be passed by Congress or signed into law by the President. Depending on the approach adopted under any legislation, certain LDTs (likely those of higher risk) could become subject to some form of premarket review, potentially with a transition period for compliance and a grandfathering provision.</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that we are marketing our LDTs within the scope of its policy of enforcement discretion and may impose significant regulatory requirements, including the requirement for premarket review and clearance or approval. We may also be required to conduct clinical studies to support our currently marketed products or planned product launches.</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third-parties would not relieve us of our regulatory responsibilities.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When conducting clinical trials, we and our third-party contractors are required to comply with good clinical practices, or GCPs, which are regulations and guidelines enforced by the FDA, the Competent Authorities of the Member States of the EEA, and comparable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15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56" w:name="page57"/>
    <w:bookmarkEnd w:id="56"/>
    <w:p>
      <w:pPr>
        <w:ind w:right="40"/>
        <w:spacing w:after="0" w:line="238" w:lineRule="auto"/>
        <w:rPr>
          <w:sz w:val="20"/>
          <w:szCs w:val="20"/>
          <w:color w:val="auto"/>
        </w:rPr>
      </w:pPr>
      <w:r>
        <w:rPr>
          <w:rFonts w:ascii="Arial" w:cs="Arial" w:eastAsia="Arial" w:hAnsi="Arial"/>
          <w:sz w:val="18"/>
          <w:szCs w:val="18"/>
          <w:color w:val="auto"/>
        </w:rPr>
        <w:t>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15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1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3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fines, injunctions, consent decrees and civil penalties;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seizures of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49" w:lineRule="exact"/>
        <w:rPr>
          <w:rFonts w:ascii="Arial" w:cs="Arial" w:eastAsia="Arial" w:hAnsi="Arial"/>
          <w:sz w:val="18"/>
          <w:szCs w:val="18"/>
          <w:color w:val="auto"/>
        </w:rPr>
      </w:pPr>
    </w:p>
    <w:p>
      <w:pPr>
        <w:ind w:left="660" w:right="20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our requests for 510(k) clearance or PMA approvals or foreign regulatory approvals of new testing products, new intended uses or modifications to existing testing products;</w:t>
      </w:r>
    </w:p>
    <w:p>
      <w:pPr>
        <w:spacing w:after="0" w:line="34" w:lineRule="exact"/>
        <w:rPr>
          <w:rFonts w:ascii="Arial" w:cs="Arial" w:eastAsia="Arial" w:hAnsi="Arial"/>
          <w:sz w:val="18"/>
          <w:szCs w:val="18"/>
          <w:color w:val="auto"/>
        </w:rPr>
      </w:pPr>
    </w:p>
    <w:p>
      <w:pPr>
        <w:ind w:left="660" w:right="38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withdrawals of current 510(k) clearances or PMAs or foreign regulatory approvals, resulting in prohibitions on sales of our testing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testing products for sale in other countries;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have a material adverse effect on our reputation, business, results of operations and financial condition.</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approvals.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and payment changes may have a material adverse effect on our financial condition and results of operations.</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third-party payors including governmental payors, such as Medicare and Medicaid, private insurers and other private payors,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testing products.</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payor. Laboratories that fail to report the required payment information may be subject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7" w:name="page58"/>
    <w:bookmarkEnd w:id="57"/>
    <w:p>
      <w:pPr>
        <w:ind w:right="180"/>
        <w:spacing w:after="0" w:line="246" w:lineRule="auto"/>
        <w:rPr>
          <w:sz w:val="20"/>
          <w:szCs w:val="20"/>
          <w:color w:val="auto"/>
        </w:rPr>
      </w:pPr>
      <w:r>
        <w:rPr>
          <w:rFonts w:ascii="Arial" w:cs="Arial" w:eastAsia="Arial" w:hAnsi="Arial"/>
          <w:sz w:val="18"/>
          <w:szCs w:val="18"/>
          <w:color w:val="auto"/>
        </w:rPr>
        <w:t>substantial civil monetary penalties. We bill Medicare for our testing products, and therefore we are subject to reporting requirements under PAMA.</w:t>
      </w:r>
    </w:p>
    <w:p>
      <w:pPr>
        <w:spacing w:after="0" w:line="14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The PAMA ruling issued on June 17, 2016 included data for reporting for the new PAMA process began in 2017, and in 2018, the Medicare payment rate for each clinical diagnostic lab test, with some exceptions, equaled the weighted median of the reported private third-party payor payment for the test, as calculated using data collected by applicable laboratories during the data collection period and reported to the Centers for Medicare and Medicaid Services, or CMS, during a specified data reporting period. At the beginning of 2020, these revisions to the CLFS have altered payment rates for clinical diagnostic lab tests under the CLFS, the estimated reduction in Medicare reimbursement rate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of 7.3% compared to levels experienced in 2019. Effective March 2020, as a result of our change in the composition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estimated reduction to the Medicare reimbursement rate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was 5.3% compared to levels experienced in 2019. We do not expect the revisions to the CLFS to impact Medicare reimbursement rate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2021 compared to levels experienced in 2020. On March 27, 2020, the CARES Act delayed the next reporting period until 2022 resulting in a 0% reduction for 2021, and the 15% reduction limits would apply in 2022-2024. We cannot be sure how revisions to the CLFS will affect reimbursement rates in the future.</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Other laws make changes impacting clinical laboratories, many of which have already gone into effect. The ACA, enacted in March 2010, among other things, include provisions regarding the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remains unclear how the Supreme Court will rule. It is also unclear how other efforts, if any, to challenge, repeal or replace the ACA will impact the ACA or our business. Further, it is possible that additional governmental action be taken in response to the COVID-19 pandemic. We are monitoring the impact of the ACA in order to enable us to determine the trends and changes that may be necessitated by the legislation and that, in turn, may potentially impact our business over time.</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2030, with the exception of a temporary suspension from May 1, 2020 through March 31, 2021,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14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Some of our flow cytometry tests are reimbursed by the Medicare program under the MPFS. On April 16, 2015, President Obama signed the Medicare Access and CHIP Reauthorization Act of 2015, or MACRA, which, among 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149" w:lineRule="exact"/>
        <w:rPr>
          <w:sz w:val="20"/>
          <w:szCs w:val="20"/>
          <w:color w:val="auto"/>
        </w:rPr>
      </w:pPr>
    </w:p>
    <w:p>
      <w:pPr>
        <w:jc w:val="both"/>
        <w:ind w:right="280"/>
        <w:spacing w:after="0" w:line="257" w:lineRule="auto"/>
        <w:rPr>
          <w:sz w:val="20"/>
          <w:szCs w:val="20"/>
          <w:color w:val="auto"/>
        </w:rPr>
      </w:pPr>
      <w:r>
        <w:rPr>
          <w:rFonts w:ascii="Arial" w:cs="Arial" w:eastAsia="Arial" w:hAnsi="Arial"/>
          <w:sz w:val="17"/>
          <w:szCs w:val="17"/>
          <w:color w:val="auto"/>
        </w:rPr>
        <w:t>Medicare payments are significant to our business, not only because approximately 23% and 25% of the total payments we received from payors for the years ended December 31, 2020 and 2019, respectively, were derived from the Medicare program, but also because other payors often use the MPFS and CLFS amounts as a benchmark to develop their payment rates. We cannot predict whether Medicare and other third-party payor reimbursement rates that mirror Medicare’s will be sufficient to make our testing products commercially attractive.</w:t>
      </w:r>
    </w:p>
    <w:p>
      <w:pPr>
        <w:spacing w:after="0" w:line="13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 addition, some third -party payors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8" w:name="page59"/>
    <w:bookmarkEnd w:id="58"/>
    <w:p>
      <w:pPr>
        <w:ind w:right="240"/>
        <w:spacing w:after="0" w:line="238" w:lineRule="auto"/>
        <w:rPr>
          <w:sz w:val="20"/>
          <w:szCs w:val="20"/>
          <w:color w:val="auto"/>
        </w:rPr>
      </w:pPr>
      <w:r>
        <w:rPr>
          <w:rFonts w:ascii="Arial" w:cs="Arial" w:eastAsia="Arial" w:hAnsi="Arial"/>
          <w:sz w:val="18"/>
          <w:szCs w:val="18"/>
          <w:color w:val="auto"/>
        </w:rPr>
        <w:t>for patient care and lower costs. The impact on laboratories, such as ours, of active laboratory benefit management by third parties is unclear, and we expect that it could have a negative impact on our revenue in the short term. It is possible that third-party payors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15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including any initiatives implemented by the new Biden administration. Although we cannot predict the full effect of the recent legislative changes discussed above,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payors for our testing products, which may adversely affect our business, financial condition and results of operations.</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5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ind w:right="280"/>
        <w:spacing w:after="0" w:line="237" w:lineRule="auto"/>
        <w:rPr>
          <w:sz w:val="20"/>
          <w:szCs w:val="20"/>
          <w:color w:val="auto"/>
        </w:rPr>
      </w:pPr>
      <w:r>
        <w:rPr>
          <w:rFonts w:ascii="Arial" w:cs="Arial" w:eastAsia="Arial" w:hAnsi="Arial"/>
          <w:sz w:val="18"/>
          <w:szCs w:val="18"/>
          <w:color w:val="auto"/>
        </w:rPr>
        <w:t>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12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managers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 -Kickback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15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15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ind w:right="40"/>
        <w:spacing w:after="0" w:line="237" w:lineRule="auto"/>
        <w:rPr>
          <w:sz w:val="20"/>
          <w:szCs w:val="20"/>
          <w:color w:val="auto"/>
        </w:rPr>
      </w:pPr>
      <w:r>
        <w:rPr>
          <w:rFonts w:ascii="Arial" w:cs="Arial" w:eastAsia="Arial" w:hAnsi="Arial"/>
          <w:sz w:val="18"/>
          <w:szCs w:val="18"/>
          <w:color w:val="auto"/>
        </w:rPr>
        <w:t>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payor.</w:t>
      </w:r>
    </w:p>
    <w:p>
      <w:pPr>
        <w:spacing w:after="0" w:line="14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In addition, the government may assert that a claim including items or services resulting from a violation of the Stark Law constitutes a false or fraudulent claim for purposes of the false claims laws. Many states have their own self-referral laws as well, which in some cases apply to all third-party payors, not just Medicare and Medicaid.</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payors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ACA, among other things, also imposed new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 care providers beginning in 2022, and teaching hospitals, as well as ownership and investment interests held by physicians (as defined by the statute)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5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including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which is subject to restriction of off-label use discussions.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1" w:name="page62"/>
    <w:bookmarkEnd w:id="61"/>
    <w:p>
      <w:pPr>
        <w:ind w:right="40"/>
        <w:spacing w:after="0" w:line="246" w:lineRule="auto"/>
        <w:rPr>
          <w:sz w:val="20"/>
          <w:szCs w:val="20"/>
          <w:color w:val="auto"/>
        </w:rPr>
      </w:pPr>
      <w:r>
        <w:rPr>
          <w:rFonts w:ascii="Arial" w:cs="Arial" w:eastAsia="Arial" w:hAnsi="Arial"/>
          <w:sz w:val="18"/>
          <w:szCs w:val="18"/>
          <w:color w:val="auto"/>
        </w:rPr>
        <w:t>marketing requirements, including safety surveillance, anti-fraud and abuse laws, and implementation of corporate compliance programs and reporting of payments or transfers of value to healthcare professionals.</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Numerous federal, state and foreign laws and regulations, including HIPAA and the HITECH Act, govern the collection, dissemination, disclosure, security, use and confidentiality of individually identifiable health informationhealth-related and other personal information. HIPAA and the HITECH Act require us to comply with standards for the use and disclosure of individually identifiable health information, or PHI, within our company and with third-parties. The privacy, security and breach notification rules promulgated under HIPAA, as amended by the HITECH Act,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HIPAA requires covered entities, such as us, to develop and maintain policies and procedures with respect to individually identifiable health information that is used or disclosed, including the adoption of administrative, physical and technical safeguards to protect such information. HIPAA also requires us to provide individuals with certain rights with respect to their PHI. If we engage a business associate to help us carry out health care activities and functions, we must have a written business associate contract or other arrangement with the business associate that establishes specifically what the business associate has been engaged to do and requires the business associate to comply with the requirements of HIPAA. Further, in the event of a breach of unsecured PHI we must notify each individual whose PHI is breached as well as federal regulators and in some cases, must publicize the breach in local or national media.</w:t>
      </w:r>
    </w:p>
    <w:p>
      <w:pPr>
        <w:spacing w:after="0" w:line="15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Penalties for failure to comply with a requirement of HIPAA vary significantly depending on the nature of violation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ind w:right="40"/>
        <w:spacing w:after="0" w:line="261" w:lineRule="auto"/>
        <w:rPr>
          <w:sz w:val="20"/>
          <w:szCs w:val="20"/>
          <w:color w:val="auto"/>
        </w:rPr>
      </w:pPr>
      <w:r>
        <w:rPr>
          <w:rFonts w:ascii="Arial" w:cs="Arial" w:eastAsia="Arial" w:hAnsi="Arial"/>
          <w:sz w:val="17"/>
          <w:szCs w:val="17"/>
          <w:color w:val="auto"/>
        </w:rPr>
        <w:t>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certain states have adopted comparable privacy and security laws and regulations, some of which may be more stringent than HIPAA. For example, the California Consumer Privacy Act, or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w:t>
      </w:r>
    </w:p>
    <w:p>
      <w:pPr>
        <w:spacing w:after="0" w:line="234" w:lineRule="auto"/>
        <w:rPr>
          <w:sz w:val="20"/>
          <w:szCs w:val="20"/>
          <w:color w:val="auto"/>
        </w:rPr>
      </w:pPr>
      <w:r>
        <w:rPr>
          <w:rFonts w:ascii="Arial" w:cs="Arial" w:eastAsia="Arial" w:hAnsi="Arial"/>
          <w:sz w:val="18"/>
          <w:szCs w:val="18"/>
          <w:color w:val="auto"/>
        </w:rPr>
        <w:t>EEA. Companies that must comply with the GDPR face increased compliance obligations and risk, including more robust regulatory</w:t>
      </w:r>
    </w:p>
    <w:p>
      <w:pPr>
        <w:spacing w:after="0" w:line="235" w:lineRule="auto"/>
        <w:rPr>
          <w:sz w:val="20"/>
          <w:szCs w:val="20"/>
          <w:color w:val="auto"/>
        </w:rPr>
      </w:pPr>
      <w:r>
        <w:rPr>
          <w:rFonts w:ascii="Arial" w:cs="Arial" w:eastAsia="Arial" w:hAnsi="Arial"/>
          <w:sz w:val="18"/>
          <w:szCs w:val="18"/>
          <w:color w:val="auto"/>
        </w:rPr>
        <w:t>enforcement of data protection requirements and potential fines for noncompliance of up to €20 million or 4% of the annual global revenues</w:t>
      </w:r>
    </w:p>
    <w:p>
      <w:pPr>
        <w:spacing w:after="0" w:line="235" w:lineRule="auto"/>
        <w:rPr>
          <w:sz w:val="20"/>
          <w:szCs w:val="20"/>
          <w:color w:val="auto"/>
        </w:rPr>
      </w:pPr>
      <w:r>
        <w:rPr>
          <w:rFonts w:ascii="Arial" w:cs="Arial" w:eastAsia="Arial" w:hAnsi="Arial"/>
          <w:sz w:val="18"/>
          <w:szCs w:val="18"/>
          <w:color w:val="auto"/>
        </w:rPr>
        <w:t>of the noncompliant company, whichever is greater. Among other requirements, the GDPR regulates transfers of personal data subject to the</w:t>
      </w:r>
    </w:p>
    <w:p>
      <w:pPr>
        <w:spacing w:after="0" w:line="235" w:lineRule="auto"/>
        <w:rPr>
          <w:sz w:val="20"/>
          <w:szCs w:val="20"/>
          <w:color w:val="auto"/>
        </w:rPr>
      </w:pPr>
      <w:r>
        <w:rPr>
          <w:rFonts w:ascii="Arial" w:cs="Arial" w:eastAsia="Arial" w:hAnsi="Arial"/>
          <w:sz w:val="18"/>
          <w:szCs w:val="18"/>
          <w:color w:val="auto"/>
        </w:rPr>
        <w:t>GDPR to third countries that have not been found to provide adequate protection to such personal data, including the United States, and the</w:t>
      </w:r>
    </w:p>
    <w:p>
      <w:pPr>
        <w:spacing w:after="0" w:line="235" w:lineRule="auto"/>
        <w:rPr>
          <w:sz w:val="20"/>
          <w:szCs w:val="20"/>
          <w:color w:val="auto"/>
        </w:rPr>
      </w:pPr>
      <w:r>
        <w:rPr>
          <w:rFonts w:ascii="Arial" w:cs="Arial" w:eastAsia="Arial" w:hAnsi="Arial"/>
          <w:sz w:val="18"/>
          <w:szCs w:val="18"/>
          <w:color w:val="auto"/>
        </w:rPr>
        <w:t>efficacy and longevity of current transfer mechanisms between the EU and the United States remains uncertain. For example, in 2016, the</w:t>
      </w:r>
    </w:p>
    <w:p>
      <w:pPr>
        <w:spacing w:after="0" w:line="234" w:lineRule="auto"/>
        <w:rPr>
          <w:sz w:val="20"/>
          <w:szCs w:val="20"/>
          <w:color w:val="auto"/>
        </w:rPr>
      </w:pPr>
      <w:r>
        <w:rPr>
          <w:rFonts w:ascii="Arial" w:cs="Arial" w:eastAsia="Arial" w:hAnsi="Arial"/>
          <w:sz w:val="18"/>
          <w:szCs w:val="18"/>
          <w:color w:val="auto"/>
        </w:rPr>
        <w:t>EU and United States agreed to a transfer framework for data transferred from the EU to the United States, called the Privacy Shield, but the</w:t>
      </w:r>
    </w:p>
    <w:p>
      <w:pPr>
        <w:spacing w:after="0" w:line="235" w:lineRule="auto"/>
        <w:rPr>
          <w:sz w:val="20"/>
          <w:szCs w:val="20"/>
          <w:color w:val="auto"/>
        </w:rPr>
      </w:pPr>
      <w:r>
        <w:rPr>
          <w:rFonts w:ascii="Arial" w:cs="Arial" w:eastAsia="Arial" w:hAnsi="Arial"/>
          <w:sz w:val="18"/>
          <w:szCs w:val="18"/>
          <w:color w:val="auto"/>
        </w:rPr>
        <w:t>Privacy Shield was invalidated in July 2020 by the Court of Justice of the European Union. Further, from January 1, 2021, companies have to</w:t>
      </w:r>
    </w:p>
    <w:p>
      <w:pPr>
        <w:spacing w:after="0" w:line="235" w:lineRule="auto"/>
        <w:rPr>
          <w:sz w:val="20"/>
          <w:szCs w:val="20"/>
          <w:color w:val="auto"/>
        </w:rPr>
      </w:pPr>
      <w:r>
        <w:rPr>
          <w:rFonts w:ascii="Arial" w:cs="Arial" w:eastAsia="Arial" w:hAnsi="Arial"/>
          <w:sz w:val="18"/>
          <w:szCs w:val="18"/>
          <w:color w:val="auto"/>
        </w:rPr>
        <w:t>comply with the GDPR and also the United Kingdom GDPR, or the UK GDPR, which, together with the amended UK Data Protection Act</w:t>
      </w:r>
    </w:p>
    <w:p>
      <w:pPr>
        <w:spacing w:after="0" w:line="235" w:lineRule="auto"/>
        <w:rPr>
          <w:sz w:val="20"/>
          <w:szCs w:val="20"/>
          <w:color w:val="auto"/>
        </w:rPr>
      </w:pPr>
      <w:r>
        <w:rPr>
          <w:rFonts w:ascii="Arial" w:cs="Arial" w:eastAsia="Arial" w:hAnsi="Arial"/>
          <w:sz w:val="18"/>
          <w:szCs w:val="18"/>
          <w:color w:val="auto"/>
        </w:rPr>
        <w:t>2018, retains the GDPR in UK national law. The UK GDPR mirrors the fines under the GDPR, i.e., fines up to the greater of €20 million</w:t>
      </w:r>
    </w:p>
    <w:p>
      <w:pPr>
        <w:spacing w:after="0" w:line="235" w:lineRule="auto"/>
        <w:rPr>
          <w:sz w:val="20"/>
          <w:szCs w:val="20"/>
          <w:color w:val="auto"/>
        </w:rPr>
      </w:pPr>
      <w:r>
        <w:rPr>
          <w:rFonts w:ascii="Arial" w:cs="Arial" w:eastAsia="Arial" w:hAnsi="Arial"/>
          <w:sz w:val="18"/>
          <w:szCs w:val="18"/>
          <w:color w:val="auto"/>
        </w:rPr>
        <w:t>(£17.5 million) or 4% of global turnover. The relationship between the United Kingdom and the European Union in relation to certain aspects</w:t>
      </w:r>
    </w:p>
    <w:p>
      <w:pPr>
        <w:spacing w:after="0" w:line="234" w:lineRule="auto"/>
        <w:rPr>
          <w:sz w:val="20"/>
          <w:szCs w:val="20"/>
          <w:color w:val="auto"/>
        </w:rPr>
      </w:pPr>
      <w:r>
        <w:rPr>
          <w:rFonts w:ascii="Arial" w:cs="Arial" w:eastAsia="Arial" w:hAnsi="Arial"/>
          <w:sz w:val="18"/>
          <w:szCs w:val="18"/>
          <w:color w:val="auto"/>
        </w:rPr>
        <w:t>of data protection law remains unclear, and it is unclear how United Kingdom data protection laws and regulations will develop in the medium</w:t>
      </w:r>
    </w:p>
    <w:p>
      <w:pPr>
        <w:spacing w:after="0" w:line="235" w:lineRule="auto"/>
        <w:rPr>
          <w:sz w:val="20"/>
          <w:szCs w:val="20"/>
          <w:color w:val="auto"/>
        </w:rPr>
      </w:pPr>
      <w:r>
        <w:rPr>
          <w:rFonts w:ascii="Arial" w:cs="Arial" w:eastAsia="Arial" w:hAnsi="Arial"/>
          <w:sz w:val="18"/>
          <w:szCs w:val="18"/>
          <w:color w:val="auto"/>
        </w:rPr>
        <w:t>to longer term, and how data transfers to and from the United Kingdom will be regulated in the long term. Currently there is a four to six-</w:t>
      </w:r>
    </w:p>
    <w:p>
      <w:pPr>
        <w:spacing w:after="0" w:line="235" w:lineRule="auto"/>
        <w:rPr>
          <w:sz w:val="20"/>
          <w:szCs w:val="20"/>
          <w:color w:val="auto"/>
        </w:rPr>
      </w:pPr>
      <w:r>
        <w:rPr>
          <w:rFonts w:ascii="Arial" w:cs="Arial" w:eastAsia="Arial" w:hAnsi="Arial"/>
          <w:sz w:val="18"/>
          <w:szCs w:val="18"/>
          <w:color w:val="auto"/>
        </w:rPr>
        <w:t>month grace period agreed in the EU and United Kingdom Trade and Cooperation Agreement, ending June 30, 2021 at the latest, whilst the</w:t>
      </w:r>
    </w:p>
    <w:p>
      <w:pPr>
        <w:spacing w:after="0" w:line="235" w:lineRule="auto"/>
        <w:rPr>
          <w:sz w:val="20"/>
          <w:szCs w:val="20"/>
          <w:color w:val="auto"/>
        </w:rPr>
      </w:pPr>
      <w:r>
        <w:rPr>
          <w:rFonts w:ascii="Arial" w:cs="Arial" w:eastAsia="Arial" w:hAnsi="Arial"/>
          <w:sz w:val="18"/>
          <w:szCs w:val="18"/>
          <w:color w:val="auto"/>
        </w:rPr>
        <w:t>parties discuss an adequacy decision. However, it is not clear whether (and when) an adequacy decision may be granted by the European</w:t>
      </w:r>
    </w:p>
    <w:p>
      <w:pPr>
        <w:spacing w:after="0" w:line="235" w:lineRule="auto"/>
        <w:rPr>
          <w:sz w:val="20"/>
          <w:szCs w:val="20"/>
          <w:color w:val="auto"/>
        </w:rPr>
      </w:pPr>
      <w:r>
        <w:rPr>
          <w:rFonts w:ascii="Arial" w:cs="Arial" w:eastAsia="Arial" w:hAnsi="Arial"/>
          <w:sz w:val="18"/>
          <w:szCs w:val="18"/>
          <w:color w:val="auto"/>
        </w:rPr>
        <w:t>Commission enabling data transfers from EU member states to the United Kingdom long term without additional measures. These changes</w:t>
      </w:r>
    </w:p>
    <w:p>
      <w:pPr>
        <w:spacing w:after="0"/>
        <w:rPr>
          <w:sz w:val="20"/>
          <w:szCs w:val="20"/>
          <w:color w:val="auto"/>
        </w:rPr>
      </w:pPr>
      <w:r>
        <w:rPr>
          <w:rFonts w:ascii="Arial" w:cs="Arial" w:eastAsia="Arial" w:hAnsi="Arial"/>
          <w:sz w:val="18"/>
          <w:szCs w:val="18"/>
          <w:color w:val="auto"/>
        </w:rPr>
        <w:t>may lead to additional costs and increase our overall risk exposure.</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products or promoted therapeutics in foreign markets, we would be subject to additional risks and uncertainties, including:</w:t>
      </w:r>
    </w:p>
    <w:p>
      <w:pPr>
        <w:spacing w:after="0" w:line="5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49" w:lineRule="exact"/>
        <w:rPr>
          <w:rFonts w:ascii="Arial" w:cs="Arial" w:eastAsia="Arial" w:hAnsi="Arial"/>
          <w:sz w:val="18"/>
          <w:szCs w:val="18"/>
          <w:color w:val="auto"/>
        </w:rPr>
      </w:pPr>
    </w:p>
    <w:p>
      <w:pPr>
        <w:ind w:left="660" w:right="58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49" w:lineRule="exact"/>
        <w:rPr>
          <w:rFonts w:ascii="Arial" w:cs="Arial" w:eastAsia="Arial" w:hAnsi="Arial"/>
          <w:sz w:val="18"/>
          <w:szCs w:val="18"/>
          <w:color w:val="auto"/>
        </w:rPr>
      </w:pPr>
    </w:p>
    <w:p>
      <w:pPr>
        <w:ind w:left="660" w:right="32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8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48"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own or have an exclusive license to 13 issued U.S. patents,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own one issued U.S. patent, two pending U.S. patent applications, a pending PCT patent application, a pending U.S. provisional patent application, and certain corresponding foreign counterpart patents and patent applications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4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64" w:name="page65"/>
    <w:bookmarkEnd w:id="64"/>
    <w:p>
      <w:pPr>
        <w:spacing w:after="0" w:line="236" w:lineRule="auto"/>
        <w:rPr>
          <w:sz w:val="20"/>
          <w:szCs w:val="20"/>
          <w:color w:val="auto"/>
        </w:rPr>
      </w:pPr>
      <w:r>
        <w:rPr>
          <w:rFonts w:ascii="Arial" w:cs="Arial" w:eastAsia="Arial" w:hAnsi="Arial"/>
          <w:sz w:val="18"/>
          <w:szCs w:val="18"/>
          <w:color w:val="auto"/>
        </w:rPr>
        <w:t>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5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0"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3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5" w:name="page66"/>
    <w:bookmarkEnd w:id="65"/>
    <w:p>
      <w:pPr>
        <w:ind w:right="40"/>
        <w:spacing w:after="0" w:line="236" w:lineRule="auto"/>
        <w:rPr>
          <w:sz w:val="20"/>
          <w:szCs w:val="20"/>
          <w:color w:val="auto"/>
        </w:rPr>
      </w:pPr>
      <w:r>
        <w:rPr>
          <w:rFonts w:ascii="Arial" w:cs="Arial" w:eastAsia="Arial" w:hAnsi="Arial"/>
          <w:sz w:val="18"/>
          <w:szCs w:val="18"/>
          <w:color w:val="auto"/>
        </w:rPr>
        <w:t>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spacing w:after="0" w:line="236" w:lineRule="auto"/>
        <w:rPr>
          <w:sz w:val="20"/>
          <w:szCs w:val="20"/>
          <w:color w:val="auto"/>
        </w:rPr>
      </w:pPr>
      <w:r>
        <w:rPr>
          <w:rFonts w:ascii="Arial" w:cs="Arial" w:eastAsia="Arial" w:hAnsi="Arial"/>
          <w:sz w:val="18"/>
          <w:szCs w:val="18"/>
          <w:color w:val="auto"/>
        </w:rPr>
        <w:t>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5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8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7"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are licensed from the University of Pittsburgh, certain patent rights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are licensed from Prometheus. Our existing license agreements as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5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1"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67" w:name="page68"/>
    <w:bookmarkEnd w:id="67"/>
    <w:p>
      <w:pPr>
        <w:ind w:right="20"/>
        <w:spacing w:after="0" w:line="236" w:lineRule="auto"/>
        <w:rPr>
          <w:sz w:val="20"/>
          <w:szCs w:val="20"/>
          <w:color w:val="auto"/>
        </w:rPr>
      </w:pPr>
      <w:r>
        <w:rPr>
          <w:rFonts w:ascii="Arial" w:cs="Arial" w:eastAsia="Arial" w:hAnsi="Arial"/>
          <w:sz w:val="18"/>
          <w:szCs w:val="18"/>
          <w:color w:val="auto"/>
        </w:rPr>
        <w:t>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81" w:lineRule="exact"/>
        <w:rPr>
          <w:sz w:val="20"/>
          <w:szCs w:val="20"/>
          <w:color w:val="auto"/>
        </w:rPr>
      </w:pPr>
    </w:p>
    <w:p>
      <w:pPr>
        <w:ind w:right="11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1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partner may be unable to acquire any 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50"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15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promote therapeutics, and our business, financial condition and prospects for growth could suffer.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8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may give rise to claims of infringement of the patent rights of others.</w:t>
      </w:r>
    </w:p>
    <w:p>
      <w:pPr>
        <w:spacing w:after="0" w:line="147" w:lineRule="exact"/>
        <w:rPr>
          <w:sz w:val="20"/>
          <w:szCs w:val="20"/>
          <w:color w:val="auto"/>
        </w:rPr>
      </w:pPr>
    </w:p>
    <w:p>
      <w:pPr>
        <w:jc w:val="both"/>
        <w:ind w:right="240"/>
        <w:spacing w:after="0" w:line="206"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there may be third-party patents of which we are currently unaware with claims to materials or methods of</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8" w:name="page69"/>
    <w:bookmarkEnd w:id="68"/>
    <w:p>
      <w:pPr>
        <w:spacing w:after="0" w:line="206" w:lineRule="auto"/>
        <w:rPr>
          <w:sz w:val="20"/>
          <w:szCs w:val="20"/>
          <w:color w:val="auto"/>
        </w:rPr>
      </w:pPr>
      <w:r>
        <w:rPr>
          <w:rFonts w:ascii="Arial" w:cs="Arial" w:eastAsia="Arial" w:hAnsi="Arial"/>
          <w:sz w:val="18"/>
          <w:szCs w:val="18"/>
          <w:color w:val="auto"/>
        </w:rPr>
        <w:t>manufacture related to the use or manufacture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149"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55"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technology.</w:t>
      </w:r>
    </w:p>
    <w:p>
      <w:pPr>
        <w:spacing w:after="0" w:line="11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12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41" w:lineRule="exact"/>
        <w:rPr>
          <w:sz w:val="20"/>
          <w:szCs w:val="20"/>
          <w:color w:val="auto"/>
        </w:rPr>
      </w:pPr>
    </w:p>
    <w:p>
      <w:pPr>
        <w:ind w:right="80"/>
        <w:spacing w:after="0" w:line="217"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15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2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69" w:name="page70"/>
    <w:bookmarkEnd w:id="69"/>
    <w:p>
      <w:pPr>
        <w:ind w:right="60"/>
        <w:spacing w:after="0" w:line="257" w:lineRule="auto"/>
        <w:rPr>
          <w:sz w:val="20"/>
          <w:szCs w:val="20"/>
          <w:color w:val="auto"/>
        </w:rPr>
      </w:pPr>
      <w:r>
        <w:rPr>
          <w:rFonts w:ascii="Arial" w:cs="Arial" w:eastAsia="Arial" w:hAnsi="Arial"/>
          <w:sz w:val="17"/>
          <w:szCs w:val="17"/>
          <w:color w:val="auto"/>
        </w:rPr>
        <w:t>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5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COVID-19 pandemic.</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our directors and executive officers may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the holders of 5,167,230 shares of common stock and holders of warrants to purchase 426,827 shares of common stock are entitled to rights with respect to registration of such shares under the Securities Act pursuant to an investors’ rights agreement between such holders and us.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8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2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41" w:lineRule="exact"/>
        <w:rPr>
          <w:sz w:val="20"/>
          <w:szCs w:val="20"/>
          <w:color w:val="auto"/>
        </w:rPr>
      </w:pPr>
    </w:p>
    <w:p>
      <w:pPr>
        <w:ind w:left="660" w:right="100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49" w:lineRule="exact"/>
        <w:rPr>
          <w:rFonts w:ascii="Arial" w:cs="Arial" w:eastAsia="Arial" w:hAnsi="Arial"/>
          <w:sz w:val="18"/>
          <w:szCs w:val="18"/>
          <w:color w:val="auto"/>
        </w:rPr>
      </w:pPr>
    </w:p>
    <w:p>
      <w:pPr>
        <w:ind w:left="660" w:right="180" w:hanging="328"/>
        <w:spacing w:after="0"/>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40" w:lineRule="exact"/>
        <w:rPr>
          <w:rFonts w:ascii="Arial" w:cs="Arial" w:eastAsia="Arial" w:hAnsi="Arial"/>
          <w:sz w:val="18"/>
          <w:szCs w:val="18"/>
          <w:color w:val="auto"/>
        </w:rPr>
      </w:pPr>
    </w:p>
    <w:p>
      <w:pPr>
        <w:ind w:left="660" w:right="4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34" w:lineRule="exact"/>
        <w:rPr>
          <w:rFonts w:ascii="Arial" w:cs="Arial" w:eastAsia="Arial" w:hAnsi="Arial"/>
          <w:sz w:val="18"/>
          <w:szCs w:val="18"/>
          <w:color w:val="auto"/>
        </w:rPr>
      </w:pPr>
    </w:p>
    <w:p>
      <w:pPr>
        <w:jc w:val="both"/>
        <w:ind w:left="660" w:right="80" w:hanging="328"/>
        <w:spacing w:after="0"/>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49" w:lineRule="exact"/>
        <w:rPr>
          <w:rFonts w:ascii="Arial" w:cs="Arial" w:eastAsia="Arial" w:hAnsi="Arial"/>
          <w:sz w:val="18"/>
          <w:szCs w:val="18"/>
          <w:color w:val="auto"/>
        </w:rPr>
      </w:pPr>
    </w:p>
    <w:p>
      <w:pPr>
        <w:ind w:left="660" w:right="140" w:hanging="328"/>
        <w:spacing w:after="0" w:line="274"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2" w:lineRule="exact"/>
        <w:rPr>
          <w:rFonts w:ascii="Arial" w:cs="Arial" w:eastAsia="Arial" w:hAnsi="Arial"/>
          <w:sz w:val="17"/>
          <w:szCs w:val="17"/>
          <w:color w:val="auto"/>
        </w:rPr>
      </w:pPr>
    </w:p>
    <w:p>
      <w:pPr>
        <w:ind w:left="660" w:right="4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4" w:lineRule="exact"/>
        <w:rPr>
          <w:rFonts w:ascii="Arial" w:cs="Arial" w:eastAsia="Arial" w:hAnsi="Arial"/>
          <w:sz w:val="18"/>
          <w:szCs w:val="18"/>
          <w:color w:val="auto"/>
        </w:rPr>
      </w:pPr>
    </w:p>
    <w:p>
      <w:pPr>
        <w:ind w:left="660" w:right="38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34" w:lineRule="exact"/>
        <w:rPr>
          <w:rFonts w:ascii="Arial" w:cs="Arial" w:eastAsia="Arial" w:hAnsi="Arial"/>
          <w:sz w:val="18"/>
          <w:szCs w:val="18"/>
          <w:color w:val="auto"/>
        </w:rPr>
      </w:pPr>
    </w:p>
    <w:p>
      <w:pPr>
        <w:ind w:left="660" w:right="28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34" w:lineRule="exact"/>
        <w:rPr>
          <w:rFonts w:ascii="Arial" w:cs="Arial" w:eastAsia="Arial" w:hAnsi="Arial"/>
          <w:sz w:val="18"/>
          <w:szCs w:val="18"/>
          <w:color w:val="auto"/>
        </w:rPr>
      </w:pPr>
    </w:p>
    <w:p>
      <w:pPr>
        <w:ind w:left="660" w:right="120" w:hanging="328"/>
        <w:spacing w:after="0"/>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1" w:name="page72"/>
    <w:bookmarkEnd w:id="71"/>
    <w:p>
      <w:pPr>
        <w:jc w:val="both"/>
        <w:ind w:right="50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1"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December 31, 2020, our executive officers, directors and greater than 5% stockholders, in the aggregate, own approximately 74% of our outstanding capital stock.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3"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Prior to our IPO, there had been no public market for our common stock. Our common stock only recently began trading on the Nasdaq Global Market, or Nasdaq,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sectPr>
      </w:pPr>
    </w:p>
    <w:bookmarkStart w:id="72" w:name="page73"/>
    <w:bookmarkEnd w:id="72"/>
    <w:p>
      <w:pPr>
        <w:ind w:right="34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our initial public offering, or IPO.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41" w:lineRule="exact"/>
        <w:rPr>
          <w:sz w:val="20"/>
          <w:szCs w:val="20"/>
          <w:color w:val="auto"/>
        </w:rPr>
      </w:pPr>
    </w:p>
    <w:p>
      <w:pPr>
        <w:ind w:left="660" w:right="300" w:hanging="328"/>
        <w:spacing w:after="0"/>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40" w:lineRule="exact"/>
        <w:rPr>
          <w:rFonts w:ascii="Arial" w:cs="Arial" w:eastAsia="Arial" w:hAnsi="Arial"/>
          <w:sz w:val="18"/>
          <w:szCs w:val="18"/>
          <w:color w:val="auto"/>
        </w:rPr>
      </w:pPr>
    </w:p>
    <w:p>
      <w:pPr>
        <w:ind w:left="660" w:right="72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34" w:lineRule="exact"/>
        <w:rPr>
          <w:rFonts w:ascii="Arial" w:cs="Arial" w:eastAsia="Arial" w:hAnsi="Arial"/>
          <w:sz w:val="18"/>
          <w:szCs w:val="18"/>
          <w:color w:val="auto"/>
        </w:rPr>
      </w:pPr>
    </w:p>
    <w:p>
      <w:pPr>
        <w:ind w:left="660" w:right="260" w:hanging="328"/>
        <w:spacing w:after="0"/>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4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9"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3" w:name="page74"/>
    <w:bookmarkEnd w:id="73"/>
    <w:p>
      <w:pPr>
        <w:ind w:right="280"/>
        <w:spacing w:after="0" w:line="238" w:lineRule="auto"/>
        <w:rPr>
          <w:sz w:val="20"/>
          <w:szCs w:val="20"/>
          <w:color w:val="auto"/>
        </w:rPr>
      </w:pPr>
      <w:r>
        <w:rPr>
          <w:rFonts w:ascii="Arial" w:cs="Arial" w:eastAsia="Arial" w:hAnsi="Arial"/>
          <w:sz w:val="18"/>
          <w:szCs w:val="18"/>
          <w:color w:val="auto"/>
        </w:rPr>
        <w:t>disclosures for so long as our voting and non-voting common stock held by non-affiliates is less than $ 250.0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compliance initiatives.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5"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3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process of upgrading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4" w:name="page75"/>
    <w:bookmarkEnd w:id="74"/>
    <w:p>
      <w:pPr>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5" w:name="page76"/>
    <w:bookmarkEnd w:id="75"/>
    <w:p>
      <w:pPr>
        <w:jc w:val="center"/>
        <w:ind w:right="-99"/>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2026, with an option to extend a portion of the lease for an additional five-year period.</w:t>
      </w:r>
    </w:p>
    <w:p>
      <w:pPr>
        <w:spacing w:after="0" w:line="14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also lease an additional approximately 19,500 square feet office space in Vista, California, under a lease that is co-terminus with our other lease expiring in 2026, with an option to extend the lease for an additional five-year period. We believe that our current facilities are adequate for our current needs and that suitable additional alternative spaces will be available in the future on commercially reasonable terms, if required.</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520" w:firstLine="537"/>
        <w:spacing w:after="0" w:line="49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60"/>
        <w:spacing w:after="0" w:line="261"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3"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As of March 12, 2021, there were approximately 47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2020, we have used approximately $16.8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77" w:name="page78"/>
    <w:bookmarkEnd w:id="77"/>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tables set forth our selected historical financial data as of, and for the periods ended on, the dates indicated. We have derived the selected statements of operations data for the years ended December 31, 2020 and 2019 and the balance sheet data as of December 31, 2020 and 2019 from our audited financial statements included elsewhere in this Annual Report on Form 10-K. We have derived the selected statements of operations data for the years ended December 31, 2018 and 2017 and the balance sheet data as of December 31, 2018 and 2017 from our audited financial statements not included in this Annual Report on Form 10-K. You should read this data together with our audited financial statements and the related notes included elsewhere in this Annual Report on Form 10-K and the section of this prospectus entitled “Management’s Discussion and Analysis of Financial Condition and Results of Operations.” Our historical results for any prior period are not necessarily indicative of our future results.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26,807</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 (excluding amortization of purchased technology)</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14,137</w:t>
            </w:r>
          </w:p>
        </w:tc>
        <w:tc>
          <w:tcPr>
            <w:tcW w:w="0" w:type="dxa"/>
            <w:vAlign w:val="bottom"/>
          </w:tcPr>
          <w:p>
            <w:pPr>
              <w:spacing w:after="0"/>
              <w:rPr>
                <w:sz w:val="1"/>
                <w:szCs w:val="1"/>
                <w:color w:val="auto"/>
              </w:rPr>
            </w:pPr>
          </w:p>
        </w:tc>
      </w:tr>
      <w:tr>
        <w:trPr>
          <w:trHeight w:val="189"/>
        </w:trPr>
        <w:tc>
          <w:tcPr>
            <w:tcW w:w="59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28,702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18,820</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89"/>
        </w:trPr>
        <w:tc>
          <w:tcPr>
            <w:tcW w:w="5960" w:type="dxa"/>
            <w:vAlign w:val="bottom"/>
          </w:tcPr>
          <w:p>
            <w:pPr>
              <w:ind w:left="36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 acquisition-related liabilities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3"/>
        </w:trPr>
        <w:tc>
          <w:tcPr>
            <w:tcW w:w="59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57,160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49,686</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37,320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34,643</w:t>
            </w:r>
          </w:p>
        </w:tc>
        <w:tc>
          <w:tcPr>
            <w:tcW w:w="0" w:type="dxa"/>
            <w:vAlign w:val="bottom"/>
          </w:tcPr>
          <w:p>
            <w:pPr>
              <w:spacing w:after="0"/>
              <w:rPr>
                <w:sz w:val="1"/>
                <w:szCs w:val="1"/>
                <w:color w:val="auto"/>
              </w:rPr>
            </w:pP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(7,836)</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share purchase rights and 2013 Term Loan</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(6,050)</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(9,391)</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(26,180)</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82"/>
        </w:trPr>
        <w:tc>
          <w:tcPr>
            <w:tcW w:w="5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(25,631)</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08"/>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(32,774)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6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(520.18)</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12,632,780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3,578,771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169"/>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w:t>
            </w: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Working capital (1)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61,746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75,355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8,270</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88,310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20,390</w:t>
            </w: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Borrowings, non-current portion, net of discounts and debt issuance costs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25,854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18,809</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 including current portion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Redeemable convertible preferred stock warrant liabilities</w:t>
            </w:r>
          </w:p>
        </w:tc>
        <w:tc>
          <w:tcPr>
            <w:tcW w:w="2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896</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105,232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92,046</w:t>
            </w:r>
          </w:p>
        </w:tc>
      </w:tr>
      <w:tr>
        <w:trPr>
          <w:trHeight w:val="191"/>
        </w:trPr>
        <w:tc>
          <w:tcPr>
            <w:tcW w:w="598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41,839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55,659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(111,966)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(96,684)</w:t>
            </w:r>
          </w:p>
        </w:tc>
      </w:tr>
    </w:tbl>
    <w:p>
      <w:pPr>
        <w:spacing w:after="0" w:line="200" w:lineRule="exact"/>
        <w:rPr>
          <w:sz w:val="20"/>
          <w:szCs w:val="20"/>
          <w:color w:val="auto"/>
        </w:rPr>
      </w:pPr>
    </w:p>
    <w:p>
      <w:pPr>
        <w:spacing w:after="0" w:line="357" w:lineRule="exact"/>
        <w:rPr>
          <w:sz w:val="20"/>
          <w:szCs w:val="20"/>
          <w:color w:val="auto"/>
        </w:rPr>
      </w:pPr>
    </w:p>
    <w:p>
      <w:pPr>
        <w:ind w:left="420" w:right="40" w:hanging="394"/>
        <w:spacing w:after="0" w:line="229"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Annual Report on Form 10-K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43"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70% and 82% of our revenue for the years ended December 31, 2020 and 2019,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6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In December 2018 we entered into the Janssen Agreement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order to advance our integrated testing and therapeutics strategy and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January 2019.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$5.1 million and $1.5 million in revenue for the years ended December 31, 2020 and 2019, respectively, with our quarterly tiered promotion fee based on the incremental increase in total prescribed units above a predetermined average baseline. See "-Janssen Promotion Agreement" below for additional terms of the agreement. We also have agreements with GSK, Covance Inc.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and Duke University as well as the Lupus Foundation of America, to help improve the quality of life for people affected by autoimmune diseases through programs of research, education, support and advocacy. We plan to pursue additional strategic partnerships that are synergistic with our evolving portfolio of testing products.</w:t>
      </w:r>
    </w:p>
    <w:p>
      <w:pPr>
        <w:spacing w:after="0" w:line="156"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perform all of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tests in our approximately 8,000 square foot clinical laboratory, which is certified by CLIA and accredited by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 results within five business days. In the fourth quarter of 2020, we completed the build-out of approximately 2,000 additional square feet to our clinical laboratory.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9" w:right="379" w:bottom="1440" w:gutter="0" w:footer="0" w:header="0"/>
        </w:sectPr>
      </w:pPr>
    </w:p>
    <w:bookmarkStart w:id="80" w:name="page81"/>
    <w:bookmarkEnd w:id="80"/>
    <w:p>
      <w:pPr>
        <w:spacing w:after="0" w:line="241"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1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December 31, 2020 we had an accumulated deficit of $181.3 million. We incurred net losses of $16.7 million and $12.0 million for the years ended December 31, 2020 and 2019,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Through the date of our initial public offering (IPO) in September 2019, our operations were financed primarily from sales of our common and redeemable convertible preferred stock and borrowings under various debt financings. In September 2019, we completed our IPO of 4,140,000 shares of our common stock at a price to the public of $ 14.00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$7.5 million. As of December 31, 2020, we had $57.4 million of cash and cash equivalents.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restricting business functions outside of one's home, restricting gatherings, restricting travel, and mandating social distancing and face coverings. Certain jurisdictions have begun re-opening only to return to restrictions due to increases in new COVID-19 cases. Even in areas where "stay-at-home" restrictions have been lifted and the number of COVID-19 cases have declined, many individuals remain cautious about resuming activities such as preventative-care medical visits. As a result of COVID-19 related limitations and reordering of priorities across the U.S. healthcare system, a reduction in patient flow occurred and our test volumes began to decrease in the second half of March 2020.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By the end of the third quarter of 2020,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reported in the first quarter of 2020, and in the fourth quarter of 2020,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delivered exceeded our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reported in the first quarter of 2020. For the three months ended December 31, 2020 as compared to the same period in 2019,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5%. However, the continued spread of COVID-19 may adversely affect testing volumes in future periods, the extent of which is highly uncertain.</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pricing discounts with our key suppliers and absorb fixed laboratory expenses. For example, we have experienced delays in patient enrollment for ongoing and planned clinical studies involving our tests, which may delay or prevent launch of future test products. We have also experienced delays in procurement of our testing supplies due to the resurgence of varying forms of "stay-at-home" orders in the fourth quarter of 2020, which may continue into the future, and our partners, including Janssen,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0" w:right="359" w:bottom="1440" w:gutter="0" w:footer="0" w:header="0"/>
        </w:sectPr>
      </w:pPr>
    </w:p>
    <w:bookmarkStart w:id="81" w:name="page82"/>
    <w:bookmarkEnd w:id="81"/>
    <w:p>
      <w:pPr>
        <w:ind w:right="20"/>
        <w:spacing w:after="0" w:line="251" w:lineRule="auto"/>
        <w:rPr>
          <w:sz w:val="20"/>
          <w:szCs w:val="20"/>
          <w:color w:val="auto"/>
        </w:rPr>
      </w:pPr>
      <w:r>
        <w:rPr>
          <w:rFonts w:ascii="Arial" w:cs="Arial" w:eastAsia="Arial" w:hAnsi="Arial"/>
          <w:sz w:val="18"/>
          <w:szCs w:val="18"/>
          <w:color w:val="auto"/>
        </w:rPr>
        <w:t>may also experience a disruption in their ability to readily obtain supply. Our salesforce has been, and for an extended period of time may continue to be limited to their in-person interactions with healthcare providers, and therefore, also limited their ability to engage in various types of healthcare provider education activities.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portion of our workforce which has been working remotely in an effort to reduce the spread of COVID-19, may be infected from the virus or otherwise distracted. We may also face increased competition for laboratory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response to the COVID-19 pandemic, we have curtailed non-essential travel and equipped most of our employees with the ability to work remotely with the exception of our clinical laboratory employees, and implemented measures to protect the health of our employees and to support the functionality of our clinical laboratory, such as providing personal protective equipment (including face masks or shields) and maintaining social distancing. In addition, in the second quarter of 2020, our salesforce recommenced certain field-based interactions and scaled marketing spend, although access to healthcare providers remains limited and the use of virtual sales tools has increased. From March 2020 through December 31, 2020, as a result of the COVID-19 pandemic, we terminated our temporary employees and 18 full-time employees, which included three employees at the vice president level. The full extent of which the COVID-19 pandemic will directly or indirectly continue to impact our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right="20" w:hanging="328"/>
        <w:spacing w:after="0" w:line="253" w:lineRule="auto"/>
        <w:tabs>
          <w:tab w:leader="none" w:pos="656"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Continued Adoption of Our Testing Products. </w:t>
      </w:r>
      <w:r>
        <w:rPr>
          <w:rFonts w:ascii="Arial" w:cs="Arial" w:eastAsia="Arial" w:hAnsi="Arial"/>
          <w:sz w:val="17"/>
          <w:szCs w:val="17"/>
          <w:color w:val="auto"/>
        </w:rPr>
        <w:t>Since the launch of AVISE</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CTD in 2012 and through December 31, 2020,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delivered over 487,000 of these tests. For the year ended December 31, 2020, 100,450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were delivered, representing an approximate 5% decline over the same period in 2019. The number of ordering healthcare providers reached a record 2,500 for the year ended December 31, 2020, representing approximately 5% growth over the same period in 2019. In the fourth quarter of 2020, the number of ordering healthcare providers reached 1,690 compared to 1,707 in the same period in 2019, and we had a record 635 adopting healthcare providers (defined as those who previously prescribed at least 11 diagnostic tests in the corresponding period) compared to 572 in the same period in 2019. A high percentage of adopting healthcare providers continue to order tests in subsequent quarters, as approximately 99% of adopting healthcare providers from the third quarter of 2020 that order at least one diagnostic test in the fourth quarter of 2020. Revenue growth for our testing products will depend on our ability to continue to expand our base of ordering healthcare providers and increase our penetration with existing healthcare providers.</w:t>
      </w:r>
    </w:p>
    <w:p>
      <w:pPr>
        <w:ind w:left="660" w:right="60" w:hanging="328"/>
        <w:spacing w:after="0" w:line="251"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2" w:name="page83"/>
    <w:bookmarkEnd w:id="82"/>
    <w:p>
      <w:pPr>
        <w:ind w:left="660" w:right="120" w:hanging="328"/>
        <w:spacing w:after="0" w:line="224" w:lineRule="auto"/>
        <w:tabs>
          <w:tab w:leader="none" w:pos="656"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Promotion of SIMPONI</w:t>
      </w:r>
      <w:r>
        <w:rPr>
          <w:rFonts w:ascii="Arial" w:cs="Arial" w:eastAsia="Arial" w:hAnsi="Arial"/>
          <w:sz w:val="10"/>
          <w:szCs w:val="10"/>
          <w:color w:val="auto"/>
        </w:rPr>
        <w:t>®</w:t>
      </w:r>
      <w:r>
        <w:rPr>
          <w:rFonts w:ascii="Arial" w:cs="Arial" w:eastAsia="Arial" w:hAnsi="Arial"/>
          <w:sz w:val="18"/>
          <w:szCs w:val="18"/>
          <w:color w:val="auto"/>
        </w:rPr>
        <w:t>. We began promoting SIMPONI</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 in January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$5.1 million and $1.5 million in revenue for the years ended December 31, 2020 and 2019, respectively. We may continue to encounter difficulties in successfully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generating significant revenue under the Janssen Agreement. Our ability to effectively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require us to be successful in a range of activities, including creating demand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through our own sales activities as well as those of Janssen. In interest of supporting these efforts we plan to continue to evaluate the reach and frequency of our salesforce and the dedication of time and resources to supporting the co-promotion efforts of SIMPONI as compared to other aspects of our business. We expect to encounter difficulties being able to maintain meaningful co-promotion revenue based on sales over the predetermined baseline in 2021 and we may not be successful in materially increasing market share, potentially resulting in the recognition of the minimum promotion fee of $0.3 million in the first and second quarter of 2021, which would cause us to continue to rely on our existing testing products to drive revenue growth. Additionally, there is no minimum promotion fee for the second half of 2021.</w:t>
      </w:r>
    </w:p>
    <w:p>
      <w:pPr>
        <w:spacing w:after="0" w:line="4" w:lineRule="exact"/>
        <w:rPr>
          <w:rFonts w:ascii="Arial" w:cs="Arial" w:eastAsia="Arial" w:hAnsi="Arial"/>
          <w:sz w:val="18"/>
          <w:szCs w:val="18"/>
          <w:color w:val="auto"/>
        </w:rPr>
      </w:pPr>
    </w:p>
    <w:p>
      <w:pPr>
        <w:ind w:left="660" w:right="20" w:hanging="328"/>
        <w:spacing w:after="0" w:line="234" w:lineRule="auto"/>
        <w:tabs>
          <w:tab w:leader="none" w:pos="656"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ind w:left="660" w:right="80" w:hanging="328"/>
        <w:spacing w:after="0" w:line="250" w:lineRule="auto"/>
        <w:tabs>
          <w:tab w:leader="none" w:pos="656"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Meaningful Margin</w:t>
      </w:r>
      <w:r>
        <w:rPr>
          <w:rFonts w:ascii="Arial" w:cs="Arial" w:eastAsia="Arial" w:hAnsi="Arial"/>
          <w:sz w:val="18"/>
          <w:szCs w:val="18"/>
          <w:color w:val="auto"/>
        </w:rPr>
        <w:t>. We realized an increase to our gross margins beginning in the first quarter of 2020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a 10% annual royalty on our CB-CAPs technology. We believe we are well positioned to maintain meaningful margin through a continued focus on 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 However, our efforts to maintain a meaningful margin may be partially offset by our ability to generate meaningful co-promotion revenue in 2021.</w:t>
      </w:r>
    </w:p>
    <w:p>
      <w:pPr>
        <w:spacing w:after="0" w:line="2" w:lineRule="exact"/>
        <w:rPr>
          <w:rFonts w:ascii="Arial" w:cs="Arial" w:eastAsia="Arial" w:hAnsi="Arial"/>
          <w:sz w:val="18"/>
          <w:szCs w:val="18"/>
          <w:color w:val="auto"/>
        </w:rPr>
      </w:pPr>
    </w:p>
    <w:p>
      <w:pPr>
        <w:ind w:left="660" w:hanging="328"/>
        <w:spacing w:after="0" w:line="242" w:lineRule="auto"/>
        <w:tabs>
          <w:tab w:leader="none" w:pos="656"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ind w:left="660" w:right="60" w:hanging="328"/>
        <w:spacing w:after="0" w:line="256" w:lineRule="auto"/>
        <w:tabs>
          <w:tab w:leader="none" w:pos="656"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payor. Changes to such estimates may increase or decrease revenue recognized in future periods.</w:t>
      </w:r>
    </w:p>
    <w:p>
      <w:pPr>
        <w:spacing w:after="0" w:line="14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193"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years ended December 31, 2020 and 2019, the tiered promotion fee ranged from $750 to $1,250 per prescription over a predetermined baseline. Due in part to COVID-19, in June 2020 we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approximately 26,000 prescribed units per quarter, and subject to adjustment under certain circumstances. For each of the third and fourth quarters of 2020, we received a minimum promotion fee of $0.3 million and the fee was capped at 5% above the adjusted predetermined baseline. In December 2020, we further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3" w:name="page84"/>
    <w:bookmarkEnd w:id="83"/>
    <w:p>
      <w:pPr>
        <w:spacing w:after="0" w:line="231" w:lineRule="auto"/>
        <w:rPr>
          <w:sz w:val="20"/>
          <w:szCs w:val="20"/>
          <w:color w:val="auto"/>
        </w:rPr>
      </w:pPr>
      <w:r>
        <w:rPr>
          <w:rFonts w:ascii="Arial" w:cs="Arial" w:eastAsia="Arial" w:hAnsi="Arial"/>
          <w:sz w:val="18"/>
          <w:szCs w:val="18"/>
          <w:color w:val="auto"/>
        </w:rPr>
        <w:t>March 31, 2021 and June 30, 2021, was adjusted to approximately 28,750 prescribed units per quarter, subject to further adjustment under certain circumstances. For the first and second quarter of 2021, we will be entitled to an amended quarterly tiered promotion fee ranging from $500 to $1,000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the predetermined baseline. Pursuant to the Amended Janssen Agreement, for each of the first and second quarters of 2021, we will receive a minimum promotion fee of $0.3 million and the fee will be capped at 10% above the adjusted predetermined baseline. We continued to receive a minimum promotion fee of $0.3 million and the fee was capped at 5% above the adjusted predetermined baseline for the quarter ended December 31, 2020. The quarterly tiered promotion fee for the remaining term of the Amended Janssen Agreement beginning with the quarter ended September 30, 2021 will revert to the terms set forth in the Janssen Agreement prior to the amendment, with no minimum promotion fee and no cap on predetermined baseline units. The Janssen Agreement expires on December 31, 2021, unless extended by us for an additional 12 months upon 180 days written notice prior to the end of the current term. If we elect to extend the term, the predetermined baseline for 2022 will be subject to future agreement by us and Janssen. Janssen may terminate the agreement at any time for any reason upon 30 days' notice to us, and we may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recognized approximately $5.1 million and $1.5 million in revenue for the year ended December 31, 2020 and 2019, respectively, for our promotional efforts under the Janssen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(i.e. hospitals, other laboratories, etc.), and patient self-pay. Our service is completed upon the delivery of test results to the prescribing rheumatologists which triggers billing for the service.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These assessments require significant judgment by management.</w:t>
      </w:r>
    </w:p>
    <w:p>
      <w:pPr>
        <w:spacing w:after="0" w:line="14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continue to generate meaningful co-promotion revenue. We expect to encounter difficulties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above the predetermined baseline potentially resulting in us receiving the minimum promotion fee of $0.3 million in the first and second quarter of 2021. Additionally, there is no minimum promotion fee for the second half of 2021. Our average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decreased in 2020 as compared to 2019 due to the impacts of the PAMA rate reduction as well as changes to payor mix. However, PAMA is not expected to have an impact on our 2021 average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compared to 2020.</w:t>
      </w:r>
    </w:p>
    <w:p>
      <w:pPr>
        <w:spacing w:after="0" w:line="83"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As discussed above,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third quarter of 2020 substantially recovered to the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reported in the first quarter of 2020, and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fourth quarter of 2020 exceeded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reported in the first quarter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4" w:name="page85"/>
    <w:bookmarkEnd w:id="84"/>
    <w:p>
      <w:pPr>
        <w:ind w:right="540"/>
        <w:spacing w:after="0" w:line="261" w:lineRule="auto"/>
        <w:rPr>
          <w:sz w:val="20"/>
          <w:szCs w:val="20"/>
          <w:color w:val="auto"/>
        </w:rPr>
      </w:pPr>
      <w:r>
        <w:rPr>
          <w:rFonts w:ascii="Arial" w:cs="Arial" w:eastAsia="Arial" w:hAnsi="Arial"/>
          <w:sz w:val="18"/>
          <w:szCs w:val="18"/>
          <w:color w:val="auto"/>
        </w:rPr>
        <w:t>2020. However, the continued spread of COVID-19 may adversely affect testing volumes in future periods, the extent of which is highly uncertain.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18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payor, commercial third-party, government, or individual, reimburses us at different amounts. These differences can be significant. As a result, our costs of revenue as a percentage of revenue may vary significantly from period to period due to the composition of payors for each month's billings.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Assuming future testing volumes are not negatively impacted by the spread of COVID-19, 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 As discussed above, the continued spread of COVID-19 may adversely affect testing volumes which may result in an increase in cost per test due to our inability to realize volume 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2021 as compared to 2020, as we continue to evaluate the reach and frequency of our sales and sales support functions, expected additions to headcount and increases for personnel costs, including stock-based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5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expect that our research and development expenses will increase in absolute dollars in 2021 as compared to 2020, as we continue to invest in research and development activities related to our existing testing products and product candidates, expected additions to headcount and increases for personnel costs, including stock-based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consistent in 2021 as compared to 2020, and remain consistent thereafter until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Prior to the completion of our IPO, we classified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were recorded as a component of other income (expense).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5" w:name="page86"/>
    <w:bookmarkEnd w:id="85"/>
    <w:p>
      <w:pPr>
        <w:jc w:val="both"/>
        <w:ind w:right="60"/>
        <w:spacing w:after="0" w:line="256" w:lineRule="auto"/>
        <w:rPr>
          <w:sz w:val="20"/>
          <w:szCs w:val="20"/>
          <w:color w:val="auto"/>
        </w:rPr>
      </w:pPr>
      <w:r>
        <w:rPr>
          <w:rFonts w:ascii="Arial" w:cs="Arial" w:eastAsia="Arial" w:hAnsi="Arial"/>
          <w:sz w:val="18"/>
          <w:szCs w:val="18"/>
          <w:color w:val="auto"/>
        </w:rPr>
        <w:t>In connection with the completion of our IPO in September 2019, all outstanding warrants to purchase shares of our redeemable convertible preferred stock either terminated or were converted into warrants to purchase shares of our common stock and accordingly, will no longer be subject to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Other income, net, consists primarily of interest income earned on our cash and cash equivalents and an amount received under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8,331</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$1.6 million, or 3.9%, for the year ended December 31, 2020 compared to the year ended December 31, 2019, primarily</w:t>
      </w:r>
    </w:p>
    <w:p>
      <w:pPr>
        <w:spacing w:after="0" w:line="204" w:lineRule="auto"/>
        <w:rPr>
          <w:sz w:val="20"/>
          <w:szCs w:val="20"/>
          <w:color w:val="auto"/>
        </w:rPr>
      </w:pPr>
      <w:r>
        <w:rPr>
          <w:rFonts w:ascii="Arial" w:cs="Arial" w:eastAsia="Arial" w:hAnsi="Arial"/>
          <w:sz w:val="18"/>
          <w:szCs w:val="18"/>
          <w:color w:val="auto"/>
        </w:rPr>
        <w:t>due to an increase in revenue to approximately $5.1 million from the co-promotion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year ended December 31, 2020</w:t>
      </w:r>
    </w:p>
    <w:p>
      <w:pPr>
        <w:spacing w:after="0"/>
        <w:rPr>
          <w:sz w:val="20"/>
          <w:szCs w:val="20"/>
          <w:color w:val="auto"/>
        </w:rPr>
      </w:pPr>
      <w:r>
        <w:rPr>
          <w:rFonts w:ascii="Arial" w:cs="Arial" w:eastAsia="Arial" w:hAnsi="Arial"/>
          <w:sz w:val="18"/>
          <w:szCs w:val="18"/>
          <w:color w:val="auto"/>
        </w:rPr>
        <w:t>compared to approximately $1.5 million for the year ended December 31, 2019. The increase in revenue was partially offset by a decrease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diagnostic tests delivered due in part to impacts of the COVID-19 pandemic, coupled with a decrease in average</w:t>
      </w:r>
    </w:p>
    <w:p>
      <w:pPr>
        <w:spacing w:after="0" w:line="204" w:lineRule="auto"/>
        <w:rPr>
          <w:sz w:val="20"/>
          <w:szCs w:val="20"/>
          <w:color w:val="auto"/>
        </w:rPr>
      </w:pPr>
      <w:r>
        <w:rPr>
          <w:rFonts w:ascii="Arial" w:cs="Arial" w:eastAsia="Arial" w:hAnsi="Arial"/>
          <w:sz w:val="18"/>
          <w:szCs w:val="18"/>
          <w:color w:val="auto"/>
        </w:rPr>
        <w:t>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which accounted for 70% of revenue for the year ended</w:t>
      </w:r>
    </w:p>
    <w:p>
      <w:pPr>
        <w:spacing w:after="0"/>
        <w:rPr>
          <w:sz w:val="20"/>
          <w:szCs w:val="20"/>
          <w:color w:val="auto"/>
        </w:rPr>
      </w:pPr>
      <w:r>
        <w:rPr>
          <w:rFonts w:ascii="Arial" w:cs="Arial" w:eastAsia="Arial" w:hAnsi="Arial"/>
          <w:sz w:val="18"/>
          <w:szCs w:val="18"/>
          <w:color w:val="auto"/>
        </w:rPr>
        <w:t>December 31, 2020, decreased to 100,450 tests delivered in the year ended December 31, 2020 compared to 105,370 tests delivered in the</w:t>
      </w:r>
    </w:p>
    <w:p>
      <w:pPr>
        <w:spacing w:after="0" w:line="204" w:lineRule="auto"/>
        <w:rPr>
          <w:sz w:val="20"/>
          <w:szCs w:val="20"/>
          <w:color w:val="auto"/>
        </w:rPr>
      </w:pPr>
      <w:r>
        <w:rPr>
          <w:rFonts w:ascii="Arial" w:cs="Arial" w:eastAsia="Arial" w:hAnsi="Arial"/>
          <w:sz w:val="18"/>
          <w:szCs w:val="18"/>
          <w:color w:val="auto"/>
        </w:rPr>
        <w:t>same 2019 period.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increased to 28,601 for the three months ended December 31, 2020 compared to</w:t>
      </w:r>
    </w:p>
    <w:p>
      <w:pPr>
        <w:spacing w:after="0" w:line="196" w:lineRule="auto"/>
        <w:rPr>
          <w:sz w:val="20"/>
          <w:szCs w:val="20"/>
          <w:color w:val="auto"/>
        </w:rPr>
      </w:pPr>
      <w:r>
        <w:rPr>
          <w:rFonts w:ascii="Arial" w:cs="Arial" w:eastAsia="Arial" w:hAnsi="Arial"/>
          <w:sz w:val="18"/>
          <w:szCs w:val="18"/>
          <w:color w:val="auto"/>
        </w:rPr>
        <w:t>27,133 tests delivered in the same 2019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year ended December 31,</w:t>
      </w:r>
    </w:p>
    <w:p>
      <w:pPr>
        <w:spacing w:after="0"/>
        <w:rPr>
          <w:sz w:val="20"/>
          <w:szCs w:val="20"/>
          <w:color w:val="auto"/>
        </w:rPr>
      </w:pPr>
      <w:r>
        <w:rPr>
          <w:rFonts w:ascii="Arial" w:cs="Arial" w:eastAsia="Arial" w:hAnsi="Arial"/>
          <w:sz w:val="18"/>
          <w:szCs w:val="18"/>
          <w:color w:val="auto"/>
        </w:rPr>
        <w:t>2020 increased to 2,500 ordering healthcare providers as compared to 2,389 ordering healthcare providers in the same 2019 period.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ordering healthcare providers decreased to 1,690 for the three months ended December 31, 2020 compared to 1,707 in the same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Costs of revenue decreased $2.2 million, or 12.0%, for the year ended December 31, 2020 compared to the year ended December 31, 2019. This decrease was primarily due to decreased direct costs such as materials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6" w:name="page87"/>
    <w:bookmarkEnd w:id="86"/>
    <w:p>
      <w:pPr>
        <w:spacing w:after="0" w:line="261" w:lineRule="auto"/>
        <w:rPr>
          <w:sz w:val="20"/>
          <w:szCs w:val="20"/>
          <w:color w:val="auto"/>
        </w:rPr>
      </w:pPr>
      <w:r>
        <w:rPr>
          <w:rFonts w:ascii="Arial" w:cs="Arial" w:eastAsia="Arial" w:hAnsi="Arial"/>
          <w:sz w:val="18"/>
          <w:szCs w:val="18"/>
          <w:color w:val="auto"/>
        </w:rPr>
        <w:t>supplies associated with the decrease in test volume and decreased royalty costs associated with the expiration of a royalty on our CB-CAPs technology for the year ended December 31, 2020 compared to the same 2019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Selling, general and administrative expenses increased $8.3 million, or 29.0%, for the year ended December 31, 2020 compared to the year ended December 31, 2019. This increase was primarily due to an increase of $5.6 million of employee related expenses, including stock-based compensation and recruitment expenses, increases related to insurance expenses of $1.0 million, legal fees of $0.7 million and audit and professional services of $0.7 million. The year ended December 31,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Research and development expenses increased $1.4 million, or 64.0%, for the year ended December 31, 2020 compared to the year ended December 31, 2019. The increase was primarily due to an increase of $1.2 million of employee related expenses, including stock-based compensation and recruitment expenses, and an increase related to clinical study expenses of $0.2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Interest expense decreased $0.9 million, or 26.5%, for the year ended December 31, 2020 compared to the year ended December 31, 2019. This decrease was primarily due to the lower interest rate under our long-term borrowing arrangements for the year ended December 31, 2020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change in fair value of financial instruments decreased $0.3 million for the year ended December 31, 2020 compared to the year ended December 31, 2019. This decrease is due to the conversion of warrants to purchase preferred stock into warrants to purchase our common stock in connection with the completion of our IPO in September 2019. As a result, such warrants no longer require liability accounting which resulted in the recognition of income or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Other income, net, increased $ 0.5 million for the year ended December 31, 2020 compared to the year ended December 31, 2019. This increase is primarily due to the $0.7 million received under the CARES Act due to lost revenues attributable to COVID-19 during the second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Income tax benefit increased $0.1 million for the year ended December 31, 2020 compared to the year ended December 31, 2019 due to a change in tax law under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incurred net losses since our inception. For the years ended December 31, 2020 and 2019, we incurred a net loss of $ 16.7 million and $12.0 million, respectively, and we expect to incur additional losses and increased operating expenses in future periods. As of December 31, 2020, we had an accumulated deficit of $181.3 million. To date, we have generated only limited revenue, and we may never achieve revenue sufficient to offset our expenses.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and redeemable convertible preferred stock and borrowings under various debt financings. In September 2019, we completed our IPO of 4,140,000 shares of its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$ 7.5 million. As of December 31, 2020, we had $57.4 million of cash and cash equivalents. Cash in excess of immediate requirements is invested in accordance with our investment policy, primarily with a view to liquidity and capital preservation. Currently, our funds are held in cash and money market funds.</w:t>
      </w:r>
    </w:p>
    <w:p>
      <w:pPr>
        <w:sectPr>
          <w:pgSz w:w="11900" w:h="16838" w:orient="portrait"/>
          <w:cols w:equalWidth="0" w:num="1">
            <w:col w:w="11200"/>
          </w:cols>
          <w:pgMar w:left="320" w:top="1070" w:right="37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type w:val="continuous"/>
        </w:sectPr>
      </w:pPr>
    </w:p>
    <w:bookmarkStart w:id="87" w:name="page88"/>
    <w:bookmarkEnd w:id="87"/>
    <w:p>
      <w:pPr>
        <w:spacing w:after="0" w:line="250"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November 2019, we amended the loan and security agreement with Innovatus, which we collectively refer to as the Amended Loan Agreement. Pursuant to the Amended Loan Agreement, the loan term is for five years with a final maturity date of November 2024. The Amended Loan Agreement accrues interest at an annual rate of</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8.5%, of 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during each subsequent twelve-month period after the first anniversary of the Loan Amendment.</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and achieve certain minimum amounts of revenue,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Our revenues for the twelve-month period ended September 30, 2020 were lower than the specified targets, and as a result, we and Innovatus agreed to a new management plan and target to bring us back into compliance with the Loan Amendment. At December 31, 2020,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execution of the loan and security agreement with Innovatus in November 2017, we issued the lender a seven-year warrant to purchase 15,384,615 shares of our Series F redeemable convertible preferred stock at an exercise price of $0.078 per share, and in December 2018, in connection with the additional $5.0 million borrowed under the loan and security agreement, we issued to the lender a seven-year warrant to purchase 3,846,154 shares of our Series F 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w:t>
      </w:r>
    </w:p>
    <w:p>
      <w:pPr>
        <w:spacing w:after="0" w:line="15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or HHS,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9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promote SIMPONI</w:t>
      </w:r>
      <w:r>
        <w:rPr>
          <w:rFonts w:ascii="Arial" w:cs="Arial" w:eastAsia="Arial" w:hAnsi="Arial"/>
          <w:sz w:val="23"/>
          <w:szCs w:val="23"/>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We expect to make material additions for laboratory equipment and capital expenditures in the near term related to our laboratory facilities and expansion of research capabilities. Cash used to fund operating expenses is impacted by the timing of when we pay expenses, as reflected in the change in our outstanding accounts payable and accrued expenses.</w:t>
      </w:r>
    </w:p>
    <w:p>
      <w:pPr>
        <w:spacing w:after="0" w:line="16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8" w:name="page89"/>
    <w:bookmarkEnd w:id="88"/>
    <w:p>
      <w:pPr>
        <w:ind w:right="300"/>
        <w:spacing w:after="0" w:line="252" w:lineRule="auto"/>
        <w:rPr>
          <w:sz w:val="20"/>
          <w:szCs w:val="20"/>
          <w:color w:val="auto"/>
        </w:rPr>
      </w:pPr>
      <w:r>
        <w:rPr>
          <w:rFonts w:ascii="Arial" w:cs="Arial" w:eastAsia="Arial" w:hAnsi="Arial"/>
          <w:sz w:val="18"/>
          <w:szCs w:val="18"/>
          <w:color w:val="auto"/>
        </w:rPr>
        <w:t>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payments for capital leases related to our laboratory equipment (see footnote 4 and footnote 5 in the audited financial statements included in this Annual Report on Form 10-K).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5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right="54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challenges resulting from social distancing and stay-at-home orders through a reduction in testing volumes;</w:t>
      </w:r>
    </w:p>
    <w:p>
      <w:pPr>
        <w:spacing w:after="0" w:line="25"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sz w:val="20"/>
          <w:szCs w:val="20"/>
          <w:color w:val="auto"/>
        </w:rPr>
      </w:pPr>
    </w:p>
    <w:p>
      <w:pPr>
        <w:ind w:left="660" w:right="360" w:hanging="328"/>
        <w:spacing w:after="0" w:line="261" w:lineRule="auto"/>
        <w:tabs>
          <w:tab w:leader="none" w:pos="65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b w:val="1"/>
          <w:bCs w:val="1"/>
          <w:color w:val="auto"/>
        </w:rPr>
      </w:pPr>
    </w:p>
    <w:p>
      <w:pPr>
        <w:ind w:left="660" w:right="660" w:hanging="328"/>
        <w:spacing w:after="0" w:line="261" w:lineRule="auto"/>
        <w:tabs>
          <w:tab w:leader="none" w:pos="65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additional costs we may incur as a result of operating as a public company;</w:t>
      </w:r>
    </w:p>
    <w:p>
      <w:pPr>
        <w:spacing w:after="0" w:line="52" w:lineRule="exact"/>
        <w:rPr>
          <w:rFonts w:ascii="Arial" w:cs="Arial" w:eastAsia="Arial" w:hAnsi="Arial"/>
          <w:sz w:val="18"/>
          <w:szCs w:val="18"/>
          <w:b w:val="1"/>
          <w:bCs w:val="1"/>
          <w:color w:val="auto"/>
        </w:rPr>
      </w:pPr>
    </w:p>
    <w:p>
      <w:pPr>
        <w:ind w:left="660" w:right="120" w:hanging="328"/>
        <w:spacing w:after="0" w:line="225" w:lineRule="auto"/>
        <w:tabs>
          <w:tab w:leader="none" w:pos="65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 and</w:t>
      </w:r>
    </w:p>
    <w:p>
      <w:pPr>
        <w:spacing w:after="0" w:line="54" w:lineRule="exact"/>
        <w:rPr>
          <w:rFonts w:ascii="Arial" w:cs="Arial" w:eastAsia="Arial" w:hAnsi="Arial"/>
          <w:sz w:val="18"/>
          <w:szCs w:val="18"/>
          <w:b w:val="1"/>
          <w:bCs w:val="1"/>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(14,084)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(9,711)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68,734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increase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58,920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9" w:name="page90"/>
    <w:bookmarkEnd w:id="89"/>
    <w:p>
      <w:pPr>
        <w:ind w:right="100"/>
        <w:spacing w:after="0" w:line="253" w:lineRule="auto"/>
        <w:rPr>
          <w:sz w:val="20"/>
          <w:szCs w:val="20"/>
          <w:color w:val="auto"/>
        </w:rPr>
      </w:pPr>
      <w:r>
        <w:rPr>
          <w:rFonts w:ascii="Arial" w:cs="Arial" w:eastAsia="Arial" w:hAnsi="Arial"/>
          <w:sz w:val="18"/>
          <w:szCs w:val="18"/>
          <w:color w:val="auto"/>
        </w:rPr>
        <w:t>Net cash used in operating activities for the year ended December 31, 2020 was $14.1 million and primarily resulted from our net loss of $16.7 million adjusted for non-cash charges of $3.9 million related to stock-based compensation, non-cash interest, depreciation, amortization and deferred income taxes and changes in our net operating assets of $1.3 million related to net increases in account receivables and prepaid expenses and other current assets, partially offset by net increases in accounts payables and accrued liabilities and other current liabilities.</w:t>
      </w:r>
    </w:p>
    <w:p>
      <w:pPr>
        <w:spacing w:after="0" w:line="15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Net cash used in operating activities for the year ended December 31, 2019 was $ 9.7 million and primarily resulted from our net loss of $12.0 million adjusted for non-cash charges of $2.2 million related to depreciation, amortization, stock-based compensation, non-cash interest and the revaluation of our preferred stock liabilities. The net cash used in operating activities was partially offset by changes in our net operating assets of $0.2 million related to net increases in accounts payable and accrued liabilities and other current liabilities, partially offset by decreases in prepaid expenses and other current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cash used in investing activities for the year ended December 31, 2020 and 2019 was $0.5 million and $0.1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9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Net cash used in financing activities for the year ended December 31, 2020 was $0.1 million and primarily resulted from principal payments on capital lease obligations, as well as proceeds from the Paycheck Protection Program loan, which was subsequently repaid in May 2020, partially offset by proceeds from Employee Stock Purchase Plan purchases.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cash provided by financing activities for the year ended December 31, 2019 was $68.7 million and primarily resulted from the net proceeds received from our IPO of $50.4 million, as well as net proceeds received from the issuance of our redeemable convertible preferred stock of $18.4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judgement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healthcare insurers, government payors (primarily Medicare and Medicaid), client payors (i.e. hospitals, other laboratories, etc.) and patient self-pays.</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0" w:name="page91"/>
    <w:bookmarkEnd w:id="90"/>
    <w:p>
      <w:pPr>
        <w:ind w:right="340"/>
        <w:spacing w:after="0" w:line="261" w:lineRule="auto"/>
        <w:rPr>
          <w:sz w:val="20"/>
          <w:szCs w:val="20"/>
          <w:color w:val="auto"/>
        </w:rPr>
      </w:pPr>
      <w:r>
        <w:rPr>
          <w:rFonts w:ascii="Arial" w:cs="Arial" w:eastAsia="Arial" w:hAnsi="Arial"/>
          <w:sz w:val="18"/>
          <w:szCs w:val="18"/>
          <w:color w:val="auto"/>
        </w:rPr>
        <w:t>Our portfolios are grouped per payor (i.e. each individual third-party insurance, Medicare, client payors, patient self-pay, etc.) and per test basis.</w:t>
      </w:r>
    </w:p>
    <w:p>
      <w:pPr>
        <w:spacing w:after="0" w:line="14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Collection of our net revenues from payors is normally a function of providing complete and correct billing information to the healthcare insurers and generally occurs within 30 to 90 days of billing.</w:t>
      </w:r>
    </w:p>
    <w:p>
      <w:pPr>
        <w:spacing w:after="0" w:line="14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w:t>
      </w:r>
    </w:p>
    <w:p>
      <w:pPr>
        <w:spacing w:after="0" w:line="13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December 2018, we entered into the Janssen Agreement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Our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series of single performance obligations since Janssen simultaneously receives and consumes the benefits provided by our sales and co-promotional services. The method for measuring progress towards satisfying the performance obligations is based on prescribed units in excess of the contractual baseline at the contractual rate earned per unit since the agreement is cancelable.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long-lived assets are comprised principally of our property and equipment, finite lived intangible assets, and goodwill.</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 reporting unit. We are required to recognize an impairment charge if the carrying amount of the reporting unit exceeds its fair value.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 determination, including the present values of expected future cash flows using discount rates commensurate with the risks involved in the assets and observed market multiples of operating cash flows.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years ended December 31, 2020 and 2019.</w:t>
      </w:r>
    </w:p>
    <w:p>
      <w:pPr>
        <w:spacing w:after="0" w:line="15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Following the completion of our IPO in September 2019, our stock price and associated market capitalization will also be considered in the determination of reporting unit fair value. A prolonged or significant decline in our share price could provide evidence of a need to record a material impairment to goodwill.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stock-based compensation expense of approximately $ 2.7 million and $0.6 million for the years ended December 31, 2020 and 2019, respectively. We expect to continue to grant stock options and other equity-based awards in the future, and to the extent that we do, our stock-based compensation expense recognized in future periods will likely increase.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1" w:name="page92"/>
    <w:bookmarkEnd w:id="91"/>
    <w:p>
      <w:pPr>
        <w:ind w:right="140"/>
        <w:spacing w:after="0" w:line="252" w:lineRule="auto"/>
        <w:rPr>
          <w:sz w:val="20"/>
          <w:szCs w:val="20"/>
          <w:color w:val="auto"/>
        </w:rPr>
      </w:pPr>
      <w:r>
        <w:rPr>
          <w:rFonts w:ascii="Arial" w:cs="Arial" w:eastAsia="Arial" w:hAnsi="Arial"/>
          <w:sz w:val="18"/>
          <w:szCs w:val="18"/>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9 to our audited financial statements included elsewhere in this Annual Report on Form 10-K for information concerning certain of the specific assumptions we used in applying the Black-Scholes option pricing model to determine the estimated fair value of our stock options granted in the years ended December 31, 2020 and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Our Common Stock</w:t>
      </w:r>
    </w:p>
    <w:p>
      <w:pPr>
        <w:spacing w:after="0" w:line="18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Prior to the completion of our IPO in September 2019,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Following the closing of our initial public offering, our board of directors determines the fair value of our common stock based on its closing price as reported on the date of grant on the primary stock exchange on which our common stock is traded.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Fair Value of Redeemable Convertible Preferred Stock Warrants and Other Financial Instruments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Prior to the IPO, we entered into agreements with existing stockholders of our redeemable convertible preferred stock that contained future purchase obligations of redeemable convertible preferred stock at a fixed price. We evaluated these share purchase right agreements and assessed whether they meet the definition of a freestanding instrument and, if so, determined the fair value of the share purchase right liability and recorded it on the balance sheet. The share purchase right liability was revalued at each reporting period with changes in the fair value of the liability recorded as a component of other income (expense) in the statement of operations. The share purchase right liability was revalued at settlement and the resultant fair value was then reclassified to redeemable convertible preferred stock at that time. The estimated fair value of the share purchase right liability was determined using valuation models that consider the probability of achieving the requisite milestones, our cost of capital, the estimated time period the preferred stock right would be outstanding, consideration received for the convertible preferred stock, the number of shares to be issued to satisfy the preferred stock purchase right and at what price, and probability of the consummation of an initial public offering, as applicable.</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accounted for our redeemable convertible preferred stock warrant liabilities as freestanding instruments for shares that were puttable or redeemable. These warrants were classified as liabilities on our balance sheet and were recorded at their estimated fair values. At the end of each reporting period, changes in estimated fair value during the period were recorded as a component of other income (expense), net in the accompanying statement of operations. We continued to re-measure the fair value of the warrant liabilities until: (i) exercise; (ii) expiration of the related warrant; or (iii) conversion of the preferred stock underlying the security into common stock, which occurred in connection with the completion of our IPO in September 2019. We estimated the fair values of our warrant liabilities using an option pricing model based on inputs as of the valuation measurement dates, including the fair value of our redeemable convertible preferred stock, the estimated volatility of the price of our redeemable convertible preferred stock, the expected term of the warrants and the risk-free interest rates.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significant judgments and estimates inherent in the determination of the fair values of our preferred stock purchase right liabilities and redeemable convertible preferred stock warrant liabilities. If we had made different assumptions, the carrying value of these liabilities, net loss and net loss per share attributable to common stockholders could have been significantly different.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right="260"/>
        <w:spacing w:after="0" w:line="291" w:lineRule="auto"/>
        <w:rPr>
          <w:sz w:val="20"/>
          <w:szCs w:val="20"/>
          <w:color w:val="auto"/>
        </w:rPr>
      </w:pPr>
      <w:r>
        <w:rPr>
          <w:rFonts w:ascii="Arial" w:cs="Arial" w:eastAsia="Arial" w:hAnsi="Arial"/>
          <w:sz w:val="17"/>
          <w:szCs w:val="17"/>
          <w:color w:val="auto"/>
        </w:rPr>
        <w:t>We operate in, and are subject to tax authorities in, various tax jurisdictions in the United States. To date, we have not been audited by the Internal Revenue Service or any state income tax authority. All tax years remain open for examination by federal and state tax authorities.</w:t>
      </w:r>
    </w:p>
    <w:p>
      <w:pPr>
        <w:spacing w:after="0" w:line="12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December 31, 2020, our deferred tax assets are primarily comprised of federal and state tax NOL carryforwards. We previously completed a study to assess whether an ownership change, as defined by Section 382 of the Code, had occurred from our formation through December 31, 2019. Based upon this study, we determined that ownership</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2" w:name="page93"/>
    <w:bookmarkEnd w:id="92"/>
    <w:p>
      <w:pPr>
        <w:ind w:right="40"/>
        <w:spacing w:after="0" w:line="254" w:lineRule="auto"/>
        <w:rPr>
          <w:sz w:val="20"/>
          <w:szCs w:val="20"/>
          <w:color w:val="auto"/>
        </w:rPr>
      </w:pPr>
      <w:r>
        <w:rPr>
          <w:rFonts w:ascii="Arial" w:cs="Arial" w:eastAsia="Arial" w:hAnsi="Arial"/>
          <w:sz w:val="18"/>
          <w:szCs w:val="18"/>
          <w:color w:val="auto"/>
        </w:rPr>
        <w:t>changes had occurred in 2003, 2008, 2012, 2017 and 2019, and that our ability to use a significant portion of our NOL carryforwards is subject to limitation under Section 382 of the Code as a result of a prior ownership change. In addition, federal NOL carryforwards generated in periods after December 31, 2017, may be carried forward indefinitely but, in taxable years beginning after December 31, 2020, may only be used to offset 80% of our taxable income.</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2020. We will continue to maintain a full valuation allowance on our deferred tax assets until there is sufficient evidence to support the reversal of all or some portion of this allowance.</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financial statements and notes thereto included elsewhere in this Annual Report on Form 10-K, which contain accounting policies and other disclosures required by GAAP.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Statements-Note 2-Recent Accounting Pronouncements" of our annual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3" w:name="page94"/>
    <w:bookmarkEnd w:id="93"/>
    <w:p>
      <w:pPr>
        <w:ind w:right="480"/>
        <w:spacing w:after="0" w:line="261"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 on Form 10-K.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2020,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provided by the JOBS Act for "emerging growth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Chief Operating Officer</w:t>
      </w:r>
    </w:p>
    <w:p>
      <w:pPr>
        <w:spacing w:after="0" w:line="17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On March 13, 2021, our board of directors appointed of Mark Hazeltine, age 47, as our Chief Operating Officer, effective as of March 15, 2021. Mark Hazeltine has served in various positions of increasing responsibility since joining Exagen in March 2015, including general manager. Mr. Hazeltine received his Bachelor of Business Administration degree from the University of San Diego and Master of Business Administration degree from the Marshall School of Business at the University of Southern California. Additional information regarding Mr. Hazeltine's background, business and experience will appear in our Definitive Proxy Statement on Schedule 14A, to be filed with the SEC within 120 days of the end of the fiscal year covered by this Annual Report on Form 10-K, under the heading's "Executive Officers."</w:t>
      </w:r>
    </w:p>
    <w:p>
      <w:pPr>
        <w:spacing w:after="0" w:line="139"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Pursuant to the terms of Mr. Hazeltine's offer letter, as amended effective as of March 15, 2021 in connection with his promotion, Mr. Hazeltine will receive an annual base salary of $375,950 and will be eligible to receive an annual incentive bonus at an initial target for calendar year 2021 of 45% of his annual base salary. The offer letter with Mr. Hazeltine provides for an indefinite term and for at-will employment. Mr. Hazeltine is also entitled to participate in all employee benefit plans, programs and arrangements maintained by the company and made available to employees generally.</w:t>
      </w:r>
    </w:p>
    <w:p>
      <w:pPr>
        <w:spacing w:after="0" w:line="151"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There are no family relationships between Mr. Hazeltine and any of our directors or executive officers that are required to be disclosed pursuant to Item 401(d) of Regulation S-K. In addition, there are no transactions between us and Mr. Hazeltine, or any member of Mr. Hazeltine's immediate family, that are required to be disclosed pursuant to Item 404(a) of Regulation 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Change in Control Severance Plan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15, 2021, the Compensation Committee of our board of directors adopted the Exagen Inc. Executive Change in Control Severance Plan, or the Severance Plan. The Severance Plan provides for the payment of cash severance and other benefits to our executives, including Fortunato Ron Rocca (President and Chief Executive Officer), Kamal Adawi (Chief Financial Officer and Corporate Secretary) and Mark Hazeltine (Chief Operating Officer), in the event of a qualifying termination of employment with us in connection with a change in control.</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Under the Severance Plan, in the event of a termination of an executive’s employment by us without “cause” or by the executive for “good reason”, in either case, on or within twelve months following a “change in control”, the executive will be eligible to receive the following payments and benefits:</w:t>
      </w:r>
    </w:p>
    <w:p>
      <w:pPr>
        <w:spacing w:after="0" w:line="94" w:lineRule="exact"/>
        <w:rPr>
          <w:sz w:val="20"/>
          <w:szCs w:val="20"/>
          <w:color w:val="auto"/>
        </w:rPr>
      </w:pPr>
    </w:p>
    <w:p>
      <w:pPr>
        <w:ind w:left="660" w:right="80" w:hanging="328"/>
        <w:spacing w:after="0" w:line="22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cash payment equal to 100% (or, for Mr. Rocca, 125%) of the sum of (i) the executive’s then-current annual base salary, plus (ii) the executive’s target cash performance bonus for the year in which the termination occurs, to be paid in a lump sum on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executive’s termination;</w:t>
      </w:r>
    </w:p>
    <w:p>
      <w:pPr>
        <w:spacing w:after="0" w:line="108"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w:t>
      </w:r>
    </w:p>
    <w:p>
      <w:pPr>
        <w:spacing w:after="0" w:line="89"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Company-subsidized COBRA premium payments for the executive and his or her covered dependents for up to 12 (or, for Mr. Rocca, 15) months;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 of our company that vest solely based on the passage of time.</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executive’s right to receive the severance payments and benefits described above is subject to the executive’s delivery and, as applicable, non-revocation of a general release of claims in our favor and the executive’s continued compliance with any applicable restrictive covenants.</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addition, in the event that any payment under the Severance Plan, together with any other amounts paid to the executive by us, would subject the executive to an excise tax under Section 4999 of the Internal Revenue Code, such payments will be reduced to the extent that such reduction would produce a better net after-tax result for the executive.</w:t>
      </w:r>
    </w:p>
    <w:p>
      <w:pPr>
        <w:spacing w:after="0" w:line="14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foregoing description of the Severance Plan is qualified in its entirety by reference to the full text of the Severance Plan, a copy of which is filed as Exhibit 10.46 to this Annual Report on Form 10-K and is incorporated herein by reference.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adopted a Code of Business Conduct and Ethics that applies to our officers, directors and employees, which is available on our website at www.exagen.com.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9" w:right="379" w:bottom="1440" w:gutter="0" w:footer="0" w:header="0"/>
        </w:sectPr>
      </w:pPr>
    </w:p>
    <w:bookmarkStart w:id="96" w:name="page97"/>
    <w:bookmarkEnd w:id="96"/>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financial statements of Exagen Inc., together with the report thereon of BDO USA, LLP, an independent registered public accounting firm, are included in this annual report on Form 10-K beginning on page 96.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list of exhibits is set form on the Exhibit Index immediately preceding the signature page of this Annual Report on Form 10-K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29" w:right="719" w:bottom="1440" w:gutter="0" w:footer="0" w:header="0"/>
        </w:sectPr>
      </w:pPr>
    </w:p>
    <w:bookmarkStart w:id="97" w:name="page98"/>
    <w:bookmarkEnd w:id="97"/>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99"/>
              </w:rPr>
              <w:t>Exagen Inc.</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840" w:type="dxa"/>
            <w:vAlign w:val="bottom"/>
            <w:gridSpan w:val="4"/>
          </w:tcPr>
          <w:p>
            <w:pPr>
              <w:jc w:val="center"/>
              <w:ind w:right="1900"/>
              <w:spacing w:after="0"/>
              <w:rPr>
                <w:sz w:val="20"/>
                <w:szCs w:val="20"/>
                <w:color w:val="auto"/>
              </w:rPr>
            </w:pPr>
            <w:r>
              <w:rPr>
                <w:rFonts w:ascii="Arial" w:cs="Arial" w:eastAsia="Arial" w:hAnsi="Arial"/>
                <w:sz w:val="18"/>
                <w:szCs w:val="18"/>
                <w:b w:val="1"/>
                <w:bCs w:val="1"/>
                <w:color w:val="auto"/>
                <w:w w:val="99"/>
              </w:rPr>
              <w:t>Index to Financial Statements</w:t>
            </w:r>
          </w:p>
        </w:tc>
        <w:tc>
          <w:tcPr>
            <w:tcW w:w="2240" w:type="dxa"/>
            <w:vAlign w:val="bottom"/>
            <w:gridSpan w:val="3"/>
            <w:vMerge w:val="restart"/>
          </w:tcPr>
          <w:p>
            <w:pPr>
              <w:ind w:left="9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5"/>
        </w:trPr>
        <w:tc>
          <w:tcPr>
            <w:tcW w:w="2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980" w:type="dxa"/>
            <w:vAlign w:val="bottom"/>
            <w:gridSpan w:val="6"/>
          </w:tcPr>
          <w:p>
            <w:pPr>
              <w:spacing w:after="0" w:line="182" w:lineRule="exact"/>
              <w:rPr>
                <w:rFonts w:ascii="Arial" w:cs="Arial" w:eastAsia="Arial" w:hAnsi="Arial"/>
                <w:sz w:val="18"/>
                <w:szCs w:val="18"/>
                <w:color w:val="0000FF"/>
              </w:rPr>
            </w:pPr>
            <w:hyperlink w:anchor="page98">
              <w:r>
                <w:rPr>
                  <w:rFonts w:ascii="Arial" w:cs="Arial" w:eastAsia="Arial" w:hAnsi="Arial"/>
                  <w:sz w:val="18"/>
                  <w:szCs w:val="18"/>
                  <w:color w:val="0000FF"/>
                </w:rPr>
                <w:t>Report of Independent Registered Public Accounting Firm</w:t>
              </w:r>
            </w:hyperlink>
          </w:p>
        </w:tc>
        <w:tc>
          <w:tcPr>
            <w:tcW w:w="1220" w:type="dxa"/>
            <w:vAlign w:val="bottom"/>
            <w:gridSpan w:val="2"/>
          </w:tcPr>
          <w:p>
            <w:pPr>
              <w:jc w:val="center"/>
              <w:ind w:left="930"/>
              <w:spacing w:after="0" w:line="182" w:lineRule="exact"/>
              <w:rPr>
                <w:rFonts w:ascii="Arial" w:cs="Arial" w:eastAsia="Arial" w:hAnsi="Arial"/>
                <w:sz w:val="18"/>
                <w:szCs w:val="18"/>
                <w:color w:val="0000FF"/>
                <w:w w:val="99"/>
              </w:rPr>
            </w:pPr>
            <w:hyperlink w:anchor="page98">
              <w:r>
                <w:rPr>
                  <w:rFonts w:ascii="Arial" w:cs="Arial" w:eastAsia="Arial" w:hAnsi="Arial"/>
                  <w:sz w:val="18"/>
                  <w:szCs w:val="18"/>
                  <w:color w:val="0000FF"/>
                  <w:w w:val="99"/>
                </w:rPr>
                <w:t>96</w:t>
              </w:r>
            </w:hyperlink>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Balance Sheets as of December 31, 2020 and 2019</w:t>
              </w:r>
            </w:hyperlink>
          </w:p>
        </w:tc>
        <w:tc>
          <w:tcPr>
            <w:tcW w:w="460" w:type="dxa"/>
            <w:vAlign w:val="bottom"/>
          </w:tcPr>
          <w:p>
            <w:pPr>
              <w:spacing w:after="0"/>
              <w:rPr>
                <w:sz w:val="18"/>
                <w:szCs w:val="18"/>
                <w:color w:val="auto"/>
              </w:rPr>
            </w:pPr>
          </w:p>
        </w:tc>
        <w:tc>
          <w:tcPr>
            <w:tcW w:w="4380" w:type="dxa"/>
            <w:vAlign w:val="bottom"/>
            <w:gridSpan w:val="3"/>
          </w:tcPr>
          <w:p>
            <w:pPr>
              <w:spacing w:after="0"/>
              <w:rPr>
                <w:sz w:val="18"/>
                <w:szCs w:val="18"/>
                <w:color w:val="auto"/>
              </w:rPr>
            </w:pPr>
          </w:p>
        </w:tc>
        <w:tc>
          <w:tcPr>
            <w:tcW w:w="1220" w:type="dxa"/>
            <w:vAlign w:val="bottom"/>
            <w:gridSpan w:val="2"/>
          </w:tcPr>
          <w:p>
            <w:pPr>
              <w:jc w:val="center"/>
              <w:ind w:left="930"/>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97</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4"/>
          </w:tcPr>
          <w:p>
            <w:pPr>
              <w:spacing w:after="0"/>
              <w:rPr>
                <w:rFonts w:ascii="Arial" w:cs="Arial" w:eastAsia="Arial" w:hAnsi="Arial"/>
                <w:sz w:val="18"/>
                <w:szCs w:val="18"/>
                <w:color w:val="0000FF"/>
                <w:w w:val="99"/>
              </w:rPr>
            </w:pPr>
            <w:hyperlink w:anchor="page100">
              <w:r>
                <w:rPr>
                  <w:rFonts w:ascii="Arial" w:cs="Arial" w:eastAsia="Arial" w:hAnsi="Arial"/>
                  <w:sz w:val="18"/>
                  <w:szCs w:val="18"/>
                  <w:color w:val="0000FF"/>
                  <w:w w:val="99"/>
                </w:rPr>
                <w:t>Statements of Operations for the Years Ended December 31, 2020 and 2019</w:t>
              </w:r>
            </w:hyperlink>
          </w:p>
        </w:tc>
        <w:tc>
          <w:tcPr>
            <w:tcW w:w="2860" w:type="dxa"/>
            <w:vAlign w:val="bottom"/>
            <w:gridSpan w:val="2"/>
          </w:tcPr>
          <w:p>
            <w:pPr>
              <w:spacing w:after="0"/>
              <w:rPr>
                <w:sz w:val="18"/>
                <w:szCs w:val="18"/>
                <w:color w:val="auto"/>
              </w:rPr>
            </w:pPr>
          </w:p>
        </w:tc>
        <w:tc>
          <w:tcPr>
            <w:tcW w:w="1220" w:type="dxa"/>
            <w:vAlign w:val="bottom"/>
            <w:gridSpan w:val="2"/>
          </w:tcPr>
          <w:p>
            <w:pPr>
              <w:jc w:val="center"/>
              <w:ind w:left="930"/>
              <w:spacing w:after="0"/>
              <w:rPr>
                <w:rFonts w:ascii="Arial" w:cs="Arial" w:eastAsia="Arial" w:hAnsi="Arial"/>
                <w:sz w:val="18"/>
                <w:szCs w:val="18"/>
                <w:color w:val="0000FF"/>
                <w:w w:val="99"/>
              </w:rPr>
            </w:pPr>
            <w:hyperlink w:anchor="page100">
              <w:r>
                <w:rPr>
                  <w:rFonts w:ascii="Arial" w:cs="Arial" w:eastAsia="Arial" w:hAnsi="Arial"/>
                  <w:sz w:val="18"/>
                  <w:szCs w:val="18"/>
                  <w:color w:val="0000FF"/>
                  <w:w w:val="99"/>
                </w:rPr>
                <w:t>98</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6"/>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Statements of Redeemable Convertible Preferred Stock and Stockholders' Equity for the Years Ended</w:t>
              </w:r>
            </w:hyperlink>
          </w:p>
        </w:tc>
        <w:tc>
          <w:tcPr>
            <w:tcW w:w="1220" w:type="dxa"/>
            <w:vAlign w:val="bottom"/>
            <w:gridSpan w:val="2"/>
            <w:vMerge w:val="restart"/>
          </w:tcPr>
          <w:p>
            <w:pPr>
              <w:jc w:val="center"/>
              <w:ind w:left="930"/>
              <w:spacing w:after="0"/>
              <w:rPr>
                <w:rFonts w:ascii="Arial" w:cs="Arial" w:eastAsia="Arial" w:hAnsi="Arial"/>
                <w:sz w:val="18"/>
                <w:szCs w:val="18"/>
                <w:color w:val="0000FF"/>
                <w:w w:val="99"/>
              </w:rPr>
            </w:pPr>
            <w:hyperlink w:anchor="page101">
              <w:r>
                <w:rPr>
                  <w:rFonts w:ascii="Arial" w:cs="Arial" w:eastAsia="Arial" w:hAnsi="Arial"/>
                  <w:sz w:val="18"/>
                  <w:szCs w:val="18"/>
                  <w:color w:val="0000FF"/>
                  <w:w w:val="99"/>
                </w:rPr>
                <w:t>99</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1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December 31, 2020 and 2019</w:t>
              </w:r>
            </w:hyperlink>
          </w:p>
        </w:tc>
        <w:tc>
          <w:tcPr>
            <w:tcW w:w="8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4"/>
          </w:tcPr>
          <w:p>
            <w:pPr>
              <w:spacing w:after="0"/>
              <w:rPr>
                <w:rFonts w:ascii="Arial" w:cs="Arial" w:eastAsia="Arial" w:hAnsi="Arial"/>
                <w:sz w:val="18"/>
                <w:szCs w:val="18"/>
                <w:color w:val="0000FF"/>
                <w:w w:val="98"/>
              </w:rPr>
            </w:pPr>
            <w:hyperlink w:anchor="page102">
              <w:r>
                <w:rPr>
                  <w:rFonts w:ascii="Arial" w:cs="Arial" w:eastAsia="Arial" w:hAnsi="Arial"/>
                  <w:sz w:val="18"/>
                  <w:szCs w:val="18"/>
                  <w:color w:val="0000FF"/>
                  <w:w w:val="98"/>
                </w:rPr>
                <w:t>Statements of Cash Flows for the Years Ended December 31, 2020 and 2019</w:t>
              </w:r>
            </w:hyperlink>
          </w:p>
        </w:tc>
        <w:tc>
          <w:tcPr>
            <w:tcW w:w="28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2"/>
          </w:tcPr>
          <w:p>
            <w:pPr>
              <w:jc w:val="center"/>
              <w:ind w:right="980"/>
              <w:spacing w:after="0"/>
              <w:rPr>
                <w:rFonts w:ascii="Arial" w:cs="Arial" w:eastAsia="Arial" w:hAnsi="Arial"/>
                <w:sz w:val="18"/>
                <w:szCs w:val="18"/>
                <w:color w:val="0000FF"/>
                <w:w w:val="79"/>
              </w:rPr>
            </w:pPr>
            <w:hyperlink w:anchor="page102">
              <w:r>
                <w:rPr>
                  <w:rFonts w:ascii="Arial" w:cs="Arial" w:eastAsia="Arial" w:hAnsi="Arial"/>
                  <w:sz w:val="18"/>
                  <w:szCs w:val="18"/>
                  <w:color w:val="0000FF"/>
                  <w:w w:val="79"/>
                </w:rPr>
                <w:t>100</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4"/>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Notes to Financial Statements</w:t>
              </w:r>
            </w:hyperlink>
          </w:p>
        </w:tc>
        <w:tc>
          <w:tcPr>
            <w:tcW w:w="28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2"/>
          </w:tcPr>
          <w:p>
            <w:pPr>
              <w:jc w:val="center"/>
              <w:ind w:right="980"/>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101</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98" w:name="page99"/>
    <w:bookmarkEnd w:id="98"/>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4" w:lineRule="auto"/>
        <w:rPr>
          <w:sz w:val="20"/>
          <w:szCs w:val="20"/>
          <w:color w:val="auto"/>
        </w:rPr>
      </w:pPr>
      <w:r>
        <w:rPr>
          <w:rFonts w:ascii="Arial" w:cs="Arial" w:eastAsia="Arial" w:hAnsi="Arial"/>
          <w:sz w:val="18"/>
          <w:szCs w:val="18"/>
          <w:color w:val="auto"/>
        </w:rPr>
        <w:t>Exagen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audited the accompanying balance sheets of Exagen Inc. (“the Company”) as of December 31, 2020 and 2019, the related statements of operations, redeemable convertible preferred stock and stockholders’ equity, and cash flows for the years then ended,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9" w:right="419" w:bottom="1440" w:gutter="0" w:footer="0" w:header="0"/>
        </w:sectPr>
      </w:pPr>
    </w:p>
    <w:bookmarkStart w:id="99" w:name="page100"/>
    <w:bookmarkEnd w:id="99"/>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189"/>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8,910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83"/>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70,517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3"/>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26,659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December 31, 2020 and</w:t>
            </w:r>
          </w:p>
        </w:tc>
        <w:tc>
          <w:tcPr>
            <w:tcW w:w="2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2019</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December 31, 2020 and December 31, 2019; 12,652,308</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12,560,990 shares issued and outstanding at December 31, 2020 and December 31, 2019, respectively</w:t>
            </w:r>
          </w:p>
        </w:tc>
        <w:tc>
          <w:tcPr>
            <w:tcW w:w="2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223,115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78,375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0" w:name="page101"/>
    <w:bookmarkEnd w:id="100"/>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40,387</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18,808</w:t>
            </w:r>
          </w:p>
        </w:tc>
        <w:tc>
          <w:tcPr>
            <w:tcW w:w="0" w:type="dxa"/>
            <w:vAlign w:val="bottom"/>
          </w:tcPr>
          <w:p>
            <w:pPr>
              <w:spacing w:after="0"/>
              <w:rPr>
                <w:sz w:val="1"/>
                <w:szCs w:val="1"/>
                <w:color w:val="auto"/>
              </w:rPr>
            </w:pPr>
          </w:p>
        </w:tc>
      </w:tr>
      <w:tr>
        <w:trPr>
          <w:trHeight w:val="189"/>
        </w:trPr>
        <w:tc>
          <w:tcPr>
            <w:tcW w:w="83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28,702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49,686</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(12,013)</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(expense)</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(12,038)</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3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(13,601)</w:t>
            </w:r>
          </w:p>
        </w:tc>
        <w:tc>
          <w:tcPr>
            <w:tcW w:w="0" w:type="dxa"/>
            <w:vAlign w:val="bottom"/>
          </w:tcPr>
          <w:p>
            <w:pPr>
              <w:spacing w:after="0"/>
              <w:rPr>
                <w:sz w:val="1"/>
                <w:szCs w:val="1"/>
                <w:color w:val="auto"/>
              </w:rPr>
            </w:pPr>
          </w:p>
        </w:tc>
      </w:tr>
      <w:tr>
        <w:trPr>
          <w:trHeight w:val="183"/>
        </w:trPr>
        <w:tc>
          <w:tcPr>
            <w:tcW w:w="836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 (Note 2)</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(16,687)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(30,279)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12,632,780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3,578,771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1" w:name="page102"/>
    <w:bookmarkEnd w:id="101"/>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680" w:type="dxa"/>
            <w:vAlign w:val="bottom"/>
            <w:gridSpan w:val="3"/>
          </w:tcPr>
          <w:p>
            <w:pPr>
              <w:jc w:val="center"/>
              <w:ind w:left="630"/>
              <w:spacing w:after="0"/>
              <w:rPr>
                <w:sz w:val="20"/>
                <w:szCs w:val="20"/>
                <w:color w:val="auto"/>
              </w:rPr>
            </w:pPr>
            <w:r>
              <w:rPr>
                <w:rFonts w:ascii="Arial" w:cs="Arial" w:eastAsia="Arial" w:hAnsi="Arial"/>
                <w:sz w:val="13"/>
                <w:szCs w:val="13"/>
                <w:b w:val="1"/>
                <w:bCs w:val="1"/>
                <w:color w:val="auto"/>
                <w:w w:val="96"/>
              </w:rPr>
              <w:t>Redeemable</w:t>
            </w: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680" w:type="dxa"/>
            <w:vAlign w:val="bottom"/>
            <w:gridSpan w:val="3"/>
          </w:tcPr>
          <w:p>
            <w:pPr>
              <w:jc w:val="center"/>
              <w:ind w:left="610"/>
              <w:spacing w:after="0" w:line="122" w:lineRule="exact"/>
              <w:rPr>
                <w:sz w:val="20"/>
                <w:szCs w:val="20"/>
                <w:color w:val="auto"/>
              </w:rPr>
            </w:pPr>
            <w:r>
              <w:rPr>
                <w:rFonts w:ascii="Arial" w:cs="Arial" w:eastAsia="Arial" w:hAnsi="Arial"/>
                <w:sz w:val="13"/>
                <w:szCs w:val="13"/>
                <w:b w:val="1"/>
                <w:bCs w:val="1"/>
                <w:color w:val="auto"/>
                <w:w w:val="95"/>
              </w:rPr>
              <w:t>Convertible</w:t>
            </w: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680" w:type="dxa"/>
            <w:vAlign w:val="bottom"/>
            <w:gridSpan w:val="3"/>
          </w:tcPr>
          <w:p>
            <w:pPr>
              <w:jc w:val="center"/>
              <w:ind w:left="630"/>
              <w:spacing w:after="0" w:line="122" w:lineRule="exact"/>
              <w:rPr>
                <w:sz w:val="20"/>
                <w:szCs w:val="20"/>
                <w:color w:val="auto"/>
              </w:rPr>
            </w:pPr>
            <w:r>
              <w:rPr>
                <w:rFonts w:ascii="Arial" w:cs="Arial" w:eastAsia="Arial" w:hAnsi="Arial"/>
                <w:sz w:val="13"/>
                <w:szCs w:val="13"/>
                <w:b w:val="1"/>
                <w:bCs w:val="1"/>
                <w:color w:val="auto"/>
                <w:w w:val="97"/>
              </w:rPr>
              <w:t>Preferred Stock</w:t>
            </w: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9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10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4"/>
                <w:szCs w:val="4"/>
                <w:color w:val="auto"/>
              </w:rPr>
            </w:pPr>
          </w:p>
        </w:tc>
        <w:tc>
          <w:tcPr>
            <w:tcW w:w="1040" w:type="dxa"/>
            <w:vAlign w:val="bottom"/>
            <w:vMerge w:val="restart"/>
          </w:tcPr>
          <w:p>
            <w:pPr>
              <w:jc w:val="center"/>
              <w:ind w:right="7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80" w:type="dxa"/>
            <w:vAlign w:val="bottom"/>
            <w:vMerge w:val="restart"/>
          </w:tcPr>
          <w:p>
            <w:pPr>
              <w:jc w:val="right"/>
              <w:ind w:right="410"/>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vMerge w:val="restart"/>
          </w:tcPr>
          <w:p>
            <w:pPr>
              <w:spacing w:after="0" w:line="20" w:lineRule="exact"/>
              <w:rPr>
                <w:sz w:val="1"/>
                <w:szCs w:val="1"/>
                <w:color w:val="auto"/>
              </w:rPr>
            </w:pPr>
          </w:p>
        </w:tc>
        <w:tc>
          <w:tcPr>
            <w:tcW w:w="10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right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532,606,084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105,232</w:t>
            </w:r>
          </w:p>
        </w:tc>
        <w:tc>
          <w:tcPr>
            <w:tcW w:w="120" w:type="dxa"/>
            <w:vAlign w:val="bottom"/>
            <w:tcBorders>
              <w:right w:val="single" w:sz="8" w:color="auto"/>
            </w:tcBorders>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Accretion of redeemable convertible</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4,640</w:t>
            </w:r>
          </w:p>
        </w:tc>
        <w:tc>
          <w:tcPr>
            <w:tcW w:w="120" w:type="dxa"/>
            <w:vAlign w:val="bottom"/>
            <w:tcBorders>
              <w:right w:val="single" w:sz="8" w:color="auto"/>
            </w:tcBorders>
          </w:tcPr>
          <w:p>
            <w:pPr>
              <w:spacing w:after="0"/>
              <w:rPr>
                <w:sz w:val="13"/>
                <w:szCs w:val="13"/>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preferred stock</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32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Series G redeemable</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convertible preferred stock for aggregate</w:t>
            </w: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proceeds of $0.078 per share, net of</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148,928,337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11,492</w:t>
            </w:r>
          </w:p>
        </w:tc>
        <w:tc>
          <w:tcPr>
            <w:tcW w:w="120" w:type="dxa"/>
            <w:vAlign w:val="bottom"/>
            <w:tcBorders>
              <w:right w:val="single" w:sz="8" w:color="auto"/>
            </w:tcBorders>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costs of $124 (Note 7)</w:t>
            </w:r>
          </w:p>
        </w:tc>
        <w:tc>
          <w:tcPr>
            <w:tcW w:w="13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Issuance of Series H redeemable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60"/>
              <w:spacing w:after="0" w:line="135" w:lineRule="exact"/>
              <w:rPr>
                <w:sz w:val="20"/>
                <w:szCs w:val="20"/>
                <w:color w:val="auto"/>
              </w:rPr>
            </w:pPr>
            <w:r>
              <w:rPr>
                <w:rFonts w:ascii="Arial" w:cs="Arial" w:eastAsia="Arial" w:hAnsi="Arial"/>
                <w:sz w:val="14"/>
                <w:szCs w:val="14"/>
                <w:color w:val="auto"/>
              </w:rPr>
              <w:t>convertible preferred stock for aggregate</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60"/>
              <w:spacing w:after="0" w:line="135" w:lineRule="exact"/>
              <w:rPr>
                <w:sz w:val="20"/>
                <w:szCs w:val="20"/>
                <w:color w:val="auto"/>
              </w:rPr>
            </w:pPr>
            <w:r>
              <w:rPr>
                <w:rFonts w:ascii="Arial" w:cs="Arial" w:eastAsia="Arial" w:hAnsi="Arial"/>
                <w:sz w:val="14"/>
                <w:szCs w:val="14"/>
                <w:color w:val="auto"/>
              </w:rPr>
              <w:t>proceeds of $0.047 per share, net of</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233,446,519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3,941</w:t>
            </w:r>
          </w:p>
        </w:tc>
        <w:tc>
          <w:tcPr>
            <w:tcW w:w="120" w:type="dxa"/>
            <w:vAlign w:val="bottom"/>
            <w:tcBorders>
              <w:right w:val="single" w:sz="8" w:color="auto"/>
            </w:tcBorders>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issuance costs of $318 (Note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Deemed dividend recognized on beneficial</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conversion features of Series H</w:t>
            </w: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redeemable convertible preferred stock</w:t>
            </w: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6,741</w:t>
            </w:r>
          </w:p>
        </w:tc>
        <w:tc>
          <w:tcPr>
            <w:tcW w:w="120" w:type="dxa"/>
            <w:vAlign w:val="bottom"/>
            <w:tcBorders>
              <w:right w:val="single" w:sz="8" w:color="auto"/>
            </w:tcBorders>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(Note 7)</w:t>
            </w:r>
          </w:p>
        </w:tc>
        <w:tc>
          <w:tcPr>
            <w:tcW w:w="15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Deemed dividend from conversion of</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60"/>
              <w:spacing w:after="0" w:line="135" w:lineRule="exact"/>
              <w:rPr>
                <w:sz w:val="20"/>
                <w:szCs w:val="20"/>
                <w:color w:val="auto"/>
              </w:rPr>
            </w:pPr>
            <w:r>
              <w:rPr>
                <w:rFonts w:ascii="Arial" w:cs="Arial" w:eastAsia="Arial" w:hAnsi="Arial"/>
                <w:sz w:val="14"/>
                <w:szCs w:val="14"/>
                <w:color w:val="auto"/>
              </w:rPr>
              <w:t>Series G to Series H redeemable</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97,592,739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6,860</w:t>
            </w:r>
          </w:p>
        </w:tc>
        <w:tc>
          <w:tcPr>
            <w:tcW w:w="120" w:type="dxa"/>
            <w:vAlign w:val="bottom"/>
            <w:tcBorders>
              <w:right w:val="single" w:sz="8" w:color="auto"/>
            </w:tcBorders>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(6,860)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convertible preferred stock (Note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Conversion of preferred stock to common</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stock in connection with initial public</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(1,012,573,679)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(138,906)</w:t>
            </w:r>
          </w:p>
        </w:tc>
        <w:tc>
          <w:tcPr>
            <w:tcW w:w="120" w:type="dxa"/>
            <w:vAlign w:val="bottom"/>
            <w:tcBorders>
              <w:right w:val="single" w:sz="8" w:color="auto"/>
            </w:tcBorders>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7,816,643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138,898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138,906</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offering (Note 7)</w:t>
            </w:r>
          </w:p>
        </w:tc>
        <w:tc>
          <w:tcPr>
            <w:tcW w:w="13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Issuance of common stock in initial public</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60"/>
              <w:spacing w:after="0" w:line="135" w:lineRule="exact"/>
              <w:rPr>
                <w:sz w:val="20"/>
                <w:szCs w:val="20"/>
                <w:color w:val="auto"/>
              </w:rPr>
            </w:pPr>
            <w:r>
              <w:rPr>
                <w:rFonts w:ascii="Arial" w:cs="Arial" w:eastAsia="Arial" w:hAnsi="Arial"/>
                <w:sz w:val="14"/>
                <w:szCs w:val="14"/>
                <w:color w:val="auto"/>
              </w:rPr>
              <w:t>offering, net of underwriting discount,</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4,140,000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50,440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50,444</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commissions and issuance costs (Note 8)</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Net exercise of common and preferred</w:t>
            </w: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539,794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warrants</w:t>
            </w:r>
          </w:p>
        </w:tc>
        <w:tc>
          <w:tcPr>
            <w:tcW w:w="15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Reclassification of redeemable convertible</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preferred stock warrant liabilities as equity</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(12,038)</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12,560,990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220,248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(164,602)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47,549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11,649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Purchase Plan</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89"/>
        </w:trPr>
        <w:tc>
          <w:tcPr>
            <w:tcW w:w="3240" w:type="dxa"/>
            <w:vAlign w:val="bottom"/>
          </w:tcPr>
          <w:p>
            <w:pPr>
              <w:ind w:left="360"/>
              <w:spacing w:after="0"/>
              <w:rPr>
                <w:sz w:val="20"/>
                <w:szCs w:val="20"/>
                <w:color w:val="auto"/>
              </w:rPr>
            </w:pPr>
            <w:r>
              <w:rPr>
                <w:rFonts w:ascii="Arial" w:cs="Arial" w:eastAsia="Arial" w:hAnsi="Arial"/>
                <w:sz w:val="14"/>
                <w:szCs w:val="14"/>
                <w:color w:val="auto"/>
              </w:rPr>
              <w:t>Exercise of common stock warrants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32,120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12,652,308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223,115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(181,289)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2" w:name="page103"/>
    <w:bookmarkEnd w:id="102"/>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3"/>
                <w:szCs w:val="13"/>
                <w:b w:val="1"/>
                <w:bCs w:val="1"/>
                <w:color w:val="auto"/>
              </w:rPr>
              <w:t>Years Ended December 31,</w:t>
            </w:r>
          </w:p>
        </w:tc>
      </w:tr>
      <w:tr>
        <w:trPr>
          <w:trHeight w:val="172"/>
        </w:trPr>
        <w:tc>
          <w:tcPr>
            <w:tcW w:w="8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2019</w:t>
            </w:r>
          </w:p>
        </w:tc>
      </w:tr>
      <w:tr>
        <w:trPr>
          <w:trHeight w:val="173"/>
        </w:trPr>
        <w:tc>
          <w:tcPr>
            <w:tcW w:w="8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(16,687)</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(12,038)</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90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591</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debt discount and debt issuance costs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r>
      <w:tr>
        <w:trPr>
          <w:trHeight w:val="168"/>
        </w:trPr>
        <w:tc>
          <w:tcPr>
            <w:tcW w:w="8900" w:type="dxa"/>
            <w:vAlign w:val="bottom"/>
          </w:tcPr>
          <w:p>
            <w:pPr>
              <w:ind w:left="360"/>
              <w:spacing w:after="0"/>
              <w:rPr>
                <w:sz w:val="20"/>
                <w:szCs w:val="20"/>
                <w:color w:val="auto"/>
              </w:rPr>
            </w:pPr>
            <w:r>
              <w:rPr>
                <w:rFonts w:ascii="Arial" w:cs="Arial" w:eastAsia="Arial" w:hAnsi="Arial"/>
                <w:sz w:val="13"/>
                <w:szCs w:val="13"/>
                <w:color w:val="auto"/>
              </w:rPr>
              <w:t>Non-cash interest expense</w:t>
            </w:r>
          </w:p>
        </w:tc>
        <w:tc>
          <w:tcPr>
            <w:tcW w:w="2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184"/>
        </w:trPr>
        <w:tc>
          <w:tcPr>
            <w:tcW w:w="8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Revaluation of warrant liabilities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r>
      <w:tr>
        <w:trPr>
          <w:trHeight w:val="168"/>
        </w:trPr>
        <w:tc>
          <w:tcPr>
            <w:tcW w:w="8900" w:type="dxa"/>
            <w:vAlign w:val="bottom"/>
          </w:tcPr>
          <w:p>
            <w:pPr>
              <w:ind w:left="360"/>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Loss on disposal of assets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8"/>
        </w:trPr>
        <w:tc>
          <w:tcPr>
            <w:tcW w:w="8900" w:type="dxa"/>
            <w:vAlign w:val="bottom"/>
          </w:tcPr>
          <w:p>
            <w:pPr>
              <w:ind w:left="360"/>
              <w:spacing w:after="0"/>
              <w:rPr>
                <w:sz w:val="20"/>
                <w:szCs w:val="20"/>
                <w:color w:val="auto"/>
              </w:rPr>
            </w:pPr>
            <w:r>
              <w:rPr>
                <w:rFonts w:ascii="Arial" w:cs="Arial" w:eastAsia="Arial" w:hAnsi="Arial"/>
                <w:sz w:val="13"/>
                <w:szCs w:val="13"/>
                <w:color w:val="auto"/>
              </w:rPr>
              <w:t>Stock-based compensation</w:t>
            </w:r>
          </w:p>
        </w:tc>
        <w:tc>
          <w:tcPr>
            <w:tcW w:w="2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2,694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572</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Changes in assets and liabilities: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900" w:type="dxa"/>
            <w:vAlign w:val="bottom"/>
          </w:tcPr>
          <w:p>
            <w:pPr>
              <w:ind w:left="680"/>
              <w:spacing w:after="0"/>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237</w:t>
            </w:r>
          </w:p>
        </w:tc>
      </w:tr>
      <w:tr>
        <w:trPr>
          <w:trHeight w:val="183"/>
        </w:trPr>
        <w:tc>
          <w:tcPr>
            <w:tcW w:w="89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w:t>
            </w:r>
          </w:p>
        </w:tc>
      </w:tr>
      <w:tr>
        <w:trPr>
          <w:trHeight w:val="168"/>
        </w:trPr>
        <w:tc>
          <w:tcPr>
            <w:tcW w:w="890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83"/>
        </w:trPr>
        <w:tc>
          <w:tcPr>
            <w:tcW w:w="89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r>
      <w:tr>
        <w:trPr>
          <w:trHeight w:val="169"/>
        </w:trPr>
        <w:tc>
          <w:tcPr>
            <w:tcW w:w="89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Accrued and other current liabilities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1,596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w:t>
            </w:r>
          </w:p>
        </w:tc>
      </w:tr>
      <w:tr>
        <w:trPr>
          <w:trHeight w:val="176"/>
        </w:trPr>
        <w:tc>
          <w:tcPr>
            <w:tcW w:w="890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Net cash used in operating activities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(9,711)</w:t>
            </w:r>
          </w:p>
        </w:tc>
      </w:tr>
      <w:tr>
        <w:trPr>
          <w:trHeight w:val="172"/>
        </w:trPr>
        <w:tc>
          <w:tcPr>
            <w:tcW w:w="89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9"/>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r>
      <w:tr>
        <w:trPr>
          <w:trHeight w:val="169"/>
        </w:trPr>
        <w:tc>
          <w:tcPr>
            <w:tcW w:w="890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2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75"/>
        </w:trPr>
        <w:tc>
          <w:tcPr>
            <w:tcW w:w="8900" w:type="dxa"/>
            <w:vAlign w:val="bottom"/>
            <w:tcBorders>
              <w:top w:val="single" w:sz="8" w:color="CCEEFF"/>
            </w:tcBorders>
            <w:shd w:val="clear" w:color="auto" w:fill="CCEEFF"/>
          </w:tcPr>
          <w:p>
            <w:pPr>
              <w:ind w:left="360"/>
              <w:spacing w:after="0" w:line="146" w:lineRule="exact"/>
              <w:rPr>
                <w:sz w:val="20"/>
                <w:szCs w:val="20"/>
                <w:color w:val="auto"/>
              </w:rPr>
            </w:pPr>
            <w:r>
              <w:rPr>
                <w:rFonts w:ascii="Arial" w:cs="Arial" w:eastAsia="Arial" w:hAnsi="Arial"/>
                <w:sz w:val="13"/>
                <w:szCs w:val="13"/>
                <w:color w:val="auto"/>
              </w:rPr>
              <w:t>Net cash used in investing activities</w:t>
            </w: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72"/>
        </w:trPr>
        <w:tc>
          <w:tcPr>
            <w:tcW w:w="890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9"/>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common stock upon exercise of stock options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Proceeds from common stock issued under Employee Stock Purchase Plan</w:t>
            </w:r>
          </w:p>
        </w:tc>
        <w:tc>
          <w:tcPr>
            <w:tcW w:w="2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common stock warrants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Principal payment on capital lease obligations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Paycheck Protection Program loan</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Repayment of Paycheck Protection Program loan</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initial public offering, net of issuance costs and offering costs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50,444</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Proceeds from issuance of Series G redeemable convertible preferred stock, net of issuance costs</w:t>
            </w:r>
          </w:p>
        </w:tc>
        <w:tc>
          <w:tcPr>
            <w:tcW w:w="2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7,742</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Series H redeemable convertible preferred stock, net of issuance costs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10,682</w:t>
            </w:r>
          </w:p>
        </w:tc>
      </w:tr>
      <w:tr>
        <w:trPr>
          <w:trHeight w:val="16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Payments of deferred offering costs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890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Net cash (used in) provided by financing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68,734</w:t>
            </w:r>
          </w:p>
        </w:tc>
      </w:tr>
      <w:tr>
        <w:trPr>
          <w:trHeight w:val="161"/>
        </w:trPr>
        <w:tc>
          <w:tcPr>
            <w:tcW w:w="8900" w:type="dxa"/>
            <w:vAlign w:val="bottom"/>
          </w:tcPr>
          <w:p>
            <w:pPr>
              <w:ind w:left="20"/>
              <w:spacing w:after="0" w:line="139" w:lineRule="exact"/>
              <w:rPr>
                <w:sz w:val="20"/>
                <w:szCs w:val="20"/>
                <w:color w:val="auto"/>
              </w:rPr>
            </w:pPr>
            <w:r>
              <w:rPr>
                <w:rFonts w:ascii="Arial" w:cs="Arial" w:eastAsia="Arial" w:hAnsi="Arial"/>
                <w:sz w:val="13"/>
                <w:szCs w:val="13"/>
                <w:color w:val="auto"/>
              </w:rPr>
              <w:t>Net change in cash, cash equivalents and restricted cash</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58,920</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72,184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13,264</w:t>
            </w:r>
          </w:p>
        </w:tc>
      </w:tr>
      <w:tr>
        <w:trPr>
          <w:trHeight w:val="163"/>
        </w:trPr>
        <w:tc>
          <w:tcPr>
            <w:tcW w:w="8900" w:type="dxa"/>
            <w:vAlign w:val="bottom"/>
          </w:tcPr>
          <w:p>
            <w:pPr>
              <w:ind w:left="20"/>
              <w:spacing w:after="0" w:line="139" w:lineRule="exact"/>
              <w:rPr>
                <w:sz w:val="20"/>
                <w:szCs w:val="20"/>
                <w:color w:val="auto"/>
              </w:rPr>
            </w:pPr>
            <w:r>
              <w:rPr>
                <w:rFonts w:ascii="Arial" w:cs="Arial" w:eastAsia="Arial" w:hAnsi="Arial"/>
                <w:sz w:val="13"/>
                <w:szCs w:val="13"/>
                <w:color w:val="auto"/>
              </w:rPr>
              <w:t>Cash, cash equivalents and restricted cash, end of period</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57,548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72,184</w:t>
            </w:r>
          </w:p>
        </w:tc>
      </w:tr>
      <w:tr>
        <w:trPr>
          <w:trHeight w:val="21"/>
        </w:trPr>
        <w:tc>
          <w:tcPr>
            <w:tcW w:w="8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8"/>
        </w:trPr>
        <w:tc>
          <w:tcPr>
            <w:tcW w:w="8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Cash paid for interest expense</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1,758</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2,288</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items: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Accretion to redemption value of redeemable convertible preferred stock</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4,640</w:t>
            </w:r>
          </w:p>
        </w:tc>
      </w:tr>
      <w:tr>
        <w:trPr>
          <w:trHeight w:val="184"/>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purchased under capital lease obligations</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Costs incurred, but not paid, in connection with capital expenditures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138,906</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Net exercise of common and preferred stock warrants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511</w:t>
            </w: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offering costs included in accounts payable and accrued and other current liabilities</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900" w:type="dxa"/>
            <w:vAlign w:val="bottom"/>
          </w:tcPr>
          <w:p>
            <w:pPr>
              <w:ind w:left="20"/>
              <w:spacing w:after="0"/>
              <w:rPr>
                <w:sz w:val="20"/>
                <w:szCs w:val="20"/>
                <w:color w:val="auto"/>
              </w:rPr>
            </w:pPr>
            <w:r>
              <w:rPr>
                <w:rFonts w:ascii="Arial" w:cs="Arial" w:eastAsia="Arial" w:hAnsi="Arial"/>
                <w:sz w:val="13"/>
                <w:szCs w:val="13"/>
                <w:color w:val="auto"/>
              </w:rPr>
              <w:t>Reclassification of redeemable convertible preferred stock warrant liabilities as equity</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726</w:t>
            </w:r>
          </w:p>
        </w:tc>
      </w:tr>
      <w:tr>
        <w:trPr>
          <w:trHeight w:val="184"/>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Deemed dividend recognized for beneficial conversion features of Series H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6,741</w:t>
            </w:r>
          </w:p>
        </w:tc>
      </w:tr>
      <w:tr>
        <w:trPr>
          <w:trHeight w:val="167"/>
        </w:trPr>
        <w:tc>
          <w:tcPr>
            <w:tcW w:w="8900" w:type="dxa"/>
            <w:vAlign w:val="bottom"/>
          </w:tcPr>
          <w:p>
            <w:pPr>
              <w:ind w:left="20"/>
              <w:spacing w:after="0"/>
              <w:rPr>
                <w:sz w:val="20"/>
                <w:szCs w:val="20"/>
                <w:color w:val="auto"/>
              </w:rPr>
            </w:pPr>
            <w:r>
              <w:rPr>
                <w:rFonts w:ascii="Arial" w:cs="Arial" w:eastAsia="Arial" w:hAnsi="Arial"/>
                <w:sz w:val="13"/>
                <w:szCs w:val="13"/>
                <w:color w:val="auto"/>
              </w:rPr>
              <w:t>Deemed dividend from conversion of Series G to Series H redeemable convertible preferred stock</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6,860</w:t>
            </w:r>
          </w:p>
        </w:tc>
      </w:tr>
      <w:tr>
        <w:trPr>
          <w:trHeight w:val="184"/>
        </w:trPr>
        <w:tc>
          <w:tcPr>
            <w:tcW w:w="8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Series G to Series H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11,875</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is dedicated to transforming the care continuum for patients suffering from debilitating and chronic autoimmune diseases by enabling timely differential diagnosis and optimizing therapeutic intervention.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December 31, 2020, the Company had cash and cash equivalents of $57.4 million and had an accumulated deficit of $181.3 million. Since inception, the Company has financed its operations primarily through private placements of preferred securities, the sale of common stock through its initial public offering (IPO) and debt financing arrangements. Based on the Company's current business plan, management believes that its existing capital resources will be sufficient to fund the Company's obligations for at least twelve months following the issuance of these financial statements.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fair value of financial instruments measured at fair value, the recoverability of its long-lived assets (including goodwill), net deferred tax assets (and related valuation allowance), and for periods prior to the IPO, the fair value of the Company's common stock and redeemable convertible preferred stock.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04" w:name="page105"/>
    <w:bookmarkEnd w:id="104"/>
    <w:p>
      <w:pPr>
        <w:ind w:right="120"/>
        <w:spacing w:after="0" w:line="256"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customers, revenue as a percentage of total revenue and accounts receivable as a percentage of total accounts receivable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Revenue</w:t>
            </w:r>
          </w:p>
        </w:tc>
        <w:tc>
          <w:tcPr>
            <w:tcW w:w="500" w:type="dxa"/>
            <w:vAlign w:val="bottom"/>
            <w:tcBorders>
              <w:bottom w:val="single" w:sz="8" w:color="auto"/>
            </w:tcBorders>
          </w:tcPr>
          <w:p>
            <w:pPr>
              <w:spacing w:after="0"/>
              <w:rPr>
                <w:sz w:val="16"/>
                <w:szCs w:val="16"/>
                <w:color w:val="auto"/>
              </w:rPr>
            </w:pPr>
          </w:p>
        </w:tc>
      </w:tr>
      <w:tr>
        <w:trPr>
          <w:trHeight w:val="165"/>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r>
      <w:tr>
        <w:trPr>
          <w:trHeight w:val="169"/>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4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4"/>
                <w:szCs w:val="14"/>
                <w:color w:val="auto"/>
              </w:rPr>
            </w:pPr>
          </w:p>
        </w:tc>
      </w:tr>
      <w:tr>
        <w:trPr>
          <w:trHeight w:val="227"/>
        </w:trPr>
        <w:tc>
          <w:tcPr>
            <w:tcW w:w="8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92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9260" w:type="dxa"/>
            <w:vAlign w:val="bottom"/>
            <w:gridSpan w:val="3"/>
          </w:tcPr>
          <w:p>
            <w:pPr>
              <w:ind w:left="20"/>
              <w:spacing w:after="0"/>
              <w:rPr>
                <w:sz w:val="20"/>
                <w:szCs w:val="20"/>
                <w:color w:val="auto"/>
              </w:rPr>
            </w:pPr>
            <w:r>
              <w:rPr>
                <w:rFonts w:ascii="Arial" w:cs="Arial" w:eastAsia="Arial" w:hAnsi="Arial"/>
                <w:sz w:val="18"/>
                <w:szCs w:val="18"/>
                <w:color w:val="auto"/>
              </w:rPr>
              <w:t>Medicare Advantage</w:t>
            </w: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9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254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020" w:hanging="994"/>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46" w:lineRule="exact"/>
        <w:rPr>
          <w:sz w:val="20"/>
          <w:szCs w:val="20"/>
          <w:color w:val="auto"/>
        </w:rPr>
      </w:pPr>
    </w:p>
    <w:p>
      <w:pPr>
        <w:jc w:val="center"/>
        <w:ind w:left="7840"/>
        <w:spacing w:after="0"/>
        <w:rPr>
          <w:sz w:val="20"/>
          <w:szCs w:val="20"/>
          <w:color w:val="auto"/>
        </w:rPr>
      </w:pPr>
      <w:r>
        <w:rPr>
          <w:rFonts w:ascii="Arial" w:cs="Arial" w:eastAsia="Arial" w:hAnsi="Arial"/>
          <w:sz w:val="13"/>
          <w:szCs w:val="13"/>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21590</wp:posOffset>
            </wp:positionV>
            <wp:extent cx="21513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p>
    <w:p>
      <w:pPr>
        <w:jc w:val="center"/>
        <w:ind w:left="7840"/>
        <w:spacing w:after="0"/>
        <w:rPr>
          <w:sz w:val="20"/>
          <w:szCs w:val="20"/>
          <w:color w:val="auto"/>
        </w:rPr>
      </w:pPr>
      <w:r>
        <w:rPr>
          <w:rFonts w:ascii="Arial" w:cs="Arial" w:eastAsia="Arial" w:hAnsi="Arial"/>
          <w:sz w:val="13"/>
          <w:szCs w:val="13"/>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6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2019</w:t>
            </w:r>
          </w:p>
        </w:tc>
      </w:tr>
      <w:tr>
        <w:trPr>
          <w:trHeight w:val="227"/>
        </w:trPr>
        <w:tc>
          <w:tcPr>
            <w:tcW w:w="78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Blue Shield</w:t>
            </w: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6254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020" w:hanging="994"/>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2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For the years ended December 31, 2020 and 2019, approximately 70% and 82%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respectively.</w:t>
      </w:r>
    </w:p>
    <w:p>
      <w:pPr>
        <w:spacing w:after="0" w:line="16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is dependent on key suppliers for certain laboratory materials. For each of the years ended December 31, 2020 and 2019, approximately 97% of the Company's diagnostic testing supplies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3"/>
                <w:szCs w:val="13"/>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172"/>
        </w:trPr>
        <w:tc>
          <w:tcPr>
            <w:tcW w:w="8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4"/>
                <w:szCs w:val="14"/>
                <w:color w:val="auto"/>
              </w:rPr>
            </w:pPr>
          </w:p>
        </w:tc>
      </w:tr>
      <w:tr>
        <w:trPr>
          <w:trHeight w:val="17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22,456</w:t>
            </w:r>
          </w:p>
        </w:tc>
        <w:tc>
          <w:tcPr>
            <w:tcW w:w="120" w:type="dxa"/>
            <w:vAlign w:val="bottom"/>
          </w:tcPr>
          <w:p>
            <w:pPr>
              <w:spacing w:after="0"/>
              <w:rPr>
                <w:sz w:val="16"/>
                <w:szCs w:val="16"/>
                <w:color w:val="auto"/>
              </w:rPr>
            </w:pP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23,984</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Client(1)</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5,109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4,392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r>
      <w:tr>
        <w:trPr>
          <w:trHeight w:val="189"/>
        </w:trPr>
        <w:tc>
          <w:tcPr>
            <w:tcW w:w="824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41,975</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60" w:hanging="309"/>
        <w:spacing w:after="0"/>
        <w:tabs>
          <w:tab w:leader="none" w:pos="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1" w:lineRule="exact"/>
        <w:rPr>
          <w:rFonts w:ascii="Arial" w:cs="Arial" w:eastAsia="Arial" w:hAnsi="Arial"/>
          <w:sz w:val="14"/>
          <w:szCs w:val="14"/>
          <w:color w:val="auto"/>
        </w:rPr>
      </w:pPr>
    </w:p>
    <w:p>
      <w:pPr>
        <w:ind w:left="560" w:hanging="309"/>
        <w:spacing w:after="0"/>
        <w:tabs>
          <w:tab w:leader="none" w:pos="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patient self-pay that is immaterial</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5" w:name="page106"/>
    <w:bookmarkEnd w:id="105"/>
    <w:p>
      <w:pPr>
        <w:spacing w:after="0" w:line="256"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Prior to the IPO, the Company's redeemable convertible preferred stock warrant liabilities were measured at fair value on a recurring basis and were classified as Level 3 liabilities. The Company recorded subsequent adjustments to reflect the increase or decrease in estimated fair value at each reporting date in current period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6" w:name="page107"/>
    <w:bookmarkEnd w:id="106"/>
    <w:p>
      <w:pPr>
        <w:ind w:right="180"/>
        <w:spacing w:after="0" w:line="261" w:lineRule="auto"/>
        <w:rPr>
          <w:sz w:val="20"/>
          <w:szCs w:val="20"/>
          <w:color w:val="auto"/>
        </w:rPr>
      </w:pPr>
      <w:r>
        <w:rPr>
          <w:rFonts w:ascii="Arial" w:cs="Arial" w:eastAsia="Arial" w:hAnsi="Arial"/>
          <w:sz w:val="18"/>
          <w:szCs w:val="18"/>
          <w:color w:val="auto"/>
        </w:rPr>
        <w:t>accumulated depreciation are removed from the balance sheet and any resulting gain or loss is reflected in other income or expense in the statements of operations in the period realized.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 impaired; otherwise, an impairment loss is recorded. There was no indication of impairment of goodwill for any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Expenses associated with clinical study activities are recorded in research and development expenses in the accompanying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Prior to the completion of the IPO, the Company had multiple classes of redeemable convertible preferred stock, all of which were classified as temporary equity in the accompanying balance sheet as the redemption of the shares were outside of the Company's control. Redeemable convertible preferred stock which was redeemable on or after a certain date at the option of the holder was accreted to its redemption value from the date of issuance to the earliest redemption date.</w:t>
      </w:r>
    </w:p>
    <w:p>
      <w:pPr>
        <w:spacing w:after="0" w:line="15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connection with the completion of the IPO in September 2019, all outstanding shares of redeemable convertible preferred stock were automatically converted into an aggregate of 7,816,643 shares of common stock, excluding warrant conversions.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Prior to the completion of the IPO, the Company accounted for its redeemable convertible preferred stock warrants as liabilities based upon the characteristics and provisions of each instrument. The redeemable convertible preferred stock warrants were recorded at their fair value on the date of issuance and were revalued on each subsequent balance sheet date, with fair value changes recognized as increases or reductions in the statements of operations. Upon the completion of the IPO, all remaining outstanding warrants to purchase shares of redeemable convertible preferred stock were automatically converted into warrants to purchase shares of common stock. As such, the warrants no longer require liability accounting and the then fair value of the warrant liability was reclassified into stockholders’ equity.</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07" w:name="page108"/>
    <w:bookmarkEnd w:id="107"/>
    <w:p>
      <w:pPr>
        <w:ind w:right="40"/>
        <w:spacing w:after="0" w:line="261" w:lineRule="auto"/>
        <w:rPr>
          <w:sz w:val="20"/>
          <w:szCs w:val="20"/>
          <w:color w:val="auto"/>
        </w:rPr>
      </w:pPr>
      <w:r>
        <w:rPr>
          <w:rFonts w:ascii="Arial" w:cs="Arial" w:eastAsia="Arial" w:hAnsi="Arial"/>
          <w:sz w:val="18"/>
          <w:szCs w:val="18"/>
          <w:color w:val="auto"/>
        </w:rPr>
        <w:t>The Company performed the final remeasurement of the warrant liabilities as of the IPO closing date. See Note 7 for the amounts associated with the fair value measurements and Note 8 for further discussion on the remaining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Payors)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is recorded upon settlement. The transaction price is estimated using an expected value method on a portfolio basis. The Company's portfolios are grouped per payor (i.e. each individual third-party insurance, Medicare, client payors, patient self-pay, etc.) and per test basis.</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2018, the Company entered into a co-promotion agreement (the Janssen Agreement) with Janssen Biotech, Inc. (Janssen)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co-promote SIMPONI</w:t>
      </w:r>
      <w:r>
        <w:rPr>
          <w:rFonts w:ascii="Arial" w:cs="Arial" w:eastAsia="Arial" w:hAnsi="Arial"/>
          <w:sz w:val="10"/>
          <w:szCs w:val="10"/>
          <w:color w:val="auto"/>
        </w:rPr>
        <w:t>®</w:t>
      </w:r>
      <w:r>
        <w:rPr>
          <w:rFonts w:ascii="Arial" w:cs="Arial" w:eastAsia="Arial" w:hAnsi="Arial"/>
          <w:sz w:val="18"/>
          <w:szCs w:val="18"/>
          <w:color w:val="auto"/>
        </w:rPr>
        <w:t xml:space="preserve"> in the United States. The Company is responsible for the costs associated with its salesforce over the course of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co-promotion. Janssen is responsible for all other aspects of the commercialization of SIMPONI</w:t>
      </w:r>
      <w:r>
        <w:rPr>
          <w:rFonts w:ascii="Arial" w:cs="Arial" w:eastAsia="Arial" w:hAnsi="Arial"/>
          <w:sz w:val="10"/>
          <w:szCs w:val="10"/>
          <w:color w:val="auto"/>
        </w:rPr>
        <w:t>®</w:t>
      </w:r>
      <w:r>
        <w:rPr>
          <w:rFonts w:ascii="Arial" w:cs="Arial" w:eastAsia="Arial" w:hAnsi="Arial"/>
          <w:sz w:val="18"/>
          <w:szCs w:val="18"/>
          <w:color w:val="auto"/>
        </w:rPr>
        <w:t xml:space="preserve"> under the Janssen Agreement. In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Company's sales and co-promotional services, the Company is entitled to a quarterly tiered promotion fee based on the incremental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total prescribed units of SIMPONI</w:t>
      </w:r>
      <w:r>
        <w:rPr>
          <w:rFonts w:ascii="Arial" w:cs="Arial" w:eastAsia="Arial" w:hAnsi="Arial"/>
          <w:sz w:val="10"/>
          <w:szCs w:val="10"/>
          <w:color w:val="auto"/>
        </w:rPr>
        <w:t>®</w:t>
      </w:r>
      <w:r>
        <w:rPr>
          <w:rFonts w:ascii="Arial" w:cs="Arial" w:eastAsia="Arial" w:hAnsi="Arial"/>
          <w:sz w:val="18"/>
          <w:szCs w:val="18"/>
          <w:color w:val="auto"/>
        </w:rPr>
        <w:t xml:space="preserve"> for that quarter over a predetermined baseline. For the years ended December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the tiered promotion fee ranged from $750 to $1,250 per prescription over a predetermined baseline. Due in part to COVID-19, in June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the Janssen Agreement was amended (June Amended Janssen Agreement). In accordance with the June Amended Janssen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predetermined average baseline for prescribed units for each remaining quarter in 2020 was adjusted and is subject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further adjustment, and for each of the third and fourth quarters of 2020, the Company received a minimum promotion fee of $0.3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fee was capped at 5% above the adjusted predetermined baseline. In December 2020, the Janssen Agreement amended. The Janssen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as amended in June 2020 and December 2020 is collectively referred to as the Amended Janssen Agreement. In accordance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Amended Janssen Agreement, the predetermined average baseline for prescribed units for the quarters ending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June 30, 2021, was adjusted to approximately 28,750 prescribed units per quarter, subject to adjustment under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circumstances. For the first and second quarters of 2021, the Company will be entitled to an amended tiered promotion fee ranging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to $1,000 per prescription based on the incremental increase in total prescribed units. Pursuant to the Amended Janssen Agreement,</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first and second quarters of 2021, the Company will receive a minimum promotion fee of $ 0.3 million and the fee will be capped at 10% above the adjusted predetermined baseline. The Company continued to receive a minimum promotion fee of $0.3 million and the fee was capped at 5% above the adjusted predetermined baseline for the quarter ended December 31, 2020. The quarterly tiered promotion fee for the remaining term of the Janssen Promotion Agreement beginning with the quarter ended September 30, 2021 will revert to the terms set forth in the Janssen Agreement prior to amendment, with no minimum promotion fee and no cap on predetermined baseline units. In addition, during the term of the Janssen Agreement, the Company is restricted from promoting any other biologic or Janus kinase inhibitor, or JAK inhibitor, used for treatment of indications covered by the agreement without first obtaining Janssen's written consent.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8" w:name="page109"/>
    <w:bookmarkEnd w:id="108"/>
    <w:p>
      <w:pPr>
        <w:ind w:right="20"/>
        <w:spacing w:after="0" w:line="252" w:lineRule="auto"/>
        <w:rPr>
          <w:sz w:val="20"/>
          <w:szCs w:val="20"/>
          <w:color w:val="auto"/>
        </w:rPr>
      </w:pPr>
      <w:r>
        <w:rPr>
          <w:rFonts w:ascii="Arial" w:cs="Arial" w:eastAsia="Arial" w:hAnsi="Arial"/>
          <w:sz w:val="18"/>
          <w:szCs w:val="18"/>
          <w:color w:val="auto"/>
        </w:rPr>
        <w:t>The Janssen Agreement expires on December 31, 2021, unless extended by the Company for an additional 12 months upon 180 days written notice prior to the end of the current term. If the Company elects to extend the term, the predetermined baseline for 2022 will be subject to future agreement by the Company and Janssen. Janssen may terminate the Amended Janssen Agreement at any time for any reason upon 30 days' notice to the Company, and the Company may terminate the Amended Janssen Agreement for any reason at the end of any calendar quarter upon 30 days' notice to Janssen. Either party may terminate the Amended Janssen Agreement in the event of the other party's default of any of its material obligations under the agreement if such default remains uncured for a specified period of time following receipt of written notice of such default.</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10"/>
          <w:szCs w:val="10"/>
          <w:color w:val="auto"/>
        </w:rPr>
        <w:t>®</w:t>
      </w:r>
      <w:r>
        <w:rPr>
          <w:rFonts w:ascii="Arial" w:cs="Arial" w:eastAsia="Arial" w:hAnsi="Arial"/>
          <w:sz w:val="18"/>
          <w:szCs w:val="18"/>
          <w:color w:val="auto"/>
        </w:rPr>
        <w:t xml:space="preserve"> is a series of single performance obligations since Janssen simultaneously receives and consumes benefits 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The Company recognized co-promotion revenue of approximately $5.1 million and $ 1.5 million during the years ended December 31, 2020 and 2019, respectively. The related expenses for marketing SIMPONI</w:t>
      </w:r>
      <w:r>
        <w:rPr>
          <w:rFonts w:ascii="Arial" w:cs="Arial" w:eastAsia="Arial" w:hAnsi="Arial"/>
          <w:sz w:val="10"/>
          <w:szCs w:val="10"/>
          <w:color w:val="auto"/>
        </w:rPr>
        <w:t>®</w:t>
      </w:r>
      <w:r>
        <w:rPr>
          <w:rFonts w:ascii="Arial" w:cs="Arial" w:eastAsia="Arial" w:hAnsi="Arial"/>
          <w:sz w:val="18"/>
          <w:szCs w:val="18"/>
          <w:color w:val="auto"/>
        </w:rPr>
        <w:t xml:space="preserve"> are included in selling, general and administrative expenses and are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9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$1.3 million and $1.6 million for the years ended December 31, 2020 and 2019, respectively, and are included in selling, general and administrative expenses in the accompanying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totaled approximately $1.4 million for each of the years ended December 31,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the effective date of the IPO, the Company began using the closing price of its common stock as the fair value of its common stock on the corresponding date. Prior to the completion of the IPO in September 2019, due to the absence of a public market for the Company's common stock, it was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70"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options outstanding under the Company's stock option plans and shares of the Company's common stock pursuant to Employee Stock Purchase Plan. For the years ended December 31, 2020 and 2019, there is no difference in the number of shares used to calculate basic and diluted shares outstanding as the inclusion of the potentially dilutive securities would be antidilutive.</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82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426,827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461,273</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1,975,761</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1,375,542</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11,640</w:t>
            </w:r>
          </w:p>
        </w:tc>
        <w:tc>
          <w:tcPr>
            <w:tcW w:w="100" w:type="dxa"/>
            <w:vAlign w:val="bottom"/>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20" w:type="dxa"/>
            <w:vAlign w:val="bottom"/>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2,414,228</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1,836,815</w:t>
            </w:r>
          </w:p>
        </w:tc>
      </w:tr>
      <w:tr>
        <w:trPr>
          <w:trHeight w:val="20"/>
        </w:trPr>
        <w:tc>
          <w:tcPr>
            <w:tcW w:w="7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Grant Income</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Government assistance grants which are unconditional when received and intended to compensate for expenses incurred or replace lost revenue are recognized when those expenses are incurred or during the period that lost revenue is experienced, and are included in other income, net in the accompanying statements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3"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financial statements. The effective date of this guidance for public companies is for reporting periods beginning after December 15, 2018. In June 2020, the FASB issued ASU 2020-05, which delays the adoption of ASU 2016-02 for non-public entities to fiscal years beginning after December 15, 2021, and interim periods beginning after December 15, 2022. As an emerging growth company as defined in the JOBS Act, the Company has elected to delay adoption of this ASU until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financial statements.</w:t>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new guidance removes certain exceptions to the general principles of ASC 740 in order to simplify the complexities of its application. These changes include eliminations to the exceptions for intraperiod tax allocation, recognizing deferred tax liabilities related to outside basis differences, and year-to-date losses in interim periods, among others. The effective date of this guidance for public companies is for fiscal years, and interim period within those fiscal years, beginning after December 15, 2020. The Company does not anticipate the adoption will have a material impact on its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narrative description of measurement uncertainty should be applied prospectively for only the most recent interim or annual period presented in the initial fiscal year of adoption. This update is effective for annual periods beginning after December 15, 2019, and interim periods within those periods, and early adoption is permitted. The Company adopted this guidance on January 1, 2020, and the adoption did not have a material impact on its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and other current assets</w:t>
            </w: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and other current assets</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1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2,679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2,228</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5,043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3,775</w:t>
            </w:r>
          </w:p>
        </w:tc>
      </w:tr>
      <w:tr>
        <w:trPr>
          <w:trHeight w:val="189"/>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r>
      <w:tr>
        <w:trPr>
          <w:trHeight w:val="21"/>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Depreciation and amortization expense for the years ended December 31, 2020 and 2019, was approximately $0.5 million and $0.6 million, respectively. At December 31, 2020 and December 31, 2019, the gross book value of assets under capital lease was $1.2 million and $0.8 million, respectively, and is classified in "Laboratory equipment" in the table above.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727</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Capital lease obligations, current portion</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1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Accrued and other current liabilities</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4,419</w:t>
            </w:r>
          </w:p>
        </w:tc>
      </w:tr>
      <w:tr>
        <w:trPr>
          <w:trHeight w:val="21"/>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2" w:name="page113"/>
    <w:bookmarkEnd w:id="112"/>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December 31, 2020, no additional amounts remain available to borrow under the 2017 Term Loan.</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the Company executed the First Amendment to the Loan and Security Agreement (the 2017 Loan Amendment). The interest rate on all borrowings under the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$1.0 million. This obligation is being accreted into interest expense over the term of Loan Amendment using the effective interest method. For each of the years ended December 31, 2020 and 2019, the Company issued PIK Loans totaling $0.5 million.</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Loan Amendment requires a prepayment premium of 3% of the aggregate outstanding principal. The prepayment premium decreases by 1% during each subsequent twelve-month period after November 19, 2020.</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on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and commencing with the quarter ending December 31, 2019.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Company's revenues for the twelve-month ended September 30, 2020 were lower than the specified targets, as a result, the Company and Innovatus agreed on a new management plan and target to bring the Company back into compliance with the Loan Amendment. The Loan Amendment requires that the Company maintain certain levels of minimum liquidity. The Company is required to maintain an unrestricted cash balance of $2.0 million.</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 Company was in compliance with all covenants of the Loan Amendment.</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financial statements. Accordingly, the Company has reflected the amounts of the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2020, future minimum aggregate payments, including interest, for outstanding borrowings under the Loan Amendment are as follows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3" w:name="page114"/>
    <w:bookmarkEnd w:id="113"/>
    <w:p>
      <w:pPr>
        <w:ind w:left="9520"/>
        <w:spacing w:after="0"/>
        <w:rPr>
          <w:sz w:val="20"/>
          <w:szCs w:val="20"/>
          <w:color w:val="auto"/>
        </w:rPr>
      </w:pPr>
      <w:r>
        <w:rPr>
          <w:rFonts w:ascii="Arial" w:cs="Arial" w:eastAsia="Arial" w:hAnsi="Arial"/>
          <w:sz w:val="12"/>
          <w:szCs w:val="12"/>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-353060</wp:posOffset>
            </wp:positionV>
            <wp:extent cx="71323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-113030</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6350</wp:posOffset>
            </wp:positionV>
            <wp:extent cx="713232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Unamortized debt discount and issuance costs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6350</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Total borrowings, net of discounts and debt issuance costs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360" w:hanging="1358"/>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1,755</w:t>
      </w:r>
    </w:p>
    <w:p>
      <w:pPr>
        <w:spacing w:after="0" w:line="28"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2,996</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15,619</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14,280</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34,650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11398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(296)</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(7,695)</w:t>
      </w:r>
    </w:p>
    <w:p>
      <w:pPr>
        <w:spacing w:after="0" w:line="42" w:lineRule="exact"/>
        <w:rPr>
          <w:sz w:val="20"/>
          <w:szCs w:val="20"/>
          <w:color w:val="auto"/>
        </w:rPr>
      </w:pPr>
    </w:p>
    <w:p>
      <w:pPr>
        <w:ind w:left="1280" w:hanging="1278"/>
        <w:spacing w:after="0"/>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26,659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1398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 w:space="20"/>
            <w:col w:w="8380" w:space="720"/>
            <w:col w:w="1780"/>
          </w:cols>
          <w:pgMar w:left="320" w:top="1184"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2020, the Company leases office and laboratory space in Vista, California, under leases that expire in January 2026, with an option to extend a portion of the lease for an additional 5-year period. In addition, the Company also leases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lease payments under non-cancelable lease arrangements at December 31, 2020 are as follows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Capital Leases</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318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2024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4"/>
                <w:szCs w:val="14"/>
                <w:color w:val="auto"/>
              </w:rPr>
              <w:t>Less: amount representing interest</w:t>
            </w:r>
          </w:p>
        </w:tc>
        <w:tc>
          <w:tcPr>
            <w:tcW w:w="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(67)</w:t>
            </w: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520" w:type="dxa"/>
            <w:vAlign w:val="bottom"/>
            <w:tcBorders>
              <w:bottom w:val="single" w:sz="8" w:color="CCEEFF"/>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9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Present value of future minimum lease payments</w:t>
            </w: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Less: current portion</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Long-term capital lease obligations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rent expense was $0.6 million and $0.5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All milestone payments other than one have been paid as of December 31, 2017. The remaining milestone obligation is for an additional $2.0 million payment due to Prometheus Laboratories, Inc. (Prometheus) for which the fair value was determined to be zero at December 31, 2020 and 2019.</w:t>
      </w:r>
    </w:p>
    <w:p>
      <w:pPr>
        <w:spacing w:after="0" w:line="15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of 2.5%. Future royalties payable under these arrangements are limited to the lesser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of an aggregate of $1.2 million (including an upfront payment of $100,000) or the total royalties earned through January 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2.0% to 3.0%. Royalties are accrued when earned and recorded in costs of revenue in the accompanying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2020, the Company entered into an amended supply agreement with one supplier for reagents which includes minimum annual purchase commitments of $ 4.1 million and $6.0 million for years ended December 31, 2021 and 2022, respectively, with a 15% annual increase thereafter through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of which of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2"/>
        </w:trPr>
        <w:tc>
          <w:tcPr>
            <w:tcW w:w="6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93"/>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Level 3</w:t>
            </w:r>
          </w:p>
        </w:tc>
      </w:tr>
      <w:tr>
        <w:trPr>
          <w:trHeight w:val="17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0"/>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34,507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34,507</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573"/>
        </w:trPr>
        <w:tc>
          <w:tcPr>
            <w:tcW w:w="6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2"/>
        </w:trPr>
        <w:tc>
          <w:tcPr>
            <w:tcW w:w="6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r>
      <w:tr>
        <w:trPr>
          <w:trHeight w:val="19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0"/>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w:t>
            </w:r>
          </w:p>
        </w:tc>
        <w:tc>
          <w:tcPr>
            <w:tcW w:w="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70,760</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ind w:left="440"/>
              <w:spacing w:after="0"/>
              <w:rPr>
                <w:sz w:val="20"/>
                <w:szCs w:val="20"/>
                <w:color w:val="auto"/>
              </w:rPr>
            </w:pPr>
            <w:r>
              <w:rPr>
                <w:rFonts w:ascii="Arial" w:cs="Arial" w:eastAsia="Arial" w:hAnsi="Arial"/>
                <w:sz w:val="14"/>
                <w:szCs w:val="14"/>
                <w:color w:val="auto"/>
              </w:rPr>
              <w:t>70,760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Redeemable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19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January 2019, the Company entered into an agreement with new and certain existing preferred stockholders to issue shares of Series G redeemable convertible preferred stock in multiple separate closings at a per share price of $0.078 in each closing. In conjunction with the issuance of the Series H redeemable convertible preferred stock,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5" w:name="page116"/>
    <w:bookmarkEnd w:id="115"/>
    <w:p>
      <w:pPr>
        <w:ind w:right="240"/>
        <w:spacing w:after="0" w:line="261" w:lineRule="auto"/>
        <w:rPr>
          <w:sz w:val="20"/>
          <w:szCs w:val="20"/>
          <w:color w:val="auto"/>
        </w:rPr>
      </w:pPr>
      <w:r>
        <w:rPr>
          <w:rFonts w:ascii="Arial" w:cs="Arial" w:eastAsia="Arial" w:hAnsi="Arial"/>
          <w:sz w:val="18"/>
          <w:szCs w:val="18"/>
          <w:color w:val="auto"/>
        </w:rPr>
        <w:t>each share of issued and outstanding Series G redeemable convertible preferred stock was converted into shares of Series H redeemable convertible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H Financing</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July 2019, the Company entered into an agreement with a new investor to issue shares of Series H redeemable convertible preferred stock at a per share price of $0.04712. The Company accounted for the difference between the effective conversion price of $0.04712 and the fair value of the underlying common stock at the commitment date as a beneficial conversion feature, which was immediately accreted as a deemed dividend. As a result, the Company recognized a beneficial conversion feature in the amount of $6.7 million in the third quarter of 2019, that was recorded as additional paid-in capital (in the absence of retained earnings) in the accompanying statement of redeemable convertible preferred stock and stockholders’ equity. Additionally, the Company concluded that the conversion of shares of Series G into shares of Series H redeemable convertible preferred stock in connection with the issuance of Series H redeemable convertible preferred stock represented an extinguishment of the Series G shares. As a result, the Company recognized a deemed dividend for the extinguishment charge in the amount of $6.9 million in the third quarter of 2019, that was recorded as additional paid-in capital (in the absence of retained earnings) in the accompanying statement of redeemable convertible preferred stock and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3"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Upon completion of the Company's IPO in September 2019, an aggregate of 7,816,643 shares of common stock, excluding warrant conversion, were issued to the holders of the Company's Series A-3, Series B-3, Series C, Series D, Series E, Series F and Series H redeemable convertible preferred stockholders upon the automatic conversion of all shares of redeemable convertible preferred stock to common stock. As a result, no shares of redeemable convertible preferred stock remained outstanding at December 31, 2020 and 2019.</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6, 2019, the Company effected a one-for-183.635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this Reverse Stock Split for all periods presented in the accompanying financial statements and notes to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September 23, 2019, the Company closed its IPO of 4,140,000 shares of its common stock at a price to the public of $14.00 per share, including the exercise in full by the underwriters of their option to purchase 540,000 additional shares of the Company's common stock. Including the exercise of the option to purchase additional shares, the aggregate net proceeds to the Company from the offering was approximately $50.4 million, net of underwriting discounts, commissions and other offering expenses, for aggregate expenses of approximately $7.5 million. In addition,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December 31,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69,176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84"/>
        </w:trPr>
        <w:tc>
          <w:tcPr>
            <w:tcW w:w="32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 ended December 31, 2020, warrants to purchase common stock were exercised resulting in the issuance of 32,120 shares of the Company's common stock and cash proceeds of an immaterial amount.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A total of (i) 2,011,832 shares of common stock plus (ii) shares subject to awards granted under the 2013 Plan on or before the effective date of the 2019 Plan became available for issuance under the 2019 Plan and was initially be reserved for issuance under the 2019 Plan. Under the 2019 Plan,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of Directors. As of December 31, 2020, 1,139,323 shares remained available for future awards. Under the evergreen provision, on January 1, 2021, an additional 506,092 shares became available for issuance under the 2019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Average</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2019</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1,375,542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23,654</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951,031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(293,412)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Outstanding, December 31, 2020</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1,975,761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December 31, 2020</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1,975,761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December 31, 2020</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464,606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weighted-average grant date fair value per share of employee options granted to employees during the years ended December 31, 2020 and 2019 was $7.55 and $7.79, respectively. The intrinsic value is calculated as the difference between the fair value of the Company's common stock and the exercise price of the stock options. The fair value of the Company's common stock is $13.20 and $25.40 per share at December 31, 2020 and 2019, respectively. The intrinsic value of options exercised for the years ended December 31, 2020 and 2019 was $1.0 million and an immaterial amount,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88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Years Ended December 31,</w:t>
            </w:r>
          </w:p>
        </w:tc>
      </w:tr>
      <w:tr>
        <w:trPr>
          <w:trHeight w:val="172"/>
        </w:trPr>
        <w:tc>
          <w:tcPr>
            <w:tcW w:w="8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47%-53%</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46%-59%</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0.4%-1.7%</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1.6%-2.6%</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5.75-6.08</w:t>
            </w: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September 2019, the Board of Directors adopted the Employee Stock Purchase Plan (the ESPP). The ESPP became effective on the day the ESPP was adopted by the Company's Board of Directors. The ESPP permits participants to purchase common stock through payroll deductions of up to 20% of their eligible compensation. A total of 120,000 shares of common stock was initially reserved for issuance under the ESPP. In addition, the number of shares of common stock available for issuance under the ESPP will be annually increased on the first day of each fiscal year during the term of the ESPP, beginning with the 2020 calendar year through January 1, 2029 in an amount equal to the lesser of (i) 1% of the outstanding capital stock on December 31st, or (ii) such lesser amount determined by the Board of Directors. Under the evergreen provision, on January 1, 2021, an additional 126,523 shares became available for issuances under the ESPP. Stock-based compensation expense for the ESPP was an immaterial amount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00" w:type="dxa"/>
            <w:vAlign w:val="bottom"/>
          </w:tcPr>
          <w:p>
            <w:pPr>
              <w:spacing w:after="0"/>
              <w:rPr>
                <w:sz w:val="15"/>
                <w:szCs w:val="15"/>
                <w:color w:val="auto"/>
              </w:rPr>
            </w:pPr>
          </w:p>
        </w:tc>
        <w:tc>
          <w:tcPr>
            <w:tcW w:w="234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Years Ended December 31,</w:t>
            </w:r>
          </w:p>
        </w:tc>
      </w:tr>
      <w:tr>
        <w:trPr>
          <w:trHeight w:val="172"/>
        </w:trPr>
        <w:tc>
          <w:tcPr>
            <w:tcW w:w="8900" w:type="dxa"/>
            <w:vAlign w:val="bottom"/>
            <w:tcBorders>
              <w:bottom w:val="single" w:sz="8" w:color="CCEEFF"/>
            </w:tcBorders>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58%-83%</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2340" w:type="dxa"/>
            <w:vAlign w:val="bottom"/>
          </w:tcPr>
          <w:p>
            <w:pPr>
              <w:jc w:val="center"/>
              <w:spacing w:after="0"/>
              <w:rPr>
                <w:sz w:val="20"/>
                <w:szCs w:val="20"/>
                <w:color w:val="auto"/>
              </w:rPr>
            </w:pPr>
            <w:r>
              <w:rPr>
                <w:rFonts w:ascii="Arial" w:cs="Arial" w:eastAsia="Arial" w:hAnsi="Arial"/>
                <w:sz w:val="14"/>
                <w:szCs w:val="14"/>
                <w:color w:val="auto"/>
              </w:rPr>
              <w:t>0.1%-1.1%</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9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2340" w:type="dxa"/>
            <w:vAlign w:val="bottom"/>
          </w:tcPr>
          <w:p>
            <w:pPr>
              <w:jc w:val="center"/>
              <w:spacing w:after="0"/>
              <w:rPr>
                <w:sz w:val="20"/>
                <w:szCs w:val="20"/>
                <w:color w:val="auto"/>
              </w:rPr>
            </w:pPr>
            <w:r>
              <w:rPr>
                <w:rFonts w:ascii="Arial" w:cs="Arial" w:eastAsia="Arial" w:hAnsi="Arial"/>
                <w:sz w:val="14"/>
                <w:szCs w:val="14"/>
                <w:color w:val="auto"/>
              </w:rPr>
              <w:t>0.5</w:t>
            </w:r>
          </w:p>
        </w:tc>
      </w:tr>
    </w:tbl>
    <w:p>
      <w:pPr>
        <w:spacing w:after="0" w:line="200" w:lineRule="exact"/>
        <w:rPr>
          <w:sz w:val="20"/>
          <w:szCs w:val="20"/>
          <w:color w:val="auto"/>
        </w:rPr>
      </w:pPr>
    </w:p>
    <w:p>
      <w:pPr>
        <w:spacing w:after="0" w:line="39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and stock purchase rights granted under the ESPP in the statement of operations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4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3"/>
                <w:szCs w:val="13"/>
                <w:b w:val="1"/>
                <w:bCs w:val="1"/>
                <w:color w:val="auto"/>
              </w:rPr>
              <w:t>Years Ended December 31,</w:t>
            </w:r>
          </w:p>
        </w:tc>
        <w:tc>
          <w:tcPr>
            <w:tcW w:w="480" w:type="dxa"/>
            <w:vAlign w:val="bottom"/>
            <w:tcBorders>
              <w:bottom w:val="single" w:sz="8" w:color="auto"/>
            </w:tcBorders>
          </w:tcPr>
          <w:p>
            <w:pPr>
              <w:spacing w:after="0"/>
              <w:rPr>
                <w:sz w:val="15"/>
                <w:szCs w:val="15"/>
                <w:color w:val="auto"/>
              </w:rPr>
            </w:pPr>
          </w:p>
        </w:tc>
      </w:tr>
      <w:tr>
        <w:trPr>
          <w:trHeight w:val="172"/>
        </w:trPr>
        <w:tc>
          <w:tcPr>
            <w:tcW w:w="79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4"/>
                <w:szCs w:val="14"/>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9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5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1"/>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of December 31, 2020, total unrecognized compensation cost was $8.5 million, which is expected to be recognized over a remaining weighted-average vesting period of 2.8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2020: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r>
      <w:tr>
        <w:trPr>
          <w:trHeight w:val="189"/>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40" w:type="dxa"/>
            <w:vAlign w:val="bottom"/>
          </w:tcPr>
          <w:p>
            <w:pPr>
              <w:jc w:val="right"/>
              <w:spacing w:after="0"/>
              <w:rPr>
                <w:sz w:val="20"/>
                <w:szCs w:val="20"/>
                <w:color w:val="auto"/>
              </w:rPr>
            </w:pPr>
            <w:r>
              <w:rPr>
                <w:rFonts w:ascii="Arial" w:cs="Arial" w:eastAsia="Arial" w:hAnsi="Arial"/>
                <w:sz w:val="14"/>
                <w:szCs w:val="14"/>
                <w:color w:val="auto"/>
              </w:rPr>
              <w:t>1,975,761</w:t>
            </w:r>
          </w:p>
        </w:tc>
      </w:t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available for grant under the stock option plan</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1,139,323</w:t>
            </w:r>
          </w:p>
        </w:tc>
      </w:tr>
      <w:tr>
        <w:trPr>
          <w:trHeight w:val="18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shares available for future issuance under ESPP</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233,961</w:t>
            </w:r>
          </w:p>
        </w:tc>
      </w:tr>
      <w:tr>
        <w:trPr>
          <w:trHeight w:val="208"/>
        </w:trPr>
        <w:tc>
          <w:tcPr>
            <w:tcW w:w="9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3,775,872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r>
      <w:tr>
        <w:trPr>
          <w:trHeight w:val="183"/>
        </w:trPr>
        <w:tc>
          <w:tcPr>
            <w:tcW w:w="75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r>
      <w:tr>
        <w:trPr>
          <w:trHeight w:val="16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1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7580" w:type="dxa"/>
            <w:vAlign w:val="bottom"/>
          </w:tcPr>
          <w:p>
            <w:pPr>
              <w:ind w:left="460"/>
              <w:spacing w:after="0"/>
              <w:rPr>
                <w:sz w:val="20"/>
                <w:szCs w:val="20"/>
                <w:color w:val="auto"/>
              </w:rPr>
            </w:pPr>
            <w:r>
              <w:rPr>
                <w:rFonts w:ascii="Arial" w:cs="Arial" w:eastAsia="Arial" w:hAnsi="Arial"/>
                <w:sz w:val="14"/>
                <w:szCs w:val="14"/>
                <w:color w:val="auto"/>
              </w:rPr>
              <w:t>Total current</w:t>
            </w:r>
          </w:p>
        </w:tc>
        <w:tc>
          <w:tcPr>
            <w:tcW w:w="122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deferred</w:t>
            </w: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0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w:t>
            </w: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12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200" w:lineRule="exact"/>
        <w:rPr>
          <w:sz w:val="20"/>
          <w:szCs w:val="20"/>
          <w:color w:val="auto"/>
        </w:rPr>
      </w:pPr>
    </w:p>
    <w:p>
      <w:pPr>
        <w:spacing w:after="0" w:line="296"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89"/>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 of preferred stock liabilities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22.6 %</w:t>
            </w: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18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Limitation of net operating losses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59.8 %</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1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20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Significant components of the Company’s deferred tax assets at December 31, 2020 and 2019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5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6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Net operating loss carryforwards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17,733</w:t>
            </w:r>
          </w:p>
        </w:tc>
        <w:tc>
          <w:tcPr>
            <w:tcW w:w="14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15,287</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189"/>
        </w:trPr>
        <w:tc>
          <w:tcPr>
            <w:tcW w:w="7580" w:type="dxa"/>
            <w:vAlign w:val="bottom"/>
          </w:tcPr>
          <w:p>
            <w:pPr>
              <w:ind w:left="240"/>
              <w:spacing w:after="0"/>
              <w:rPr>
                <w:sz w:val="20"/>
                <w:szCs w:val="20"/>
                <w:color w:val="auto"/>
              </w:rPr>
            </w:pPr>
            <w:r>
              <w:rPr>
                <w:rFonts w:ascii="Arial" w:cs="Arial" w:eastAsia="Arial" w:hAnsi="Arial"/>
                <w:sz w:val="14"/>
                <w:szCs w:val="14"/>
                <w:color w:val="auto"/>
              </w:rPr>
              <w:t>Accruals, reserves and other</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1,448</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r>
      <w:tr>
        <w:trPr>
          <w:trHeight w:val="189"/>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183"/>
        </w:trPr>
        <w:tc>
          <w:tcPr>
            <w:tcW w:w="75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gross deferred tax assets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21,233</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17,265</w:t>
            </w:r>
          </w:p>
        </w:tc>
      </w:tr>
      <w:tr>
        <w:trPr>
          <w:trHeight w:val="189"/>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Valuation allowance</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(20,596)</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(16,797)</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637</w:t>
            </w: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69"/>
        </w:trPr>
        <w:tc>
          <w:tcPr>
            <w:tcW w:w="75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Financing and acquisition-related liabilities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r>
      <w:tr>
        <w:trPr>
          <w:trHeight w:val="189"/>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w:t>
            </w:r>
          </w:p>
        </w:tc>
      </w:tr>
      <w:tr>
        <w:trPr>
          <w:trHeight w:val="182"/>
        </w:trPr>
        <w:tc>
          <w:tcPr>
            <w:tcW w:w="758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21"/>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Changes in the valuation allowance for deferred tax assets during the years ended December 31, 2020 and 2019, which related primarily to increases in net operating loss carryforwards, accrued revenue and accruals and reserves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5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16,797</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21,138</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Decreases recorded as benefits to income tax provision</w:t>
            </w:r>
          </w:p>
        </w:tc>
        <w:tc>
          <w:tcPr>
            <w:tcW w:w="1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(4,341)</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3,799</w:t>
            </w:r>
          </w:p>
        </w:tc>
        <w:tc>
          <w:tcPr>
            <w:tcW w:w="1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580" w:type="dxa"/>
            <w:vAlign w:val="bottom"/>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20,596</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16,797</w:t>
            </w:r>
          </w:p>
        </w:tc>
      </w:tr>
      <w:tr>
        <w:trPr>
          <w:trHeight w:val="21"/>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December 31, 2020 and 2019, the Company had federal net operating loss carryforwards of approximately $70.6 million and $60.7 million, respectively. At December 31, 2020 and 2019, the Company had state net operating loss carryforwards of $48.9 million and $43.5 million, respectively. Approximately $43.5 million of the federal tax loss carryforwards will begin to expire in 2022, unless previously utilized. The federal net operating loss carryforwards generated in after December 31, 2017 of $27.1 million will carryforward indefinitely. The Company’s state tax loss carryforwards will expire in 2032, unless previously utilized.</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2019, the Company's deferred tax assets are primarily comprised of federal and state tax net operating loss carryforwards. The Company completed a formal study through the year ended December 31, 2019 and determined ownership changes within the meaning of Internal Revenue Code (IRC), Section 382 had occurred in 2003, 2008, 2012, 2017 and 2019. Based on the analysis, $61.8 million of the Company's tax attribute carryforwards through December 31, 2017 cannot be utilized under IRC Section 382. The Company's ability to utilize net operating loss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15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20" w:name="page121"/>
    <w:bookmarkEnd w:id="120"/>
    <w:p>
      <w:pPr>
        <w:ind w:right="320"/>
        <w:spacing w:after="0" w:line="261" w:lineRule="auto"/>
        <w:rPr>
          <w:sz w:val="20"/>
          <w:szCs w:val="20"/>
          <w:color w:val="auto"/>
        </w:rPr>
      </w:pPr>
      <w:r>
        <w:rPr>
          <w:rFonts w:ascii="Arial" w:cs="Arial" w:eastAsia="Arial" w:hAnsi="Arial"/>
          <w:sz w:val="18"/>
          <w:szCs w:val="18"/>
          <w:color w:val="auto"/>
        </w:rPr>
        <w:t>The Company recognizes interest and/or penalties related to income tax matters in its provision for income taxes. The Company does not have any accruals for, and did not recognize any, interest or penalties in these financial statements in any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and 2019, the Company had no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19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closings of the Series G financing and the Series H financing described in Note 7 were issued to existing holders of the Company's redeemable convertible preferred stock, including certain members of our Board of Directors.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401(k) Plan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years ended December 31, 2020 and 2019, the Company made contributions to the Plan at 3% of qualified employee compensation, which totaled approximately $0.5 million and $0.4 million, respectively.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COVID-19</w:t>
      </w:r>
    </w:p>
    <w:p>
      <w:pPr>
        <w:spacing w:after="0" w:line="19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During 2020, due to the worldwide COVID-19 pandemic, the Company experienced a reduction in patient test volumes, delays in patient enrollment in ongoing and planned clinical studies, and delays in the procurement of its testing supplies. In response to the pandemic, the Company has curtailed non-essential employee travel, equipped employees with the ability to work remotely with the exception of clinical laboratory employees, and reduced marketing spend and employee headcount. The reduction in headcount resulted in a restructuring charge for termination benefits of $0.3 million which has been paid as of December 31, 2020.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and international markets.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released valuation allowance against its deferred tax assets in the amount of $0.1 million for the year ended December 31, 2020.</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December 27, 2020, the Consolidated Appropriations Act, 2021 was signed into law. It provides additional COVID-19 focused relief and extends certain provisions of the CARES Act. At this time, the Company does not believe that the Consolidated Appropriations Act, 2021 has a material impact on its financial statements.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April 2020, the Company received $0.7 million of funding under the CARES Act Provider Relief Fund, subject to the Company's agreement to comply with the Department of Health &amp; Human Services' (HHS) standard terms and conditions. The CARES Act Provider Relief Fund is a federal fund allocated for general distributions to Medicare facilities and providers impacted by the COVID-19 pandemic and is intended to support COVID-related expenses or lost revenue attributable to COVID-19. The funding received is considered a government grant which is recognized when there is reasonable assurance that the grant will be received and that conditions attached to the grant have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1" w:name="page122"/>
    <w:bookmarkEnd w:id="121"/>
    <w:p>
      <w:pPr>
        <w:spacing w:after="0" w:line="261" w:lineRule="auto"/>
        <w:rPr>
          <w:sz w:val="20"/>
          <w:szCs w:val="20"/>
          <w:color w:val="auto"/>
        </w:rPr>
      </w:pPr>
      <w:r>
        <w:rPr>
          <w:rFonts w:ascii="Arial" w:cs="Arial" w:eastAsia="Arial" w:hAnsi="Arial"/>
          <w:sz w:val="18"/>
          <w:szCs w:val="18"/>
          <w:color w:val="auto"/>
        </w:rPr>
        <w:t>been met. For the year ended December 31, 2020, the Company recognized $0.7 million due to lost revenue attributable to COVID-19, which is reflected in other income, net, on its statements of operations.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April 16, 2020, the Company entered into a promissory note with BOKF, NA dba Bank of Oklahoma, the lender, evidencing an unsecured loan pursuant to the U.S. Small Business Administration (SBA) Paycheck Protection Program (PPP) of the CARES Act of approximately $2.9 million (the PPP Loan). The Company applied for and received the PPP Loan pursuant to the then published PPP qualification and certification requirements. On April 23, 2020, the SBA, in consultation with the Department of Treasury, issued new guidance that created uncertainty regarding the qualification requirements for the PPP Loan (the New Guidance). In light of the New Guidance, on May 11, 2020, the Company paid off in full the principal and interest on the PPP Loan, resulting in the termination of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160" w:type="dxa"/>
            <w:vAlign w:val="bottom"/>
            <w:gridSpan w:val="4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60" w:type="dxa"/>
            <w:vAlign w:val="bottom"/>
            <w:tcBorders>
              <w:bottom w:val="single" w:sz="8" w:color="auto"/>
            </w:tcBorders>
            <w:gridSpan w:val="43"/>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60" w:type="dxa"/>
            <w:vAlign w:val="bottom"/>
            <w:gridSpan w:val="43"/>
          </w:tcPr>
          <w:p>
            <w:pPr>
              <w:spacing w:after="0" w:line="155" w:lineRule="exact"/>
              <w:rPr>
                <w:rFonts w:ascii="Arial" w:cs="Arial" w:eastAsia="Arial" w:hAnsi="Arial"/>
                <w:sz w:val="14"/>
                <w:szCs w:val="14"/>
                <w:color w:val="0000FF"/>
              </w:rPr>
            </w:pPr>
            <w:hyperlink r:id="rId146">
              <w:r>
                <w:rPr>
                  <w:rFonts w:ascii="Arial" w:cs="Arial" w:eastAsia="Arial" w:hAnsi="Arial"/>
                  <w:sz w:val="14"/>
                  <w:szCs w:val="14"/>
                  <w:color w:val="0000FF"/>
                </w:rPr>
                <w:t>Form of Amended and Restated Certificate of</w:t>
              </w:r>
            </w:hyperlink>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Incorporation.</w:t>
              </w:r>
            </w:hyperlink>
          </w:p>
        </w:tc>
        <w:tc>
          <w:tcPr>
            <w:tcW w:w="202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2300" w:type="dxa"/>
            <w:vAlign w:val="bottom"/>
            <w:tcBorders>
              <w:bottom w:val="single" w:sz="8" w:color="0000FF"/>
            </w:tcBorders>
            <w:gridSpan w:val="11"/>
          </w:tcPr>
          <w:p>
            <w:pPr>
              <w:spacing w:after="0"/>
              <w:rPr>
                <w:rFonts w:ascii="Arial" w:cs="Arial" w:eastAsia="Arial" w:hAnsi="Arial"/>
                <w:sz w:val="14"/>
                <w:szCs w:val="14"/>
                <w:color w:val="0000FF"/>
              </w:rPr>
            </w:pPr>
            <w:hyperlink r:id="rId147">
              <w:r>
                <w:rPr>
                  <w:rFonts w:ascii="Arial" w:cs="Arial" w:eastAsia="Arial" w:hAnsi="Arial"/>
                  <w:sz w:val="14"/>
                  <w:szCs w:val="14"/>
                  <w:color w:val="0000FF"/>
                </w:rPr>
                <w:t>Form of Amended Restated Bylaws.</w:t>
              </w:r>
            </w:hyperlink>
          </w:p>
        </w:tc>
        <w:tc>
          <w:tcPr>
            <w:tcW w:w="860" w:type="dxa"/>
            <w:vAlign w:val="bottom"/>
            <w:gridSpan w:val="32"/>
          </w:tcPr>
          <w:p>
            <w:pPr>
              <w:spacing w:after="0"/>
              <w:rPr>
                <w:sz w:val="14"/>
                <w:szCs w:val="14"/>
                <w:color w:val="auto"/>
              </w:rPr>
            </w:pP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3.2</w:t>
            </w:r>
          </w:p>
        </w:tc>
        <w:tc>
          <w:tcPr>
            <w:tcW w:w="1140" w:type="dxa"/>
            <w:vAlign w:val="bottom"/>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60" w:type="dxa"/>
            <w:vAlign w:val="bottom"/>
            <w:tcBorders>
              <w:bottom w:val="single" w:sz="8" w:color="0000FF"/>
            </w:tcBorders>
            <w:gridSpan w:val="43"/>
          </w:tcPr>
          <w:p>
            <w:pPr>
              <w:spacing w:after="0"/>
              <w:rPr>
                <w:rFonts w:ascii="Arial" w:cs="Arial" w:eastAsia="Arial" w:hAnsi="Arial"/>
                <w:sz w:val="14"/>
                <w:szCs w:val="14"/>
                <w:color w:val="0000FF"/>
              </w:rPr>
            </w:pPr>
            <w:hyperlink r:id="rId148">
              <w:r>
                <w:rPr>
                  <w:rFonts w:ascii="Arial" w:cs="Arial" w:eastAsia="Arial" w:hAnsi="Arial"/>
                  <w:sz w:val="14"/>
                  <w:szCs w:val="14"/>
                  <w:color w:val="0000FF"/>
                </w:rPr>
                <w:t>Specimen stock certificate evidencing the shares</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60" w:type="dxa"/>
            <w:vAlign w:val="bottom"/>
            <w:gridSpan w:val="43"/>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of common stock.</w:t>
              </w:r>
            </w:hyperlink>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3"/>
          </w:tcPr>
          <w:p>
            <w:pPr>
              <w:spacing w:after="0"/>
              <w:rPr>
                <w:rFonts w:ascii="Arial" w:cs="Arial" w:eastAsia="Arial" w:hAnsi="Arial"/>
                <w:sz w:val="14"/>
                <w:szCs w:val="14"/>
                <w:color w:val="0000FF"/>
              </w:rPr>
            </w:pPr>
            <w:hyperlink r:id="rId149">
              <w:r>
                <w:rPr>
                  <w:rFonts w:ascii="Arial" w:cs="Arial" w:eastAsia="Arial" w:hAnsi="Arial"/>
                  <w:sz w:val="14"/>
                  <w:szCs w:val="14"/>
                  <w:color w:val="0000FF"/>
                </w:rPr>
                <w:t>Amended and Restated Investors’ Rights</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7"/>
          </w:tcPr>
          <w:p>
            <w:pPr>
              <w:spacing w:after="0" w:line="122" w:lineRule="exact"/>
              <w:rPr>
                <w:rFonts w:ascii="Arial" w:cs="Arial" w:eastAsia="Arial" w:hAnsi="Arial"/>
                <w:sz w:val="14"/>
                <w:szCs w:val="14"/>
                <w:color w:val="0000FF"/>
              </w:rPr>
            </w:pPr>
            <w:hyperlink r:id="rId149">
              <w:r>
                <w:rPr>
                  <w:rFonts w:ascii="Arial" w:cs="Arial" w:eastAsia="Arial" w:hAnsi="Arial"/>
                  <w:sz w:val="14"/>
                  <w:szCs w:val="14"/>
                  <w:color w:val="0000FF"/>
                </w:rPr>
                <w:t>Agreement, dated July 12, 2019, by and</w:t>
              </w:r>
            </w:hyperlink>
          </w:p>
        </w:tc>
        <w:tc>
          <w:tcPr>
            <w:tcW w:w="560" w:type="dxa"/>
            <w:vAlign w:val="bottom"/>
            <w:gridSpan w:val="26"/>
          </w:tcPr>
          <w:p>
            <w:pPr>
              <w:spacing w:after="0" w:line="122" w:lineRule="exact"/>
              <w:rPr>
                <w:rFonts w:ascii="Arial" w:cs="Arial" w:eastAsia="Arial" w:hAnsi="Arial"/>
                <w:sz w:val="14"/>
                <w:szCs w:val="14"/>
                <w:color w:val="0000FF"/>
              </w:rPr>
            </w:pPr>
            <w:hyperlink r:id="rId149">
              <w:r>
                <w:rPr>
                  <w:rFonts w:ascii="Arial" w:cs="Arial" w:eastAsia="Arial" w:hAnsi="Arial"/>
                  <w:sz w:val="14"/>
                  <w:szCs w:val="14"/>
                  <w:color w:val="0000FF"/>
                </w:rPr>
                <w:t>among</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20" w:type="dxa"/>
            <w:vAlign w:val="bottom"/>
            <w:tcBorders>
              <w:top w:val="single" w:sz="8" w:color="0000FF"/>
              <w:bottom w:val="single" w:sz="8" w:color="0000FF"/>
            </w:tcBorders>
            <w:gridSpan w:val="31"/>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the Registrant and certain of its stockholders.</w:t>
              </w:r>
            </w:hyperlink>
          </w:p>
        </w:tc>
        <w:tc>
          <w:tcPr>
            <w:tcW w:w="16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60" w:type="dxa"/>
            <w:vAlign w:val="bottom"/>
            <w:gridSpan w:val="43"/>
          </w:tcPr>
          <w:p>
            <w:pPr>
              <w:spacing w:after="0"/>
              <w:rPr>
                <w:rFonts w:ascii="Arial" w:cs="Arial" w:eastAsia="Arial" w:hAnsi="Arial"/>
                <w:sz w:val="14"/>
                <w:szCs w:val="14"/>
                <w:color w:val="0000FF"/>
              </w:rPr>
            </w:pPr>
            <w:hyperlink r:id="rId150">
              <w:r>
                <w:rPr>
                  <w:rFonts w:ascii="Arial" w:cs="Arial" w:eastAsia="Arial" w:hAnsi="Arial"/>
                  <w:sz w:val="14"/>
                  <w:szCs w:val="14"/>
                  <w:color w:val="0000FF"/>
                </w:rPr>
                <w:t>Amendment to Convertible Promissory Notes</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and Warrants, dated January 19, 2016.</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860" w:type="dxa"/>
            <w:vAlign w:val="bottom"/>
            <w:tcBorders>
              <w:bottom w:val="single" w:sz="8" w:color="0000FF"/>
            </w:tcBorders>
            <w:gridSpan w:val="28"/>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Warrant to Purchase Stock issued to</w:t>
              </w:r>
            </w:hyperlink>
          </w:p>
        </w:tc>
        <w:tc>
          <w:tcPr>
            <w:tcW w:w="300" w:type="dxa"/>
            <w:vAlign w:val="bottom"/>
            <w:gridSpan w:val="15"/>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3"/>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Innovatus Life Sciences Lending Fund I, LP in</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98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connection with the Registrant's 2018 loan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72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agreement.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3"/>
          </w:tcPr>
          <w:p>
            <w:pPr>
              <w:spacing w:after="0"/>
              <w:rPr>
                <w:rFonts w:ascii="Arial" w:cs="Arial" w:eastAsia="Arial" w:hAnsi="Arial"/>
                <w:sz w:val="14"/>
                <w:szCs w:val="14"/>
                <w:color w:val="0000FF"/>
              </w:rPr>
            </w:pPr>
            <w:hyperlink r:id="rId152">
              <w:r>
                <w:rPr>
                  <w:rFonts w:ascii="Arial" w:cs="Arial" w:eastAsia="Arial" w:hAnsi="Arial"/>
                  <w:sz w:val="14"/>
                  <w:szCs w:val="14"/>
                  <w:color w:val="0000FF"/>
                </w:rPr>
                <w:t>Exagen Corporation 2002 Stock Option Plan, as</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amended, and form of option agreement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6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thereunder.</w:t>
              </w:r>
            </w:hyperlink>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3"/>
          </w:tcPr>
          <w:p>
            <w:pPr>
              <w:spacing w:after="0"/>
              <w:rPr>
                <w:rFonts w:ascii="Arial" w:cs="Arial" w:eastAsia="Arial" w:hAnsi="Arial"/>
                <w:sz w:val="14"/>
                <w:szCs w:val="14"/>
                <w:color w:val="0000FF"/>
              </w:rPr>
            </w:pPr>
            <w:hyperlink r:id="rId153">
              <w:r>
                <w:rPr>
                  <w:rFonts w:ascii="Arial" w:cs="Arial" w:eastAsia="Arial" w:hAnsi="Arial"/>
                  <w:sz w:val="14"/>
                  <w:szCs w:val="14"/>
                  <w:color w:val="0000FF"/>
                </w:rPr>
                <w:t>Exagen Diagnostics, Inc. 2013 Stock Option</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280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Plan, as amended, and form of option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00" w:type="dxa"/>
            <w:vAlign w:val="bottom"/>
            <w:tcBorders>
              <w:top w:val="single" w:sz="8" w:color="0000FF"/>
            </w:tcBorders>
            <w:gridSpan w:val="12"/>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agreement thereunder.</w:t>
              </w:r>
            </w:hyperlink>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160" w:type="dxa"/>
            <w:vAlign w:val="bottom"/>
            <w:gridSpan w:val="43"/>
          </w:tcPr>
          <w:p>
            <w:pPr>
              <w:spacing w:after="0"/>
              <w:rPr>
                <w:rFonts w:ascii="Arial" w:cs="Arial" w:eastAsia="Arial" w:hAnsi="Arial"/>
                <w:sz w:val="14"/>
                <w:szCs w:val="14"/>
                <w:color w:val="0000FF"/>
              </w:rPr>
            </w:pPr>
            <w:hyperlink r:id="rId154">
              <w:r>
                <w:rPr>
                  <w:rFonts w:ascii="Arial" w:cs="Arial" w:eastAsia="Arial" w:hAnsi="Arial"/>
                  <w:sz w:val="14"/>
                  <w:szCs w:val="14"/>
                  <w:color w:val="0000FF"/>
                </w:rPr>
                <w:t>Exagen Inc. 2019 Incentive Award Plan.</w:t>
              </w:r>
            </w:hyperlink>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60" w:type="dxa"/>
            <w:vAlign w:val="bottom"/>
            <w:gridSpan w:val="43"/>
          </w:tcPr>
          <w:p>
            <w:pPr>
              <w:spacing w:after="0"/>
              <w:rPr>
                <w:rFonts w:ascii="Arial" w:cs="Arial" w:eastAsia="Arial" w:hAnsi="Arial"/>
                <w:sz w:val="14"/>
                <w:szCs w:val="14"/>
                <w:color w:val="0000FF"/>
              </w:rPr>
            </w:pPr>
            <w:hyperlink r:id="rId155">
              <w:r>
                <w:rPr>
                  <w:rFonts w:ascii="Arial" w:cs="Arial" w:eastAsia="Arial" w:hAnsi="Arial"/>
                  <w:sz w:val="14"/>
                  <w:szCs w:val="14"/>
                  <w:color w:val="0000FF"/>
                </w:rPr>
                <w:t>Form of Option Agreement under Exagen Inc.</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4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2019 Incentive Award Plan.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60" w:type="dxa"/>
            <w:vAlign w:val="bottom"/>
            <w:gridSpan w:val="43"/>
          </w:tcPr>
          <w:p>
            <w:pPr>
              <w:spacing w:after="0"/>
              <w:rPr>
                <w:rFonts w:ascii="Arial" w:cs="Arial" w:eastAsia="Arial" w:hAnsi="Arial"/>
                <w:sz w:val="14"/>
                <w:szCs w:val="14"/>
                <w:color w:val="0000FF"/>
              </w:rPr>
            </w:pPr>
            <w:hyperlink w:anchor="page129">
              <w:r>
                <w:rPr>
                  <w:rFonts w:ascii="Arial" w:cs="Arial" w:eastAsia="Arial" w:hAnsi="Arial"/>
                  <w:sz w:val="14"/>
                  <w:szCs w:val="14"/>
                  <w:color w:val="0000FF"/>
                </w:rPr>
                <w:t>Form of Restricted Stock Unit Agreement under</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6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w:anchor="page129">
              <w:r>
                <w:rPr>
                  <w:rFonts w:ascii="Arial" w:cs="Arial" w:eastAsia="Arial" w:hAnsi="Arial"/>
                  <w:sz w:val="13"/>
                  <w:szCs w:val="13"/>
                  <w:color w:val="0000FF"/>
                </w:rPr>
                <w:t>Exagen Inc. 2019 Incentive Award Plan.</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160" w:type="dxa"/>
            <w:vAlign w:val="bottom"/>
            <w:gridSpan w:val="43"/>
          </w:tcPr>
          <w:p>
            <w:pPr>
              <w:spacing w:after="0"/>
              <w:rPr>
                <w:rFonts w:ascii="Arial" w:cs="Arial" w:eastAsia="Arial" w:hAnsi="Arial"/>
                <w:sz w:val="14"/>
                <w:szCs w:val="14"/>
                <w:color w:val="0000FF"/>
              </w:rPr>
            </w:pPr>
            <w:hyperlink r:id="rId156">
              <w:r>
                <w:rPr>
                  <w:rFonts w:ascii="Arial" w:cs="Arial" w:eastAsia="Arial" w:hAnsi="Arial"/>
                  <w:sz w:val="14"/>
                  <w:szCs w:val="14"/>
                  <w:color w:val="0000FF"/>
                </w:rPr>
                <w:t>Exagen Inc. 2019 Employee Stock Purchase</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56">
              <w:r>
                <w:rPr>
                  <w:rFonts w:ascii="Arial" w:cs="Arial" w:eastAsia="Arial" w:hAnsi="Arial"/>
                  <w:sz w:val="13"/>
                  <w:szCs w:val="13"/>
                  <w:color w:val="0000FF"/>
                </w:rPr>
                <w:t>Plan.</w:t>
              </w:r>
            </w:hyperlink>
          </w:p>
        </w:tc>
        <w:tc>
          <w:tcPr>
            <w:tcW w:w="2500" w:type="dxa"/>
            <w:vAlign w:val="bottom"/>
            <w:tcBorders>
              <w:top w:val="single" w:sz="8" w:color="0000FF"/>
            </w:tcBorders>
            <w:gridSpan w:val="25"/>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3"/>
          </w:tcPr>
          <w:p>
            <w:pPr>
              <w:spacing w:after="0"/>
              <w:rPr>
                <w:rFonts w:ascii="Arial" w:cs="Arial" w:eastAsia="Arial" w:hAnsi="Arial"/>
                <w:sz w:val="14"/>
                <w:szCs w:val="14"/>
                <w:color w:val="0000FF"/>
              </w:rPr>
            </w:pPr>
            <w:hyperlink r:id="rId157">
              <w:r>
                <w:rPr>
                  <w:rFonts w:ascii="Arial" w:cs="Arial" w:eastAsia="Arial" w:hAnsi="Arial"/>
                  <w:sz w:val="14"/>
                  <w:szCs w:val="14"/>
                  <w:color w:val="0000FF"/>
                </w:rPr>
                <w:t>License Agreement, dated September 13, 2007,</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by and between Prometheus Laboratories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w:t>
            </w:r>
          </w:p>
        </w:tc>
        <w:tc>
          <w:tcPr>
            <w:tcW w:w="300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and the Registrant (as successor in interest 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6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Proprius, Inc.).</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3"/>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First Amendment to License Agreement, dated</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20" w:type="dxa"/>
            <w:vAlign w:val="bottom"/>
            <w:tcBorders>
              <w:top w:val="single" w:sz="8" w:color="0000FF"/>
              <w:bottom w:val="single" w:sz="8" w:color="0000FF"/>
            </w:tcBorders>
            <w:gridSpan w:val="36"/>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October 23, 2013, by and between Prometheus</w:t>
              </w:r>
            </w:hyperlink>
          </w:p>
        </w:tc>
        <w:tc>
          <w:tcPr>
            <w:tcW w:w="20" w:type="dxa"/>
            <w:vAlign w:val="bottom"/>
            <w:tcBorders>
              <w:bottom w:val="single" w:sz="8" w:color="0000FF"/>
            </w:tcBorders>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540" w:type="dxa"/>
            <w:vAlign w:val="bottom"/>
            <w:tcBorders>
              <w:bottom w:val="single" w:sz="8" w:color="0000FF"/>
            </w:tcBorders>
            <w:gridSpan w:val="14"/>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Laboratories Inc. and the Registrant (as</w:t>
              </w:r>
            </w:hyperlink>
          </w:p>
        </w:tc>
        <w:tc>
          <w:tcPr>
            <w:tcW w:w="500" w:type="dxa"/>
            <w:vAlign w:val="bottom"/>
            <w:gridSpan w:val="2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3160" w:type="dxa"/>
            <w:vAlign w:val="bottom"/>
            <w:gridSpan w:val="43"/>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successor in interest to Cypress Bioscience,</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Inc.).</w:t>
              </w:r>
            </w:hyperlink>
          </w:p>
        </w:tc>
        <w:tc>
          <w:tcPr>
            <w:tcW w:w="2500" w:type="dxa"/>
            <w:vAlign w:val="bottom"/>
            <w:tcBorders>
              <w:top w:val="single" w:sz="8" w:color="0000FF"/>
            </w:tcBorders>
            <w:gridSpan w:val="25"/>
          </w:tcPr>
          <w:p>
            <w:pPr>
              <w:spacing w:after="0"/>
              <w:rPr>
                <w:sz w:val="10"/>
                <w:szCs w:val="10"/>
                <w:color w:val="auto"/>
              </w:rPr>
            </w:pPr>
          </w:p>
        </w:tc>
        <w:tc>
          <w:tcPr>
            <w:tcW w:w="100" w:type="dxa"/>
            <w:vAlign w:val="bottom"/>
            <w:gridSpan w:val="5"/>
          </w:tcPr>
          <w:p>
            <w:pPr>
              <w:spacing w:after="0"/>
              <w:rPr>
                <w:sz w:val="10"/>
                <w:szCs w:val="10"/>
                <w:color w:val="auto"/>
              </w:rPr>
            </w:pPr>
          </w:p>
        </w:tc>
        <w:tc>
          <w:tcPr>
            <w:tcW w:w="20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920" w:type="dxa"/>
            <w:vAlign w:val="bottom"/>
            <w:tcBorders>
              <w:bottom w:val="single" w:sz="8" w:color="0000FF"/>
            </w:tcBorders>
            <w:gridSpan w:val="31"/>
          </w:tcPr>
          <w:p>
            <w:pPr>
              <w:spacing w:after="0"/>
              <w:rPr>
                <w:rFonts w:ascii="Arial" w:cs="Arial" w:eastAsia="Arial" w:hAnsi="Arial"/>
                <w:sz w:val="14"/>
                <w:szCs w:val="14"/>
                <w:color w:val="0000FF"/>
              </w:rPr>
            </w:pPr>
            <w:hyperlink r:id="rId159">
              <w:r>
                <w:rPr>
                  <w:rFonts w:ascii="Arial" w:cs="Arial" w:eastAsia="Arial" w:hAnsi="Arial"/>
                  <w:sz w:val="14"/>
                  <w:szCs w:val="14"/>
                  <w:color w:val="0000FF"/>
                </w:rPr>
                <w:t>Asset Purchase Agreement, dated October 8,</w:t>
              </w:r>
            </w:hyperlink>
          </w:p>
        </w:tc>
        <w:tc>
          <w:tcPr>
            <w:tcW w:w="240" w:type="dxa"/>
            <w:vAlign w:val="bottom"/>
            <w:gridSpan w:val="12"/>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3160" w:type="dxa"/>
            <w:vAlign w:val="bottom"/>
            <w:gridSpan w:val="43"/>
          </w:tcPr>
          <w:p>
            <w:pPr>
              <w:spacing w:after="0" w:line="115" w:lineRule="exact"/>
              <w:rPr>
                <w:rFonts w:ascii="Arial" w:cs="Arial" w:eastAsia="Arial" w:hAnsi="Arial"/>
                <w:sz w:val="13"/>
                <w:szCs w:val="13"/>
                <w:color w:val="0000FF"/>
              </w:rPr>
            </w:pPr>
            <w:hyperlink r:id="rId159">
              <w:r>
                <w:rPr>
                  <w:rFonts w:ascii="Arial" w:cs="Arial" w:eastAsia="Arial" w:hAnsi="Arial"/>
                  <w:sz w:val="13"/>
                  <w:szCs w:val="13"/>
                  <w:color w:val="0000FF"/>
                </w:rPr>
                <w:t>2010, by and between Cypress Bioscience, Inc.,</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59">
              <w:r>
                <w:rPr>
                  <w:rFonts w:ascii="Arial" w:cs="Arial" w:eastAsia="Arial" w:hAnsi="Arial"/>
                  <w:sz w:val="13"/>
                  <w:szCs w:val="13"/>
                  <w:color w:val="0000FF"/>
                </w:rPr>
                <w:t>Proprius, Inc. and the Registrant.</w:t>
              </w:r>
            </w:hyperlink>
          </w:p>
        </w:tc>
        <w:tc>
          <w:tcPr>
            <w:tcW w:w="1020" w:type="dxa"/>
            <w:vAlign w:val="bottom"/>
            <w:tcBorders>
              <w:top w:val="single" w:sz="8" w:color="0000FF"/>
            </w:tcBorders>
            <w:gridSpan w:val="3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560" w:type="dxa"/>
            <w:vAlign w:val="bottom"/>
            <w:tcBorders>
              <w:bottom w:val="single" w:sz="8" w:color="0000FF"/>
            </w:tcBorders>
            <w:gridSpan w:val="15"/>
          </w:tcPr>
          <w:p>
            <w:pPr>
              <w:spacing w:after="0"/>
              <w:rPr>
                <w:rFonts w:ascii="Arial" w:cs="Arial" w:eastAsia="Arial" w:hAnsi="Arial"/>
                <w:sz w:val="14"/>
                <w:szCs w:val="14"/>
                <w:color w:val="0000FF"/>
              </w:rPr>
            </w:pPr>
            <w:hyperlink r:id="rId160">
              <w:r>
                <w:rPr>
                  <w:rFonts w:ascii="Arial" w:cs="Arial" w:eastAsia="Arial" w:hAnsi="Arial"/>
                  <w:sz w:val="14"/>
                  <w:szCs w:val="14"/>
                  <w:color w:val="0000FF"/>
                </w:rPr>
                <w:t>Amendment No. One to Asset Purchase</w:t>
              </w:r>
            </w:hyperlink>
          </w:p>
        </w:tc>
        <w:tc>
          <w:tcPr>
            <w:tcW w:w="600" w:type="dxa"/>
            <w:vAlign w:val="bottom"/>
            <w:gridSpan w:val="28"/>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3160" w:type="dxa"/>
            <w:vAlign w:val="bottom"/>
            <w:gridSpan w:val="43"/>
          </w:tcPr>
          <w:p>
            <w:pPr>
              <w:spacing w:after="0" w:line="106" w:lineRule="exact"/>
              <w:rPr>
                <w:rFonts w:ascii="Arial" w:cs="Arial" w:eastAsia="Arial" w:hAnsi="Arial"/>
                <w:sz w:val="12"/>
                <w:szCs w:val="12"/>
                <w:color w:val="0000FF"/>
              </w:rPr>
            </w:pPr>
            <w:hyperlink r:id="rId160">
              <w:r>
                <w:rPr>
                  <w:rFonts w:ascii="Arial" w:cs="Arial" w:eastAsia="Arial" w:hAnsi="Arial"/>
                  <w:sz w:val="12"/>
                  <w:szCs w:val="12"/>
                  <w:color w:val="0000FF"/>
                </w:rPr>
                <w:t>Agreement, dated March 10, 2011, by and</w:t>
              </w:r>
            </w:hyperlink>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2700" w:type="dxa"/>
            <w:vAlign w:val="bottom"/>
            <w:tcBorders>
              <w:top w:val="single" w:sz="8" w:color="0000FF"/>
            </w:tcBorders>
            <w:gridSpan w:val="20"/>
          </w:tcPr>
          <w:p>
            <w:pPr>
              <w:spacing w:after="0" w:line="122" w:lineRule="exact"/>
              <w:rPr>
                <w:rFonts w:ascii="Arial" w:cs="Arial" w:eastAsia="Arial" w:hAnsi="Arial"/>
                <w:sz w:val="14"/>
                <w:szCs w:val="14"/>
                <w:color w:val="0000FF"/>
                <w:w w:val="97"/>
              </w:rPr>
            </w:pPr>
            <w:hyperlink r:id="rId160">
              <w:r>
                <w:rPr>
                  <w:rFonts w:ascii="Arial" w:cs="Arial" w:eastAsia="Arial" w:hAnsi="Arial"/>
                  <w:sz w:val="14"/>
                  <w:szCs w:val="14"/>
                  <w:color w:val="0000FF"/>
                  <w:w w:val="97"/>
                </w:rPr>
                <w:t>between Cypress Bioscience, Inc., Proprius,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19"/>
          </w:tcPr>
          <w:p>
            <w:pPr>
              <w:ind w:left="60"/>
              <w:spacing w:after="0" w:line="122" w:lineRule="exact"/>
              <w:rPr>
                <w:rFonts w:ascii="Arial" w:cs="Arial" w:eastAsia="Arial" w:hAnsi="Arial"/>
                <w:sz w:val="14"/>
                <w:szCs w:val="14"/>
                <w:color w:val="0000FF"/>
              </w:rPr>
            </w:pPr>
            <w:hyperlink r:id="rId160">
              <w:r>
                <w:rPr>
                  <w:rFonts w:ascii="Arial" w:cs="Arial" w:eastAsia="Arial" w:hAnsi="Arial"/>
                  <w:sz w:val="14"/>
                  <w:szCs w:val="14"/>
                  <w:color w:val="0000FF"/>
                </w:rPr>
                <w:t>Inc.</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4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and the Registrant.</w:t>
              </w:r>
            </w:hyperlink>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3"/>
          </w:tcPr>
          <w:p>
            <w:pPr>
              <w:spacing w:after="0"/>
              <w:rPr>
                <w:rFonts w:ascii="Arial" w:cs="Arial" w:eastAsia="Arial" w:hAnsi="Arial"/>
                <w:sz w:val="14"/>
                <w:szCs w:val="14"/>
                <w:color w:val="0000FF"/>
              </w:rPr>
            </w:pPr>
            <w:hyperlink r:id="rId161">
              <w:r>
                <w:rPr>
                  <w:rFonts w:ascii="Arial" w:cs="Arial" w:eastAsia="Arial" w:hAnsi="Arial"/>
                  <w:sz w:val="14"/>
                  <w:szCs w:val="14"/>
                  <w:color w:val="0000FF"/>
                </w:rPr>
                <w:t>Amendment No. Two to Asset Purchase</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540" w:type="dxa"/>
            <w:vAlign w:val="bottom"/>
            <w:tcBorders>
              <w:top w:val="single" w:sz="8" w:color="0000FF"/>
            </w:tcBorders>
            <w:gridSpan w:val="14"/>
          </w:tcPr>
          <w:p>
            <w:pPr>
              <w:spacing w:after="0" w:line="122" w:lineRule="exact"/>
              <w:rPr>
                <w:rFonts w:ascii="Arial" w:cs="Arial" w:eastAsia="Arial" w:hAnsi="Arial"/>
                <w:sz w:val="14"/>
                <w:szCs w:val="14"/>
                <w:color w:val="0000FF"/>
              </w:rPr>
            </w:pPr>
            <w:hyperlink r:id="rId161">
              <w:r>
                <w:rPr>
                  <w:rFonts w:ascii="Arial" w:cs="Arial" w:eastAsia="Arial" w:hAnsi="Arial"/>
                  <w:sz w:val="14"/>
                  <w:szCs w:val="14"/>
                  <w:color w:val="0000FF"/>
                </w:rPr>
                <w:t>Agreement, dated August 21, 2012, by</w:t>
              </w:r>
            </w:hyperlink>
          </w:p>
        </w:tc>
        <w:tc>
          <w:tcPr>
            <w:tcW w:w="620" w:type="dxa"/>
            <w:vAlign w:val="bottom"/>
            <w:gridSpan w:val="29"/>
          </w:tcPr>
          <w:p>
            <w:pPr>
              <w:spacing w:after="0" w:line="122" w:lineRule="exact"/>
              <w:rPr>
                <w:rFonts w:ascii="Arial" w:cs="Arial" w:eastAsia="Arial" w:hAnsi="Arial"/>
                <w:sz w:val="14"/>
                <w:szCs w:val="14"/>
                <w:color w:val="0000FF"/>
              </w:rPr>
            </w:pPr>
            <w:hyperlink r:id="rId161">
              <w:r>
                <w:rPr>
                  <w:rFonts w:ascii="Arial" w:cs="Arial" w:eastAsia="Arial" w:hAnsi="Arial"/>
                  <w:sz w:val="14"/>
                  <w:szCs w:val="14"/>
                  <w:color w:val="0000FF"/>
                </w:rPr>
                <w:t>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10.11</w:t>
            </w:r>
          </w:p>
        </w:tc>
        <w:tc>
          <w:tcPr>
            <w:tcW w:w="276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380" w:type="dxa"/>
            <w:vAlign w:val="bottom"/>
            <w:gridSpan w:val="19"/>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9"/>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380" w:type="dxa"/>
            <w:vAlign w:val="bottom"/>
            <w:gridSpan w:val="19"/>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660" w:type="dxa"/>
            <w:vAlign w:val="bottom"/>
            <w:tcBorders>
              <w:bottom w:val="single" w:sz="8" w:color="0000FF"/>
            </w:tcBorders>
            <w:gridSpan w:val="18"/>
          </w:tcPr>
          <w:p>
            <w:pPr>
              <w:spacing w:after="0"/>
              <w:rPr>
                <w:rFonts w:ascii="Arial" w:cs="Arial" w:eastAsia="Arial" w:hAnsi="Arial"/>
                <w:sz w:val="14"/>
                <w:szCs w:val="14"/>
                <w:color w:val="0000FF"/>
              </w:rPr>
            </w:pPr>
            <w:hyperlink r:id="rId162">
              <w:r>
                <w:rPr>
                  <w:rFonts w:ascii="Arial" w:cs="Arial" w:eastAsia="Arial" w:hAnsi="Arial"/>
                  <w:sz w:val="14"/>
                  <w:szCs w:val="14"/>
                  <w:color w:val="0000FF"/>
                </w:rPr>
                <w:t>Amendment No. Three to Asset Purchase</w:t>
              </w:r>
            </w:hyperlink>
          </w:p>
        </w:tc>
        <w:tc>
          <w:tcPr>
            <w:tcW w:w="500" w:type="dxa"/>
            <w:vAlign w:val="bottom"/>
            <w:gridSpan w:val="25"/>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3"/>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Agreement, dated February 6, 2013, by 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10.12†</w:t>
            </w:r>
          </w:p>
        </w:tc>
        <w:tc>
          <w:tcPr>
            <w:tcW w:w="278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between Royalty Pharma Collection Trust,</w:t>
              </w:r>
            </w:hyperlink>
          </w:p>
        </w:tc>
        <w:tc>
          <w:tcPr>
            <w:tcW w:w="380" w:type="dxa"/>
            <w:vAlign w:val="bottom"/>
            <w:gridSpan w:val="19"/>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9"/>
          </w:tcPr>
          <w:p>
            <w:pPr>
              <w:spacing w:after="0"/>
              <w:rPr>
                <w:sz w:val="10"/>
                <w:szCs w:val="10"/>
                <w:color w:val="auto"/>
              </w:rPr>
            </w:pPr>
          </w:p>
        </w:tc>
        <w:tc>
          <w:tcPr>
            <w:tcW w:w="60" w:type="dxa"/>
            <w:vAlign w:val="bottom"/>
            <w:gridSpan w:val="3"/>
          </w:tcPr>
          <w:p>
            <w:pPr>
              <w:spacing w:after="0"/>
              <w:rPr>
                <w:sz w:val="10"/>
                <w:szCs w:val="10"/>
                <w:color w:val="auto"/>
              </w:rPr>
            </w:pPr>
          </w:p>
        </w:tc>
        <w:tc>
          <w:tcPr>
            <w:tcW w:w="420" w:type="dxa"/>
            <w:vAlign w:val="bottom"/>
            <w:gridSpan w:val="21"/>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580" w:type="dxa"/>
            <w:vAlign w:val="bottom"/>
            <w:tcBorders>
              <w:bottom w:val="single" w:sz="8" w:color="0000FF"/>
            </w:tcBorders>
            <w:gridSpan w:val="16"/>
          </w:tcPr>
          <w:p>
            <w:pPr>
              <w:spacing w:after="0"/>
              <w:rPr>
                <w:rFonts w:ascii="Arial" w:cs="Arial" w:eastAsia="Arial" w:hAnsi="Arial"/>
                <w:sz w:val="14"/>
                <w:szCs w:val="14"/>
                <w:color w:val="0000FF"/>
              </w:rPr>
            </w:pPr>
            <w:hyperlink r:id="rId163">
              <w:r>
                <w:rPr>
                  <w:rFonts w:ascii="Arial" w:cs="Arial" w:eastAsia="Arial" w:hAnsi="Arial"/>
                  <w:sz w:val="14"/>
                  <w:szCs w:val="14"/>
                  <w:color w:val="0000FF"/>
                </w:rPr>
                <w:t>Amendment No. Four to Asset Purchase</w:t>
              </w:r>
            </w:hyperlink>
          </w:p>
        </w:tc>
        <w:tc>
          <w:tcPr>
            <w:tcW w:w="580" w:type="dxa"/>
            <w:vAlign w:val="bottom"/>
            <w:gridSpan w:val="27"/>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3"/>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Agreement, dated October 8, 2013, by 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10.13</w:t>
            </w:r>
          </w:p>
        </w:tc>
        <w:tc>
          <w:tcPr>
            <w:tcW w:w="274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between Royalty Pharma Collection Trust,</w:t>
              </w:r>
            </w:hyperlink>
          </w:p>
        </w:tc>
        <w:tc>
          <w:tcPr>
            <w:tcW w:w="420" w:type="dxa"/>
            <w:vAlign w:val="bottom"/>
            <w:gridSpan w:val="21"/>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9"/>
          </w:tcPr>
          <w:p>
            <w:pPr>
              <w:spacing w:after="0"/>
              <w:rPr>
                <w:sz w:val="10"/>
                <w:szCs w:val="10"/>
                <w:color w:val="auto"/>
              </w:rPr>
            </w:pPr>
          </w:p>
        </w:tc>
        <w:tc>
          <w:tcPr>
            <w:tcW w:w="480" w:type="dxa"/>
            <w:vAlign w:val="bottom"/>
            <w:gridSpan w:val="24"/>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29" w:right="11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3"/>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65">
              <w:r>
                <w:rPr>
                  <w:rFonts w:ascii="Arial" w:cs="Arial" w:eastAsia="Arial" w:hAnsi="Arial"/>
                  <w:sz w:val="14"/>
                  <w:szCs w:val="14"/>
                  <w:color w:val="0000FF"/>
                </w:rPr>
                <w:t>Amendment No. Five to Asset Purchase</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2560" w:type="dxa"/>
            <w:vAlign w:val="bottom"/>
            <w:tcBorders>
              <w:top w:val="single" w:sz="8" w:color="0000FF"/>
            </w:tcBorders>
            <w:gridSpan w:val="13"/>
          </w:tcPr>
          <w:p>
            <w:pPr>
              <w:spacing w:after="0" w:line="122" w:lineRule="exact"/>
              <w:rPr>
                <w:rFonts w:ascii="Arial" w:cs="Arial" w:eastAsia="Arial" w:hAnsi="Arial"/>
                <w:sz w:val="14"/>
                <w:szCs w:val="14"/>
                <w:color w:val="0000FF"/>
              </w:rPr>
            </w:pPr>
            <w:hyperlink r:id="rId165">
              <w:r>
                <w:rPr>
                  <w:rFonts w:ascii="Arial" w:cs="Arial" w:eastAsia="Arial" w:hAnsi="Arial"/>
                  <w:sz w:val="14"/>
                  <w:szCs w:val="14"/>
                  <w:color w:val="0000FF"/>
                </w:rPr>
                <w:t>Agreement, dated January 26, 2016, by</w:t>
              </w:r>
            </w:hyperlink>
          </w:p>
        </w:tc>
        <w:tc>
          <w:tcPr>
            <w:tcW w:w="700" w:type="dxa"/>
            <w:vAlign w:val="bottom"/>
            <w:gridSpan w:val="27"/>
          </w:tcPr>
          <w:p>
            <w:pPr>
              <w:spacing w:after="0" w:line="122" w:lineRule="exact"/>
              <w:rPr>
                <w:rFonts w:ascii="Arial" w:cs="Arial" w:eastAsia="Arial" w:hAnsi="Arial"/>
                <w:sz w:val="14"/>
                <w:szCs w:val="14"/>
                <w:color w:val="0000FF"/>
              </w:rPr>
            </w:pPr>
            <w:hyperlink r:id="rId165">
              <w:r>
                <w:rPr>
                  <w:rFonts w:ascii="Arial" w:cs="Arial" w:eastAsia="Arial" w:hAnsi="Arial"/>
                  <w:sz w:val="14"/>
                  <w:szCs w:val="14"/>
                  <w:color w:val="0000FF"/>
                </w:rPr>
                <w:t>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10.14</w:t>
            </w:r>
          </w:p>
        </w:tc>
        <w:tc>
          <w:tcPr>
            <w:tcW w:w="282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10.16</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480" w:type="dxa"/>
            <w:vAlign w:val="bottom"/>
            <w:tcBorders>
              <w:bottom w:val="single" w:sz="8" w:color="0000FF"/>
            </w:tcBorders>
            <w:gridSpan w:val="12"/>
          </w:tcPr>
          <w:p>
            <w:pPr>
              <w:spacing w:after="0"/>
              <w:rPr>
                <w:rFonts w:ascii="Arial" w:cs="Arial" w:eastAsia="Arial" w:hAnsi="Arial"/>
                <w:sz w:val="14"/>
                <w:szCs w:val="14"/>
                <w:color w:val="0000FF"/>
              </w:rPr>
            </w:pPr>
            <w:hyperlink r:id="rId166">
              <w:r>
                <w:rPr>
                  <w:rFonts w:ascii="Arial" w:cs="Arial" w:eastAsia="Arial" w:hAnsi="Arial"/>
                  <w:sz w:val="14"/>
                  <w:szCs w:val="14"/>
                  <w:color w:val="0000FF"/>
                </w:rPr>
                <w:t>Amendment No. Six to Asset Purchase</w:t>
              </w:r>
            </w:hyperlink>
          </w:p>
        </w:tc>
        <w:tc>
          <w:tcPr>
            <w:tcW w:w="780" w:type="dxa"/>
            <w:vAlign w:val="bottom"/>
            <w:gridSpan w:val="28"/>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0"/>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Agreement, dated February 16, 2017, by 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10.15†</w:t>
            </w:r>
          </w:p>
        </w:tc>
        <w:tc>
          <w:tcPr>
            <w:tcW w:w="286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10.17</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67">
              <w:r>
                <w:rPr>
                  <w:rFonts w:ascii="Arial" w:cs="Arial" w:eastAsia="Arial" w:hAnsi="Arial"/>
                  <w:sz w:val="14"/>
                  <w:szCs w:val="14"/>
                  <w:color w:val="0000FF"/>
                </w:rPr>
                <w:t>Amended and Restated Exclusive License</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2700" w:type="dxa"/>
            <w:vAlign w:val="bottom"/>
            <w:tcBorders>
              <w:top w:val="single" w:sz="8" w:color="0000FF"/>
            </w:tcBorders>
            <w:gridSpan w:val="17"/>
          </w:tcPr>
          <w:p>
            <w:pPr>
              <w:spacing w:after="0" w:line="106" w:lineRule="exact"/>
              <w:rPr>
                <w:rFonts w:ascii="Arial" w:cs="Arial" w:eastAsia="Arial" w:hAnsi="Arial"/>
                <w:sz w:val="12"/>
                <w:szCs w:val="12"/>
                <w:color w:val="0000FF"/>
              </w:rPr>
            </w:pPr>
            <w:hyperlink r:id="rId167">
              <w:r>
                <w:rPr>
                  <w:rFonts w:ascii="Arial" w:cs="Arial" w:eastAsia="Arial" w:hAnsi="Arial"/>
                  <w:sz w:val="12"/>
                  <w:szCs w:val="12"/>
                  <w:color w:val="0000FF"/>
                </w:rPr>
                <w:t>Agreement, dated August 2, 2011, by and</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60" w:type="dxa"/>
            <w:vAlign w:val="bottom"/>
            <w:tcBorders>
              <w:top w:val="single" w:sz="8" w:color="0000FF"/>
            </w:tcBorders>
            <w:gridSpan w:val="15"/>
          </w:tcPr>
          <w:p>
            <w:pPr>
              <w:spacing w:after="0" w:line="113" w:lineRule="exact"/>
              <w:rPr>
                <w:rFonts w:ascii="Arial" w:cs="Arial" w:eastAsia="Arial" w:hAnsi="Arial"/>
                <w:sz w:val="13"/>
                <w:szCs w:val="13"/>
                <w:color w:val="0000FF"/>
              </w:rPr>
            </w:pPr>
            <w:hyperlink r:id="rId167">
              <w:r>
                <w:rPr>
                  <w:rFonts w:ascii="Arial" w:cs="Arial" w:eastAsia="Arial" w:hAnsi="Arial"/>
                  <w:sz w:val="13"/>
                  <w:szCs w:val="13"/>
                  <w:color w:val="0000FF"/>
                </w:rPr>
                <w:t>between the University of Pittsburgh—Of</w:t>
              </w:r>
            </w:hyperlink>
          </w:p>
        </w:tc>
        <w:tc>
          <w:tcPr>
            <w:tcW w:w="600" w:type="dxa"/>
            <w:vAlign w:val="bottom"/>
            <w:gridSpan w:val="25"/>
          </w:tcPr>
          <w:p>
            <w:pPr>
              <w:spacing w:after="0" w:line="113" w:lineRule="exact"/>
              <w:rPr>
                <w:rFonts w:ascii="Arial" w:cs="Arial" w:eastAsia="Arial" w:hAnsi="Arial"/>
                <w:sz w:val="13"/>
                <w:szCs w:val="13"/>
                <w:color w:val="0000FF"/>
              </w:rPr>
            </w:pPr>
            <w:hyperlink r:id="rId167">
              <w:r>
                <w:rPr>
                  <w:rFonts w:ascii="Arial" w:cs="Arial" w:eastAsia="Arial" w:hAnsi="Arial"/>
                  <w:sz w:val="13"/>
                  <w:szCs w:val="13"/>
                  <w:color w:val="0000FF"/>
                </w:rPr>
                <w:t>the</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10.16†</w:t>
            </w:r>
          </w:p>
        </w:tc>
        <w:tc>
          <w:tcPr>
            <w:tcW w:w="2860" w:type="dxa"/>
            <w:vAlign w:val="bottom"/>
            <w:tcBorders>
              <w:top w:val="single" w:sz="8" w:color="0000FF"/>
            </w:tcBorders>
            <w:gridSpan w:val="23"/>
          </w:tcPr>
          <w:p>
            <w:pPr>
              <w:spacing w:after="0" w:line="122" w:lineRule="exact"/>
              <w:rPr>
                <w:rFonts w:ascii="Arial" w:cs="Arial" w:eastAsia="Arial" w:hAnsi="Arial"/>
                <w:sz w:val="14"/>
                <w:szCs w:val="14"/>
                <w:color w:val="0000FF"/>
              </w:rPr>
            </w:pPr>
            <w:hyperlink r:id="rId167">
              <w:r>
                <w:rPr>
                  <w:rFonts w:ascii="Arial" w:cs="Arial" w:eastAsia="Arial" w:hAnsi="Arial"/>
                  <w:sz w:val="14"/>
                  <w:szCs w:val="14"/>
                  <w:color w:val="0000FF"/>
                </w:rPr>
                <w:t>Commonwealth System of Higher Education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400" w:type="dxa"/>
            <w:vAlign w:val="bottom"/>
            <w:gridSpan w:val="14"/>
          </w:tcPr>
          <w:p>
            <w:pPr>
              <w:spacing w:after="0" w:line="122" w:lineRule="exact"/>
              <w:rPr>
                <w:rFonts w:ascii="Arial" w:cs="Arial" w:eastAsia="Arial" w:hAnsi="Arial"/>
                <w:sz w:val="14"/>
                <w:szCs w:val="14"/>
                <w:color w:val="0000FF"/>
              </w:rPr>
            </w:pPr>
            <w:hyperlink r:id="rId167">
              <w:r>
                <w:rPr>
                  <w:rFonts w:ascii="Arial" w:cs="Arial" w:eastAsia="Arial" w:hAnsi="Arial"/>
                  <w:sz w:val="14"/>
                  <w:szCs w:val="14"/>
                  <w:color w:val="0000FF"/>
                </w:rPr>
                <w:t>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10.18</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4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67">
              <w:r>
                <w:rPr>
                  <w:rFonts w:ascii="Arial" w:cs="Arial" w:eastAsia="Arial" w:hAnsi="Arial"/>
                  <w:sz w:val="13"/>
                  <w:szCs w:val="13"/>
                  <w:color w:val="0000FF"/>
                </w:rPr>
                <w:t>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00" w:type="dxa"/>
            <w:vAlign w:val="bottom"/>
            <w:tcBorders>
              <w:bottom w:val="single" w:sz="8" w:color="0000FF"/>
            </w:tcBorders>
            <w:gridSpan w:val="20"/>
          </w:tcPr>
          <w:p>
            <w:pPr>
              <w:spacing w:after="0"/>
              <w:rPr>
                <w:rFonts w:ascii="Arial" w:cs="Arial" w:eastAsia="Arial" w:hAnsi="Arial"/>
                <w:sz w:val="14"/>
                <w:szCs w:val="14"/>
                <w:color w:val="0000FF"/>
              </w:rPr>
            </w:pPr>
            <w:hyperlink r:id="rId168">
              <w:r>
                <w:rPr>
                  <w:rFonts w:ascii="Arial" w:cs="Arial" w:eastAsia="Arial" w:hAnsi="Arial"/>
                  <w:sz w:val="14"/>
                  <w:szCs w:val="14"/>
                  <w:color w:val="0000FF"/>
                </w:rPr>
                <w:t>First Amendment to Amended and Restated</w:t>
              </w:r>
            </w:hyperlink>
          </w:p>
        </w:tc>
        <w:tc>
          <w:tcPr>
            <w:tcW w:w="460" w:type="dxa"/>
            <w:vAlign w:val="bottom"/>
            <w:gridSpan w:val="20"/>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0"/>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Exclusive License Agreement, dated May 17,</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2012, by and between the University of</w:t>
              </w:r>
            </w:hyperlink>
          </w:p>
        </w:tc>
        <w:tc>
          <w:tcPr>
            <w:tcW w:w="40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10.17†</w:t>
            </w:r>
          </w:p>
        </w:tc>
        <w:tc>
          <w:tcPr>
            <w:tcW w:w="3260" w:type="dxa"/>
            <w:vAlign w:val="bottom"/>
            <w:gridSpan w:val="40"/>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10.19</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38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Higher Education and the Registrant.</w:t>
              </w:r>
            </w:hyperlink>
          </w:p>
        </w:tc>
        <w:tc>
          <w:tcPr>
            <w:tcW w:w="5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69">
              <w:r>
                <w:rPr>
                  <w:rFonts w:ascii="Arial" w:cs="Arial" w:eastAsia="Arial" w:hAnsi="Arial"/>
                  <w:sz w:val="14"/>
                  <w:szCs w:val="14"/>
                  <w:color w:val="0000FF"/>
                </w:rPr>
                <w:t>Second Amendment to Amended and Restated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30"/>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Exclusive License Agreement, dated September</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060" w:type="dxa"/>
            <w:vAlign w:val="bottom"/>
            <w:gridSpan w:val="33"/>
          </w:tcPr>
          <w:p>
            <w:pPr>
              <w:spacing w:after="0" w:line="106" w:lineRule="exact"/>
              <w:rPr>
                <w:rFonts w:ascii="Arial" w:cs="Arial" w:eastAsia="Arial" w:hAnsi="Arial"/>
                <w:sz w:val="12"/>
                <w:szCs w:val="12"/>
                <w:color w:val="0000FF"/>
              </w:rPr>
            </w:pPr>
            <w:hyperlink r:id="rId169">
              <w:r>
                <w:rPr>
                  <w:rFonts w:ascii="Arial" w:cs="Arial" w:eastAsia="Arial" w:hAnsi="Arial"/>
                  <w:sz w:val="12"/>
                  <w:szCs w:val="12"/>
                  <w:color w:val="0000FF"/>
                </w:rPr>
                <w:t>30, 2013, by and between the University of</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10.18†</w:t>
            </w:r>
          </w:p>
        </w:tc>
        <w:tc>
          <w:tcPr>
            <w:tcW w:w="2720" w:type="dxa"/>
            <w:vAlign w:val="bottom"/>
            <w:tcBorders>
              <w:top w:val="single" w:sz="8" w:color="0000FF"/>
            </w:tcBorders>
            <w:gridSpan w:val="18"/>
          </w:tcPr>
          <w:p>
            <w:pPr>
              <w:spacing w:after="0" w:line="122" w:lineRule="exact"/>
              <w:rPr>
                <w:rFonts w:ascii="Arial" w:cs="Arial" w:eastAsia="Arial" w:hAnsi="Arial"/>
                <w:sz w:val="14"/>
                <w:szCs w:val="14"/>
                <w:color w:val="0000FF"/>
              </w:rPr>
            </w:pPr>
            <w:hyperlink r:id="rId169">
              <w:r>
                <w:rPr>
                  <w:rFonts w:ascii="Arial" w:cs="Arial" w:eastAsia="Arial" w:hAnsi="Arial"/>
                  <w:sz w:val="14"/>
                  <w:szCs w:val="14"/>
                  <w:color w:val="0000FF"/>
                </w:rPr>
                <w:t>Pittsburgh—Of the Commonwealth System</w:t>
              </w:r>
            </w:hyperlink>
          </w:p>
        </w:tc>
        <w:tc>
          <w:tcPr>
            <w:tcW w:w="40" w:type="dxa"/>
            <w:vAlign w:val="bottom"/>
          </w:tcPr>
          <w:p>
            <w:pPr>
              <w:spacing w:after="0"/>
              <w:rPr>
                <w:sz w:val="10"/>
                <w:szCs w:val="10"/>
                <w:color w:val="auto"/>
              </w:rPr>
            </w:pPr>
          </w:p>
        </w:tc>
        <w:tc>
          <w:tcPr>
            <w:tcW w:w="500" w:type="dxa"/>
            <w:vAlign w:val="bottom"/>
            <w:gridSpan w:val="21"/>
          </w:tcPr>
          <w:p>
            <w:pPr>
              <w:ind w:left="20"/>
              <w:spacing w:after="0" w:line="122" w:lineRule="exact"/>
              <w:rPr>
                <w:rFonts w:ascii="Arial" w:cs="Arial" w:eastAsia="Arial" w:hAnsi="Arial"/>
                <w:sz w:val="14"/>
                <w:szCs w:val="14"/>
                <w:color w:val="0000FF"/>
              </w:rPr>
            </w:pPr>
            <w:hyperlink r:id="rId169">
              <w:r>
                <w:rPr>
                  <w:rFonts w:ascii="Arial" w:cs="Arial" w:eastAsia="Arial" w:hAnsi="Arial"/>
                  <w:sz w:val="14"/>
                  <w:szCs w:val="14"/>
                  <w:color w:val="0000FF"/>
                </w:rPr>
                <w:t>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10.20</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38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Higher Education and the Registrant.</w:t>
              </w:r>
            </w:hyperlink>
          </w:p>
        </w:tc>
        <w:tc>
          <w:tcPr>
            <w:tcW w:w="5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860" w:type="dxa"/>
            <w:vAlign w:val="bottom"/>
            <w:tcBorders>
              <w:bottom w:val="single" w:sz="8" w:color="0000FF"/>
            </w:tcBorders>
            <w:gridSpan w:val="26"/>
          </w:tcPr>
          <w:p>
            <w:pPr>
              <w:spacing w:after="0"/>
              <w:rPr>
                <w:rFonts w:ascii="Arial" w:cs="Arial" w:eastAsia="Arial" w:hAnsi="Arial"/>
                <w:sz w:val="14"/>
                <w:szCs w:val="14"/>
                <w:color w:val="0000FF"/>
              </w:rPr>
            </w:pPr>
            <w:hyperlink r:id="rId170">
              <w:r>
                <w:rPr>
                  <w:rFonts w:ascii="Arial" w:cs="Arial" w:eastAsia="Arial" w:hAnsi="Arial"/>
                  <w:sz w:val="14"/>
                  <w:szCs w:val="14"/>
                  <w:color w:val="0000FF"/>
                </w:rPr>
                <w:t>Third Amendment to Amended and Restated</w:t>
              </w:r>
            </w:hyperlink>
          </w:p>
        </w:tc>
        <w:tc>
          <w:tcPr>
            <w:tcW w:w="400" w:type="dxa"/>
            <w:vAlign w:val="bottom"/>
            <w:gridSpan w:val="14"/>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0"/>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Exclusive License Agreement, dated June 24,</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2016, by and between the University of</w:t>
              </w:r>
            </w:hyperlink>
          </w:p>
        </w:tc>
        <w:tc>
          <w:tcPr>
            <w:tcW w:w="440" w:type="dxa"/>
            <w:vAlign w:val="bottom"/>
            <w:tcBorders>
              <w:top w:val="single" w:sz="8" w:color="0000FF"/>
            </w:tcBorders>
            <w:gridSpan w:val="17"/>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10.19</w:t>
            </w:r>
          </w:p>
        </w:tc>
        <w:tc>
          <w:tcPr>
            <w:tcW w:w="3260" w:type="dxa"/>
            <w:vAlign w:val="bottom"/>
            <w:gridSpan w:val="40"/>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10.21</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36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Higher Education and the Registrant.</w:t>
              </w:r>
            </w:hyperlink>
          </w:p>
        </w:tc>
        <w:tc>
          <w:tcPr>
            <w:tcW w:w="540" w:type="dxa"/>
            <w:vAlign w:val="bottom"/>
            <w:tcBorders>
              <w:top w:val="single" w:sz="8" w:color="0000FF"/>
            </w:tcBorders>
            <w:gridSpan w:val="18"/>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71">
              <w:r>
                <w:rPr>
                  <w:rFonts w:ascii="Arial" w:cs="Arial" w:eastAsia="Arial" w:hAnsi="Arial"/>
                  <w:sz w:val="14"/>
                  <w:szCs w:val="14"/>
                  <w:color w:val="0000FF"/>
                </w:rPr>
                <w:t>Exclusive License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060" w:type="dxa"/>
            <w:vAlign w:val="bottom"/>
            <w:tcBorders>
              <w:top w:val="single" w:sz="8" w:color="0000FF"/>
            </w:tcBorders>
            <w:gridSpan w:val="33"/>
          </w:tcPr>
          <w:p>
            <w:pPr>
              <w:spacing w:after="0" w:line="106" w:lineRule="exact"/>
              <w:rPr>
                <w:rFonts w:ascii="Arial" w:cs="Arial" w:eastAsia="Arial" w:hAnsi="Arial"/>
                <w:sz w:val="12"/>
                <w:szCs w:val="12"/>
                <w:color w:val="0000FF"/>
              </w:rPr>
            </w:pPr>
            <w:hyperlink r:id="rId171">
              <w:r>
                <w:rPr>
                  <w:rFonts w:ascii="Arial" w:cs="Arial" w:eastAsia="Arial" w:hAnsi="Arial"/>
                  <w:sz w:val="12"/>
                  <w:szCs w:val="12"/>
                  <w:color w:val="0000FF"/>
                </w:rPr>
                <w:t>30, 2013, by and between the University of</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10.20†</w:t>
            </w:r>
          </w:p>
        </w:tc>
        <w:tc>
          <w:tcPr>
            <w:tcW w:w="2720" w:type="dxa"/>
            <w:vAlign w:val="bottom"/>
            <w:tcBorders>
              <w:top w:val="single" w:sz="8" w:color="0000FF"/>
            </w:tcBorders>
            <w:gridSpan w:val="18"/>
          </w:tcPr>
          <w:p>
            <w:pPr>
              <w:spacing w:after="0" w:line="122" w:lineRule="exact"/>
              <w:rPr>
                <w:rFonts w:ascii="Arial" w:cs="Arial" w:eastAsia="Arial" w:hAnsi="Arial"/>
                <w:sz w:val="14"/>
                <w:szCs w:val="14"/>
                <w:color w:val="0000FF"/>
              </w:rPr>
            </w:pPr>
            <w:hyperlink r:id="rId171">
              <w:r>
                <w:rPr>
                  <w:rFonts w:ascii="Arial" w:cs="Arial" w:eastAsia="Arial" w:hAnsi="Arial"/>
                  <w:sz w:val="14"/>
                  <w:szCs w:val="14"/>
                  <w:color w:val="0000FF"/>
                </w:rPr>
                <w:t>Pittsburgh—Of the Commonwealth System</w:t>
              </w:r>
            </w:hyperlink>
          </w:p>
        </w:tc>
        <w:tc>
          <w:tcPr>
            <w:tcW w:w="40" w:type="dxa"/>
            <w:vAlign w:val="bottom"/>
          </w:tcPr>
          <w:p>
            <w:pPr>
              <w:spacing w:after="0"/>
              <w:rPr>
                <w:sz w:val="10"/>
                <w:szCs w:val="10"/>
                <w:color w:val="auto"/>
              </w:rPr>
            </w:pPr>
          </w:p>
        </w:tc>
        <w:tc>
          <w:tcPr>
            <w:tcW w:w="500" w:type="dxa"/>
            <w:vAlign w:val="bottom"/>
            <w:gridSpan w:val="21"/>
          </w:tcPr>
          <w:p>
            <w:pPr>
              <w:ind w:left="20"/>
              <w:spacing w:after="0" w:line="122" w:lineRule="exact"/>
              <w:rPr>
                <w:rFonts w:ascii="Arial" w:cs="Arial" w:eastAsia="Arial" w:hAnsi="Arial"/>
                <w:sz w:val="14"/>
                <w:szCs w:val="14"/>
                <w:color w:val="0000FF"/>
              </w:rPr>
            </w:pPr>
            <w:hyperlink r:id="rId171">
              <w:r>
                <w:rPr>
                  <w:rFonts w:ascii="Arial" w:cs="Arial" w:eastAsia="Arial" w:hAnsi="Arial"/>
                  <w:sz w:val="14"/>
                  <w:szCs w:val="14"/>
                  <w:color w:val="0000FF"/>
                </w:rPr>
                <w:t>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10.22</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36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171">
              <w:r>
                <w:rPr>
                  <w:rFonts w:ascii="Arial" w:cs="Arial" w:eastAsia="Arial" w:hAnsi="Arial"/>
                  <w:sz w:val="13"/>
                  <w:szCs w:val="13"/>
                  <w:color w:val="0000FF"/>
                </w:rPr>
                <w:t>Higher Education and the Registrant.</w:t>
              </w:r>
            </w:hyperlink>
          </w:p>
        </w:tc>
        <w:tc>
          <w:tcPr>
            <w:tcW w:w="540" w:type="dxa"/>
            <w:vAlign w:val="bottom"/>
            <w:tcBorders>
              <w:top w:val="single" w:sz="8" w:color="0000FF"/>
            </w:tcBorders>
            <w:gridSpan w:val="18"/>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72">
              <w:r>
                <w:rPr>
                  <w:rFonts w:ascii="Arial" w:cs="Arial" w:eastAsia="Arial" w:hAnsi="Arial"/>
                  <w:sz w:val="14"/>
                  <w:szCs w:val="14"/>
                  <w:color w:val="0000FF"/>
                </w:rPr>
                <w:t>Exclusive License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10.21†</w:t>
            </w:r>
          </w:p>
        </w:tc>
        <w:tc>
          <w:tcPr>
            <w:tcW w:w="3080" w:type="dxa"/>
            <w:vAlign w:val="bottom"/>
            <w:tcBorders>
              <w:top w:val="single" w:sz="8" w:color="0000FF"/>
              <w:bottom w:val="single" w:sz="8" w:color="0000FF"/>
            </w:tcBorders>
            <w:gridSpan w:val="34"/>
          </w:tcPr>
          <w:p>
            <w:pPr>
              <w:spacing w:after="0" w:line="115" w:lineRule="exact"/>
              <w:rPr>
                <w:rFonts w:ascii="Arial" w:cs="Arial" w:eastAsia="Arial" w:hAnsi="Arial"/>
                <w:sz w:val="13"/>
                <w:szCs w:val="13"/>
                <w:color w:val="0000FF"/>
              </w:rPr>
            </w:pPr>
            <w:hyperlink r:id="rId172">
              <w:r>
                <w:rPr>
                  <w:rFonts w:ascii="Arial" w:cs="Arial" w:eastAsia="Arial" w:hAnsi="Arial"/>
                  <w:sz w:val="13"/>
                  <w:szCs w:val="13"/>
                  <w:color w:val="0000FF"/>
                </w:rPr>
                <w:t>5, 2011, by and between Thierry Dervieux, Ph.D.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10.23</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80" w:type="dxa"/>
            <w:vAlign w:val="bottom"/>
            <w:gridSpan w:val="39"/>
          </w:tcPr>
          <w:p>
            <w:pPr>
              <w:spacing w:after="0" w:line="115" w:lineRule="exact"/>
              <w:rPr>
                <w:rFonts w:ascii="Arial" w:cs="Arial" w:eastAsia="Arial" w:hAnsi="Arial"/>
                <w:sz w:val="13"/>
                <w:szCs w:val="13"/>
                <w:color w:val="0000FF"/>
              </w:rPr>
            </w:pPr>
            <w:hyperlink r:id="rId172">
              <w:r>
                <w:rPr>
                  <w:rFonts w:ascii="Arial" w:cs="Arial" w:eastAsia="Arial" w:hAnsi="Arial"/>
                  <w:sz w:val="13"/>
                  <w:szCs w:val="13"/>
                  <w:color w:val="0000FF"/>
                </w:rPr>
                <w:t>and the Registrant.</w:t>
              </w:r>
            </w:hyperlink>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73">
              <w:r>
                <w:rPr>
                  <w:rFonts w:ascii="Arial" w:cs="Arial" w:eastAsia="Arial" w:hAnsi="Arial"/>
                  <w:sz w:val="14"/>
                  <w:szCs w:val="14"/>
                  <w:color w:val="0000FF"/>
                </w:rPr>
                <w:t>Co-Promotion Agreement, dated December 10,</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10.22†</w:t>
            </w:r>
          </w:p>
        </w:tc>
        <w:tc>
          <w:tcPr>
            <w:tcW w:w="3260" w:type="dxa"/>
            <w:vAlign w:val="bottom"/>
            <w:gridSpan w:val="40"/>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2018, by and between Janssen Biotech, Inc. 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10.24</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6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the Registrant.</w:t>
              </w:r>
            </w:hyperlink>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900" w:type="dxa"/>
            <w:vAlign w:val="bottom"/>
            <w:tcBorders>
              <w:bottom w:val="single" w:sz="8" w:color="0000FF"/>
            </w:tcBorders>
            <w:gridSpan w:val="25"/>
          </w:tcPr>
          <w:p>
            <w:pPr>
              <w:spacing w:after="0"/>
              <w:rPr>
                <w:rFonts w:ascii="Arial" w:cs="Arial" w:eastAsia="Arial" w:hAnsi="Arial"/>
                <w:sz w:val="14"/>
                <w:szCs w:val="14"/>
                <w:color w:val="0000FF"/>
              </w:rPr>
            </w:pPr>
            <w:hyperlink r:id="rId174">
              <w:r>
                <w:rPr>
                  <w:rFonts w:ascii="Arial" w:cs="Arial" w:eastAsia="Arial" w:hAnsi="Arial"/>
                  <w:sz w:val="14"/>
                  <w:szCs w:val="14"/>
                  <w:color w:val="0000FF"/>
                </w:rPr>
                <w:t>Amendment #1 to Co-Promotion Agreement,</w:t>
              </w:r>
            </w:hyperlink>
          </w:p>
        </w:tc>
        <w:tc>
          <w:tcPr>
            <w:tcW w:w="360" w:type="dxa"/>
            <w:vAlign w:val="bottom"/>
            <w:gridSpan w:val="15"/>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10.23†</w:t>
            </w:r>
          </w:p>
        </w:tc>
        <w:tc>
          <w:tcPr>
            <w:tcW w:w="3260" w:type="dxa"/>
            <w:vAlign w:val="bottom"/>
            <w:gridSpan w:val="40"/>
          </w:tcPr>
          <w:p>
            <w:pPr>
              <w:spacing w:after="0" w:line="115" w:lineRule="exact"/>
              <w:rPr>
                <w:rFonts w:ascii="Arial" w:cs="Arial" w:eastAsia="Arial" w:hAnsi="Arial"/>
                <w:sz w:val="13"/>
                <w:szCs w:val="13"/>
                <w:color w:val="0000FF"/>
              </w:rPr>
            </w:pPr>
            <w:hyperlink r:id="rId174">
              <w:r>
                <w:rPr>
                  <w:rFonts w:ascii="Arial" w:cs="Arial" w:eastAsia="Arial" w:hAnsi="Arial"/>
                  <w:sz w:val="13"/>
                  <w:szCs w:val="13"/>
                  <w:color w:val="0000FF"/>
                </w:rPr>
                <w:t>dated January 1, 2019, by and between Janssen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6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74">
              <w:r>
                <w:rPr>
                  <w:rFonts w:ascii="Arial" w:cs="Arial" w:eastAsia="Arial" w:hAnsi="Arial"/>
                  <w:sz w:val="13"/>
                  <w:szCs w:val="13"/>
                  <w:color w:val="0000FF"/>
                </w:rPr>
                <w:t>Biotech, Inc. and the Registrant.</w:t>
              </w:r>
            </w:hyperlink>
          </w:p>
        </w:tc>
        <w:tc>
          <w:tcPr>
            <w:tcW w:w="10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900" w:type="dxa"/>
            <w:vAlign w:val="bottom"/>
            <w:tcBorders>
              <w:bottom w:val="single" w:sz="8" w:color="0000FF"/>
            </w:tcBorders>
            <w:gridSpan w:val="25"/>
          </w:tcPr>
          <w:p>
            <w:pPr>
              <w:spacing w:after="0"/>
              <w:rPr>
                <w:rFonts w:ascii="Arial" w:cs="Arial" w:eastAsia="Arial" w:hAnsi="Arial"/>
                <w:sz w:val="14"/>
                <w:szCs w:val="14"/>
                <w:color w:val="0000FF"/>
              </w:rPr>
            </w:pPr>
            <w:hyperlink r:id="rId175">
              <w:r>
                <w:rPr>
                  <w:rFonts w:ascii="Arial" w:cs="Arial" w:eastAsia="Arial" w:hAnsi="Arial"/>
                  <w:sz w:val="14"/>
                  <w:szCs w:val="14"/>
                  <w:color w:val="0000FF"/>
                </w:rPr>
                <w:t>Amendment #2 to Co-Promotion Agreement,</w:t>
              </w:r>
            </w:hyperlink>
          </w:p>
        </w:tc>
        <w:tc>
          <w:tcPr>
            <w:tcW w:w="360" w:type="dxa"/>
            <w:vAlign w:val="bottom"/>
            <w:gridSpan w:val="15"/>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10.24†</w:t>
            </w:r>
          </w:p>
        </w:tc>
        <w:tc>
          <w:tcPr>
            <w:tcW w:w="3260" w:type="dxa"/>
            <w:vAlign w:val="bottom"/>
            <w:gridSpan w:val="40"/>
          </w:tcPr>
          <w:p>
            <w:pPr>
              <w:spacing w:after="0" w:line="115" w:lineRule="exact"/>
              <w:rPr>
                <w:rFonts w:ascii="Arial" w:cs="Arial" w:eastAsia="Arial" w:hAnsi="Arial"/>
                <w:sz w:val="13"/>
                <w:szCs w:val="13"/>
                <w:color w:val="0000FF"/>
              </w:rPr>
            </w:pPr>
            <w:hyperlink r:id="rId175">
              <w:r>
                <w:rPr>
                  <w:rFonts w:ascii="Arial" w:cs="Arial" w:eastAsia="Arial" w:hAnsi="Arial"/>
                  <w:sz w:val="13"/>
                  <w:szCs w:val="13"/>
                  <w:color w:val="0000FF"/>
                </w:rPr>
                <w:t>dated June 18, 2020, by and between Janssen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75">
              <w:r>
                <w:rPr>
                  <w:rFonts w:ascii="Arial" w:cs="Arial" w:eastAsia="Arial" w:hAnsi="Arial"/>
                  <w:sz w:val="13"/>
                  <w:szCs w:val="13"/>
                  <w:color w:val="0000FF"/>
                </w:rPr>
                <w:t>Biotech, Inc.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Amendment #3 to Co-Promotion Agreement,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10.25†</w:t>
            </w:r>
          </w:p>
        </w:tc>
        <w:tc>
          <w:tcPr>
            <w:tcW w:w="288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w:anchor="page134">
              <w:r>
                <w:rPr>
                  <w:rFonts w:ascii="Arial" w:cs="Arial" w:eastAsia="Arial" w:hAnsi="Arial"/>
                  <w:sz w:val="13"/>
                  <w:szCs w:val="13"/>
                  <w:color w:val="0000FF"/>
                </w:rPr>
                <w:t>dated December 23, 2020, by and between</w:t>
              </w:r>
            </w:hyperlink>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restart"/>
          </w:tcPr>
          <w:p>
            <w:pPr>
              <w:ind w:left="174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620" w:type="dxa"/>
            <w:vAlign w:val="bottom"/>
            <w:tcBorders>
              <w:top w:val="single" w:sz="8" w:color="0000FF"/>
              <w:bottom w:val="single" w:sz="8" w:color="0000FF"/>
            </w:tcBorders>
            <w:gridSpan w:val="14"/>
          </w:tcPr>
          <w:p>
            <w:pPr>
              <w:spacing w:after="0" w:line="115" w:lineRule="exact"/>
              <w:rPr>
                <w:rFonts w:ascii="Arial" w:cs="Arial" w:eastAsia="Arial" w:hAnsi="Arial"/>
                <w:sz w:val="13"/>
                <w:szCs w:val="13"/>
                <w:color w:val="0000FF"/>
              </w:rPr>
            </w:pPr>
            <w:hyperlink w:anchor="page134">
              <w:r>
                <w:rPr>
                  <w:rFonts w:ascii="Arial" w:cs="Arial" w:eastAsia="Arial" w:hAnsi="Arial"/>
                  <w:sz w:val="13"/>
                  <w:szCs w:val="13"/>
                  <w:color w:val="0000FF"/>
                </w:rPr>
                <w:t>Janssen Biotech, Inc. and the Registrant.</w:t>
              </w:r>
            </w:hyperlink>
          </w:p>
        </w:tc>
        <w:tc>
          <w:tcPr>
            <w:tcW w:w="140" w:type="dxa"/>
            <w:vAlign w:val="bottom"/>
            <w:tcBorders>
              <w:top w:val="single" w:sz="8" w:color="0000FF"/>
            </w:tcBorders>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840" w:type="dxa"/>
            <w:vAlign w:val="bottom"/>
            <w:tcBorders>
              <w:bottom w:val="single" w:sz="8" w:color="0000FF"/>
            </w:tcBorders>
            <w:gridSpan w:val="22"/>
          </w:tcPr>
          <w:p>
            <w:pPr>
              <w:spacing w:after="0"/>
              <w:rPr>
                <w:rFonts w:ascii="Arial" w:cs="Arial" w:eastAsia="Arial" w:hAnsi="Arial"/>
                <w:sz w:val="14"/>
                <w:szCs w:val="14"/>
                <w:color w:val="0000FF"/>
              </w:rPr>
            </w:pPr>
            <w:hyperlink r:id="rId176">
              <w:r>
                <w:rPr>
                  <w:rFonts w:ascii="Arial" w:cs="Arial" w:eastAsia="Arial" w:hAnsi="Arial"/>
                  <w:sz w:val="14"/>
                  <w:szCs w:val="14"/>
                  <w:color w:val="0000FF"/>
                </w:rPr>
                <w:t>Standard Industrial/Commercial Multi-Tenant</w:t>
              </w:r>
            </w:hyperlink>
          </w:p>
        </w:tc>
        <w:tc>
          <w:tcPr>
            <w:tcW w:w="420" w:type="dxa"/>
            <w:vAlign w:val="bottom"/>
            <w:gridSpan w:val="18"/>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10.26</w:t>
            </w:r>
          </w:p>
        </w:tc>
        <w:tc>
          <w:tcPr>
            <w:tcW w:w="3260" w:type="dxa"/>
            <w:vAlign w:val="bottom"/>
            <w:gridSpan w:val="40"/>
          </w:tcPr>
          <w:p>
            <w:pPr>
              <w:spacing w:after="0" w:line="115" w:lineRule="exact"/>
              <w:rPr>
                <w:rFonts w:ascii="Arial" w:cs="Arial" w:eastAsia="Arial" w:hAnsi="Arial"/>
                <w:sz w:val="13"/>
                <w:szCs w:val="13"/>
                <w:color w:val="0000FF"/>
              </w:rPr>
            </w:pPr>
            <w:hyperlink r:id="rId176">
              <w:r>
                <w:rPr>
                  <w:rFonts w:ascii="Arial" w:cs="Arial" w:eastAsia="Arial" w:hAnsi="Arial"/>
                  <w:sz w:val="13"/>
                  <w:szCs w:val="13"/>
                  <w:color w:val="0000FF"/>
                </w:rPr>
                <w:t>Lease, dated January 13, 2012, by and between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26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rPr>
            </w:pPr>
            <w:hyperlink r:id="rId176">
              <w:r>
                <w:rPr>
                  <w:rFonts w:ascii="Arial" w:cs="Arial" w:eastAsia="Arial" w:hAnsi="Arial"/>
                  <w:sz w:val="13"/>
                  <w:szCs w:val="13"/>
                  <w:color w:val="0000FF"/>
                </w:rPr>
                <w:t>RGS Properties and the Registrant.</w:t>
              </w:r>
            </w:hyperlink>
          </w:p>
        </w:tc>
        <w:tc>
          <w:tcPr>
            <w:tcW w:w="84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77">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880" w:type="dxa"/>
            <w:vAlign w:val="bottom"/>
            <w:tcBorders>
              <w:top w:val="single" w:sz="8" w:color="0000FF"/>
            </w:tcBorders>
            <w:gridSpan w:val="3"/>
          </w:tcPr>
          <w:p>
            <w:pPr>
              <w:spacing w:after="0" w:line="122" w:lineRule="exact"/>
              <w:rPr>
                <w:rFonts w:ascii="Arial" w:cs="Arial" w:eastAsia="Arial" w:hAnsi="Arial"/>
                <w:sz w:val="14"/>
                <w:szCs w:val="14"/>
                <w:color w:val="0000FF"/>
              </w:rPr>
            </w:pPr>
            <w:hyperlink r:id="rId177">
              <w:r>
                <w:rPr>
                  <w:rFonts w:ascii="Arial" w:cs="Arial" w:eastAsia="Arial" w:hAnsi="Arial"/>
                  <w:sz w:val="14"/>
                  <w:szCs w:val="14"/>
                  <w:color w:val="0000FF"/>
                </w:rPr>
                <w:t>Industrial/Commercial Multi-</w:t>
              </w:r>
            </w:hyperlink>
          </w:p>
        </w:tc>
        <w:tc>
          <w:tcPr>
            <w:tcW w:w="1380" w:type="dxa"/>
            <w:vAlign w:val="bottom"/>
            <w:gridSpan w:val="37"/>
          </w:tcPr>
          <w:p>
            <w:pPr>
              <w:spacing w:after="0" w:line="122" w:lineRule="exact"/>
              <w:rPr>
                <w:rFonts w:ascii="Arial" w:cs="Arial" w:eastAsia="Arial" w:hAnsi="Arial"/>
                <w:sz w:val="14"/>
                <w:szCs w:val="14"/>
                <w:color w:val="0000FF"/>
              </w:rPr>
            </w:pPr>
            <w:hyperlink r:id="rId177">
              <w:r>
                <w:rPr>
                  <w:rFonts w:ascii="Arial" w:cs="Arial" w:eastAsia="Arial" w:hAnsi="Arial"/>
                  <w:sz w:val="14"/>
                  <w:szCs w:val="14"/>
                  <w:color w:val="0000FF"/>
                </w:rPr>
                <w:t>Tenant Lease, dated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10.27</w:t>
            </w:r>
          </w:p>
        </w:tc>
        <w:tc>
          <w:tcPr>
            <w:tcW w:w="312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77">
              <w:r>
                <w:rPr>
                  <w:rFonts w:ascii="Arial" w:cs="Arial" w:eastAsia="Arial" w:hAnsi="Arial"/>
                  <w:sz w:val="13"/>
                  <w:szCs w:val="13"/>
                  <w:color w:val="0000FF"/>
                </w:rPr>
                <w:t>December 1, 2013, by and between RGS</w:t>
              </w:r>
            </w:hyperlink>
          </w:p>
        </w:tc>
        <w:tc>
          <w:tcPr>
            <w:tcW w:w="140" w:type="dxa"/>
            <w:vAlign w:val="bottom"/>
            <w:gridSpan w:val="4"/>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62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77">
              <w:r>
                <w:rPr>
                  <w:rFonts w:ascii="Arial" w:cs="Arial" w:eastAsia="Arial" w:hAnsi="Arial"/>
                  <w:sz w:val="13"/>
                  <w:szCs w:val="13"/>
                  <w:color w:val="0000FF"/>
                </w:rPr>
                <w:t>Properties and the Registrant.</w:t>
              </w:r>
            </w:hyperlink>
          </w:p>
        </w:tc>
        <w:tc>
          <w:tcPr>
            <w:tcW w:w="4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8"/>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0"/>
          </w:tcPr>
          <w:p>
            <w:pPr>
              <w:spacing w:after="0"/>
              <w:rPr>
                <w:rFonts w:ascii="Arial" w:cs="Arial" w:eastAsia="Arial" w:hAnsi="Arial"/>
                <w:sz w:val="14"/>
                <w:szCs w:val="14"/>
                <w:color w:val="0000FF"/>
              </w:rPr>
            </w:pPr>
            <w:hyperlink r:id="rId178">
              <w:r>
                <w:rPr>
                  <w:rFonts w:ascii="Arial" w:cs="Arial" w:eastAsia="Arial" w:hAnsi="Arial"/>
                  <w:sz w:val="14"/>
                  <w:szCs w:val="14"/>
                  <w:color w:val="0000FF"/>
                </w:rPr>
                <w:t>Second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0"/>
          </w:tcPr>
          <w:p>
            <w:pPr>
              <w:spacing w:after="0" w:line="115" w:lineRule="exact"/>
              <w:rPr>
                <w:rFonts w:ascii="Arial" w:cs="Arial" w:eastAsia="Arial" w:hAnsi="Arial"/>
                <w:sz w:val="13"/>
                <w:szCs w:val="13"/>
                <w:color w:val="0000FF"/>
              </w:rPr>
            </w:pPr>
            <w:hyperlink r:id="rId178">
              <w:r>
                <w:rPr>
                  <w:rFonts w:ascii="Arial" w:cs="Arial" w:eastAsia="Arial" w:hAnsi="Arial"/>
                  <w:sz w:val="13"/>
                  <w:szCs w:val="13"/>
                  <w:color w:val="0000FF"/>
                </w:rPr>
                <w:t>Industrial/Commercial Multi-Tenant Lease, dated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10.28</w:t>
            </w:r>
          </w:p>
        </w:tc>
        <w:tc>
          <w:tcPr>
            <w:tcW w:w="312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78">
              <w:r>
                <w:rPr>
                  <w:rFonts w:ascii="Arial" w:cs="Arial" w:eastAsia="Arial" w:hAnsi="Arial"/>
                  <w:sz w:val="13"/>
                  <w:szCs w:val="13"/>
                  <w:color w:val="0000FF"/>
                </w:rPr>
                <w:t>April 29, 2016, by and between RGS Properties</w:t>
              </w:r>
            </w:hyperlink>
          </w:p>
        </w:tc>
        <w:tc>
          <w:tcPr>
            <w:tcW w:w="140" w:type="dxa"/>
            <w:vAlign w:val="bottom"/>
            <w:gridSpan w:val="4"/>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10.27</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78">
              <w:r>
                <w:rPr>
                  <w:rFonts w:ascii="Arial" w:cs="Arial" w:eastAsia="Arial" w:hAnsi="Arial"/>
                  <w:sz w:val="13"/>
                  <w:szCs w:val="13"/>
                  <w:color w:val="0000FF"/>
                </w:rPr>
                <w:t>and the Registrant.</w:t>
              </w:r>
            </w:hyperlink>
          </w:p>
        </w:tc>
        <w:tc>
          <w:tcPr>
            <w:tcW w:w="20" w:type="dxa"/>
            <w:vAlign w:val="bottom"/>
          </w:tcPr>
          <w:p>
            <w:pPr>
              <w:spacing w:after="0"/>
              <w:rPr>
                <w:sz w:val="10"/>
                <w:szCs w:val="10"/>
                <w:color w:val="auto"/>
              </w:rPr>
            </w:pPr>
          </w:p>
        </w:tc>
        <w:tc>
          <w:tcPr>
            <w:tcW w:w="220" w:type="dxa"/>
            <w:vAlign w:val="bottom"/>
            <w:gridSpan w:val="8"/>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20" w:type="dxa"/>
            <w:vAlign w:val="bottom"/>
            <w:gridSpan w:val="27"/>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920" w:type="dxa"/>
            <w:vAlign w:val="bottom"/>
            <w:tcBorders>
              <w:bottom w:val="single" w:sz="8" w:color="0000FF"/>
            </w:tcBorders>
            <w:gridSpan w:val="5"/>
          </w:tcPr>
          <w:p>
            <w:pPr>
              <w:spacing w:after="0"/>
              <w:rPr>
                <w:rFonts w:ascii="Arial" w:cs="Arial" w:eastAsia="Arial" w:hAnsi="Arial"/>
                <w:sz w:val="14"/>
                <w:szCs w:val="14"/>
                <w:color w:val="0000FF"/>
              </w:rPr>
            </w:pPr>
            <w:hyperlink r:id="rId179">
              <w:r>
                <w:rPr>
                  <w:rFonts w:ascii="Arial" w:cs="Arial" w:eastAsia="Arial" w:hAnsi="Arial"/>
                  <w:sz w:val="14"/>
                  <w:szCs w:val="14"/>
                  <w:color w:val="0000FF"/>
                </w:rPr>
                <w:t>Third Amendment to Standard</w:t>
              </w:r>
            </w:hyperlink>
          </w:p>
        </w:tc>
        <w:tc>
          <w:tcPr>
            <w:tcW w:w="1340" w:type="dxa"/>
            <w:vAlign w:val="bottom"/>
            <w:gridSpan w:val="35"/>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0"/>
          </w:tcPr>
          <w:p>
            <w:pPr>
              <w:spacing w:after="0" w:line="115" w:lineRule="exact"/>
              <w:rPr>
                <w:rFonts w:ascii="Arial" w:cs="Arial" w:eastAsia="Arial" w:hAnsi="Arial"/>
                <w:sz w:val="13"/>
                <w:szCs w:val="13"/>
                <w:color w:val="0000FF"/>
              </w:rPr>
            </w:pPr>
            <w:hyperlink r:id="rId179">
              <w:r>
                <w:rPr>
                  <w:rFonts w:ascii="Arial" w:cs="Arial" w:eastAsia="Arial" w:hAnsi="Arial"/>
                  <w:sz w:val="13"/>
                  <w:szCs w:val="13"/>
                  <w:color w:val="0000FF"/>
                </w:rPr>
                <w:t>Industrial/Commercial Multi-Tenant Lease, dated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10.29</w:t>
            </w:r>
          </w:p>
        </w:tc>
        <w:tc>
          <w:tcPr>
            <w:tcW w:w="312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79">
              <w:r>
                <w:rPr>
                  <w:rFonts w:ascii="Arial" w:cs="Arial" w:eastAsia="Arial" w:hAnsi="Arial"/>
                  <w:sz w:val="13"/>
                  <w:szCs w:val="13"/>
                  <w:color w:val="0000FF"/>
                </w:rPr>
                <w:t>June 16, 2017, by and between RGS Properties</w:t>
              </w:r>
            </w:hyperlink>
          </w:p>
        </w:tc>
        <w:tc>
          <w:tcPr>
            <w:tcW w:w="140" w:type="dxa"/>
            <w:vAlign w:val="bottom"/>
            <w:gridSpan w:val="4"/>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10.28</w:t>
            </w:r>
          </w:p>
        </w:tc>
        <w:tc>
          <w:tcPr>
            <w:tcW w:w="1820" w:type="dxa"/>
            <w:vAlign w:val="bottom"/>
            <w:vMerge w:val="restart"/>
          </w:tcPr>
          <w:p>
            <w:pPr>
              <w:jc w:val="center"/>
              <w:ind w:right="62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4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179">
              <w:r>
                <w:rPr>
                  <w:rFonts w:ascii="Arial" w:cs="Arial" w:eastAsia="Arial" w:hAnsi="Arial"/>
                  <w:sz w:val="13"/>
                  <w:szCs w:val="13"/>
                  <w:color w:val="0000FF"/>
                </w:rPr>
                <w:t>and the Registrant.</w:t>
              </w:r>
            </w:hyperlink>
          </w:p>
        </w:tc>
        <w:tc>
          <w:tcPr>
            <w:tcW w:w="220" w:type="dxa"/>
            <w:vAlign w:val="bottom"/>
            <w:gridSpan w:val="8"/>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28"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20" w:type="dxa"/>
            <w:vAlign w:val="bottom"/>
            <w:tcBorders>
              <w:bottom w:val="single" w:sz="8" w:color="0000FF"/>
            </w:tcBorders>
            <w:gridSpan w:val="10"/>
          </w:tcPr>
          <w:p>
            <w:pPr>
              <w:spacing w:after="0"/>
              <w:rPr>
                <w:rFonts w:ascii="Arial" w:cs="Arial" w:eastAsia="Arial" w:hAnsi="Arial"/>
                <w:sz w:val="14"/>
                <w:szCs w:val="14"/>
                <w:color w:val="0000FF"/>
              </w:rPr>
            </w:pPr>
            <w:hyperlink r:id="rId181">
              <w:r>
                <w:rPr>
                  <w:rFonts w:ascii="Arial" w:cs="Arial" w:eastAsia="Arial" w:hAnsi="Arial"/>
                  <w:sz w:val="14"/>
                  <w:szCs w:val="14"/>
                  <w:color w:val="0000FF"/>
                </w:rPr>
                <w:t>Fourth Amendment to Standard</w:t>
              </w:r>
            </w:hyperlink>
          </w:p>
        </w:tc>
        <w:tc>
          <w:tcPr>
            <w:tcW w:w="1240" w:type="dxa"/>
            <w:vAlign w:val="bottom"/>
            <w:gridSpan w:val="36"/>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6"/>
          </w:tcPr>
          <w:p>
            <w:pPr>
              <w:spacing w:after="0" w:line="115" w:lineRule="exact"/>
              <w:rPr>
                <w:rFonts w:ascii="Arial" w:cs="Arial" w:eastAsia="Arial" w:hAnsi="Arial"/>
                <w:sz w:val="13"/>
                <w:szCs w:val="13"/>
                <w:color w:val="0000FF"/>
              </w:rPr>
            </w:pPr>
            <w:hyperlink r:id="rId181">
              <w:r>
                <w:rPr>
                  <w:rFonts w:ascii="Arial" w:cs="Arial" w:eastAsia="Arial" w:hAnsi="Arial"/>
                  <w:sz w:val="13"/>
                  <w:szCs w:val="13"/>
                  <w:color w:val="0000FF"/>
                </w:rPr>
                <w:t>Industrial/Commercial Multi-Tenant Lease, dated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10.30</w:t>
            </w:r>
          </w:p>
        </w:tc>
        <w:tc>
          <w:tcPr>
            <w:tcW w:w="308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181">
              <w:r>
                <w:rPr>
                  <w:rFonts w:ascii="Arial" w:cs="Arial" w:eastAsia="Arial" w:hAnsi="Arial"/>
                  <w:sz w:val="13"/>
                  <w:szCs w:val="13"/>
                  <w:color w:val="0000FF"/>
                </w:rPr>
                <w:t>March 16, 2020,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10.29</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44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81">
              <w:r>
                <w:rPr>
                  <w:rFonts w:ascii="Arial" w:cs="Arial" w:eastAsia="Arial" w:hAnsi="Arial"/>
                  <w:sz w:val="13"/>
                  <w:szCs w:val="13"/>
                  <w:color w:val="0000FF"/>
                </w:rPr>
                <w:t>Properties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2">
              <w:r>
                <w:rPr>
                  <w:rFonts w:ascii="Arial" w:cs="Arial" w:eastAsia="Arial" w:hAnsi="Arial"/>
                  <w:sz w:val="14"/>
                  <w:szCs w:val="14"/>
                  <w:color w:val="0000FF"/>
                </w:rPr>
                <w:t>Standard Industrial/Commercial Single-Tenant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10.31</w:t>
            </w:r>
          </w:p>
        </w:tc>
        <w:tc>
          <w:tcPr>
            <w:tcW w:w="298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82">
              <w:r>
                <w:rPr>
                  <w:rFonts w:ascii="Arial" w:cs="Arial" w:eastAsia="Arial" w:hAnsi="Arial"/>
                  <w:sz w:val="13"/>
                  <w:szCs w:val="13"/>
                  <w:color w:val="0000FF"/>
                </w:rPr>
                <w:t>Lease, dated September 4, 2014, by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bottom w:val="single" w:sz="8" w:color="0000FF"/>
            </w:tcBorders>
            <w:gridSpan w:val="41"/>
          </w:tcPr>
          <w:p>
            <w:pPr>
              <w:spacing w:after="0" w:line="115" w:lineRule="exact"/>
              <w:rPr>
                <w:rFonts w:ascii="Arial" w:cs="Arial" w:eastAsia="Arial" w:hAnsi="Arial"/>
                <w:sz w:val="13"/>
                <w:szCs w:val="13"/>
                <w:color w:val="0000FF"/>
              </w:rPr>
            </w:pPr>
            <w:hyperlink r:id="rId182">
              <w:r>
                <w:rPr>
                  <w:rFonts w:ascii="Arial" w:cs="Arial" w:eastAsia="Arial" w:hAnsi="Arial"/>
                  <w:sz w:val="13"/>
                  <w:szCs w:val="13"/>
                  <w:color w:val="0000FF"/>
                </w:rPr>
                <w:t>between Geiger Court, LLC and the Registrant.</w:t>
              </w:r>
            </w:hyperlink>
          </w:p>
        </w:tc>
        <w:tc>
          <w:tcPr>
            <w:tcW w:w="200" w:type="dxa"/>
            <w:vAlign w:val="bottom"/>
            <w:gridSpan w:val="5"/>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3">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7"/>
          </w:tcPr>
          <w:p>
            <w:pPr>
              <w:spacing w:after="0" w:line="122" w:lineRule="exact"/>
              <w:rPr>
                <w:rFonts w:ascii="Arial" w:cs="Arial" w:eastAsia="Arial" w:hAnsi="Arial"/>
                <w:sz w:val="14"/>
                <w:szCs w:val="14"/>
                <w:color w:val="0000FF"/>
              </w:rPr>
            </w:pPr>
            <w:hyperlink r:id="rId183">
              <w:r>
                <w:rPr>
                  <w:rFonts w:ascii="Arial" w:cs="Arial" w:eastAsia="Arial" w:hAnsi="Arial"/>
                  <w:sz w:val="14"/>
                  <w:szCs w:val="14"/>
                  <w:color w:val="0000FF"/>
                </w:rPr>
                <w:t>Industrial/Commercial Single-</w:t>
              </w:r>
            </w:hyperlink>
          </w:p>
        </w:tc>
        <w:tc>
          <w:tcPr>
            <w:tcW w:w="880" w:type="dxa"/>
            <w:vAlign w:val="bottom"/>
            <w:tcBorders>
              <w:bottom w:val="single" w:sz="8" w:color="0000FF"/>
            </w:tcBorders>
            <w:gridSpan w:val="18"/>
          </w:tcPr>
          <w:p>
            <w:pPr>
              <w:spacing w:after="0" w:line="122" w:lineRule="exact"/>
              <w:rPr>
                <w:rFonts w:ascii="Arial" w:cs="Arial" w:eastAsia="Arial" w:hAnsi="Arial"/>
                <w:sz w:val="14"/>
                <w:szCs w:val="14"/>
                <w:color w:val="0000FF"/>
                <w:w w:val="96"/>
              </w:rPr>
            </w:pPr>
            <w:hyperlink r:id="rId183">
              <w:r>
                <w:rPr>
                  <w:rFonts w:ascii="Arial" w:cs="Arial" w:eastAsia="Arial" w:hAnsi="Arial"/>
                  <w:sz w:val="14"/>
                  <w:szCs w:val="14"/>
                  <w:color w:val="0000FF"/>
                  <w:w w:val="96"/>
                </w:rPr>
                <w:t>Tenant Lease,</w:t>
              </w:r>
            </w:hyperlink>
          </w:p>
        </w:tc>
        <w:tc>
          <w:tcPr>
            <w:tcW w:w="480" w:type="dxa"/>
            <w:vAlign w:val="bottom"/>
            <w:gridSpan w:val="21"/>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260" w:type="dxa"/>
            <w:vAlign w:val="bottom"/>
            <w:gridSpan w:val="46"/>
          </w:tcPr>
          <w:p>
            <w:pPr>
              <w:spacing w:after="0" w:line="115" w:lineRule="exact"/>
              <w:rPr>
                <w:rFonts w:ascii="Arial" w:cs="Arial" w:eastAsia="Arial" w:hAnsi="Arial"/>
                <w:sz w:val="13"/>
                <w:szCs w:val="13"/>
                <w:color w:val="0000FF"/>
              </w:rPr>
            </w:pPr>
            <w:hyperlink r:id="rId183">
              <w:r>
                <w:rPr>
                  <w:rFonts w:ascii="Arial" w:cs="Arial" w:eastAsia="Arial" w:hAnsi="Arial"/>
                  <w:sz w:val="13"/>
                  <w:szCs w:val="13"/>
                  <w:color w:val="0000FF"/>
                </w:rPr>
                <w:t>dated August 2, 2017, by and between Geiger</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83">
              <w:r>
                <w:rPr>
                  <w:rFonts w:ascii="Arial" w:cs="Arial" w:eastAsia="Arial" w:hAnsi="Arial"/>
                  <w:sz w:val="13"/>
                  <w:szCs w:val="13"/>
                  <w:color w:val="0000FF"/>
                </w:rPr>
                <w:t>Court, LLC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4">
              <w:r>
                <w:rPr>
                  <w:rFonts w:ascii="Arial" w:cs="Arial" w:eastAsia="Arial" w:hAnsi="Arial"/>
                  <w:sz w:val="14"/>
                  <w:szCs w:val="14"/>
                  <w:color w:val="0000FF"/>
                </w:rPr>
                <w:t>Extension of Lease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2800" w:type="dxa"/>
            <w:vAlign w:val="bottom"/>
            <w:tcBorders>
              <w:bottom w:val="single" w:sz="8" w:color="0000FF"/>
            </w:tcBorders>
            <w:gridSpan w:val="26"/>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Industrial/Commercial Single-Tenant Lease,</w:t>
              </w:r>
            </w:hyperlink>
          </w:p>
        </w:tc>
        <w:tc>
          <w:tcPr>
            <w:tcW w:w="460" w:type="dxa"/>
            <w:vAlign w:val="bottom"/>
            <w:gridSpan w:val="20"/>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3260" w:type="dxa"/>
            <w:vAlign w:val="bottom"/>
            <w:gridSpan w:val="46"/>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dated March 12, 2020,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4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Vista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w:anchor="page136">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7"/>
          </w:tcPr>
          <w:p>
            <w:pPr>
              <w:spacing w:after="0" w:line="122" w:lineRule="exact"/>
              <w:rPr>
                <w:rFonts w:ascii="Arial" w:cs="Arial" w:eastAsia="Arial" w:hAnsi="Arial"/>
                <w:sz w:val="14"/>
                <w:szCs w:val="14"/>
                <w:color w:val="0000FF"/>
              </w:rPr>
            </w:pPr>
            <w:hyperlink w:anchor="page136">
              <w:r>
                <w:rPr>
                  <w:rFonts w:ascii="Arial" w:cs="Arial" w:eastAsia="Arial" w:hAnsi="Arial"/>
                  <w:sz w:val="14"/>
                  <w:szCs w:val="14"/>
                  <w:color w:val="0000FF"/>
                </w:rPr>
                <w:t>Industrial/Commercial Single-</w:t>
              </w:r>
            </w:hyperlink>
          </w:p>
        </w:tc>
        <w:tc>
          <w:tcPr>
            <w:tcW w:w="880" w:type="dxa"/>
            <w:vAlign w:val="bottom"/>
            <w:tcBorders>
              <w:bottom w:val="single" w:sz="8" w:color="0000FF"/>
            </w:tcBorders>
            <w:gridSpan w:val="18"/>
          </w:tcPr>
          <w:p>
            <w:pPr>
              <w:spacing w:after="0" w:line="122" w:lineRule="exact"/>
              <w:rPr>
                <w:rFonts w:ascii="Arial" w:cs="Arial" w:eastAsia="Arial" w:hAnsi="Arial"/>
                <w:sz w:val="14"/>
                <w:szCs w:val="14"/>
                <w:color w:val="0000FF"/>
                <w:w w:val="96"/>
              </w:rPr>
            </w:pPr>
            <w:hyperlink w:anchor="page136">
              <w:r>
                <w:rPr>
                  <w:rFonts w:ascii="Arial" w:cs="Arial" w:eastAsia="Arial" w:hAnsi="Arial"/>
                  <w:sz w:val="14"/>
                  <w:szCs w:val="14"/>
                  <w:color w:val="0000FF"/>
                  <w:w w:val="96"/>
                </w:rPr>
                <w:t>Tenant Lease,</w:t>
              </w:r>
            </w:hyperlink>
          </w:p>
        </w:tc>
        <w:tc>
          <w:tcPr>
            <w:tcW w:w="480" w:type="dxa"/>
            <w:vAlign w:val="bottom"/>
            <w:gridSpan w:val="21"/>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10.34</w:t>
            </w:r>
          </w:p>
        </w:tc>
        <w:tc>
          <w:tcPr>
            <w:tcW w:w="3260" w:type="dxa"/>
            <w:vAlign w:val="bottom"/>
            <w:gridSpan w:val="46"/>
          </w:tcPr>
          <w:p>
            <w:pPr>
              <w:spacing w:after="0" w:line="115" w:lineRule="exact"/>
              <w:rPr>
                <w:rFonts w:ascii="Arial" w:cs="Arial" w:eastAsia="Arial" w:hAnsi="Arial"/>
                <w:sz w:val="13"/>
                <w:szCs w:val="13"/>
                <w:color w:val="0000FF"/>
              </w:rPr>
            </w:pPr>
            <w:hyperlink w:anchor="page136">
              <w:r>
                <w:rPr>
                  <w:rFonts w:ascii="Arial" w:cs="Arial" w:eastAsia="Arial" w:hAnsi="Arial"/>
                  <w:sz w:val="13"/>
                  <w:szCs w:val="13"/>
                  <w:color w:val="0000FF"/>
                </w:rPr>
                <w:t>dated January 6, 2021, by and between Liberty</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8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w:anchor="page136">
              <w:r>
                <w:rPr>
                  <w:rFonts w:ascii="Arial" w:cs="Arial" w:eastAsia="Arial" w:hAnsi="Arial"/>
                  <w:sz w:val="13"/>
                  <w:szCs w:val="13"/>
                  <w:color w:val="0000FF"/>
                </w:rPr>
                <w:t>Vista and the Registrant.</w:t>
              </w:r>
            </w:hyperlink>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5">
              <w:r>
                <w:rPr>
                  <w:rFonts w:ascii="Arial" w:cs="Arial" w:eastAsia="Arial" w:hAnsi="Arial"/>
                  <w:sz w:val="14"/>
                  <w:szCs w:val="14"/>
                  <w:color w:val="0000FF"/>
                </w:rPr>
                <w:t>Standard Industrial/Commercial Multi -Tenant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10.35</w:t>
            </w:r>
          </w:p>
        </w:tc>
        <w:tc>
          <w:tcPr>
            <w:tcW w:w="2860" w:type="dxa"/>
            <w:vAlign w:val="bottom"/>
            <w:tcBorders>
              <w:top w:val="single" w:sz="8" w:color="0000FF"/>
              <w:bottom w:val="single" w:sz="8" w:color="0000FF"/>
            </w:tcBorders>
            <w:gridSpan w:val="29"/>
          </w:tcPr>
          <w:p>
            <w:pPr>
              <w:spacing w:after="0" w:line="115" w:lineRule="exact"/>
              <w:rPr>
                <w:rFonts w:ascii="Arial" w:cs="Arial" w:eastAsia="Arial" w:hAnsi="Arial"/>
                <w:sz w:val="13"/>
                <w:szCs w:val="13"/>
                <w:color w:val="0000FF"/>
              </w:rPr>
            </w:pPr>
            <w:hyperlink r:id="rId185">
              <w:r>
                <w:rPr>
                  <w:rFonts w:ascii="Arial" w:cs="Arial" w:eastAsia="Arial" w:hAnsi="Arial"/>
                  <w:sz w:val="13"/>
                  <w:szCs w:val="13"/>
                  <w:color w:val="0000FF"/>
                </w:rPr>
                <w:t>Lease, dated March 17, 2020 by and between</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10.33</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260" w:type="dxa"/>
            <w:vAlign w:val="bottom"/>
            <w:tcBorders>
              <w:bottom w:val="single" w:sz="8" w:color="0000FF"/>
            </w:tcBorders>
            <w:gridSpan w:val="13"/>
          </w:tcPr>
          <w:p>
            <w:pPr>
              <w:spacing w:after="0" w:line="115" w:lineRule="exact"/>
              <w:rPr>
                <w:rFonts w:ascii="Arial" w:cs="Arial" w:eastAsia="Arial" w:hAnsi="Arial"/>
                <w:sz w:val="13"/>
                <w:szCs w:val="13"/>
                <w:color w:val="0000FF"/>
              </w:rPr>
            </w:pPr>
            <w:hyperlink r:id="rId185">
              <w:r>
                <w:rPr>
                  <w:rFonts w:ascii="Arial" w:cs="Arial" w:eastAsia="Arial" w:hAnsi="Arial"/>
                  <w:sz w:val="13"/>
                  <w:szCs w:val="13"/>
                  <w:color w:val="0000FF"/>
                </w:rPr>
                <w:t>RGS Properties and the Registrant.</w:t>
              </w:r>
            </w:hyperlink>
          </w:p>
        </w:tc>
        <w:tc>
          <w:tcPr>
            <w:tcW w:w="700" w:type="dxa"/>
            <w:vAlign w:val="bottom"/>
            <w:gridSpan w:val="21"/>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6">
              <w:r>
                <w:rPr>
                  <w:rFonts w:ascii="Arial" w:cs="Arial" w:eastAsia="Arial" w:hAnsi="Arial"/>
                  <w:sz w:val="14"/>
                  <w:szCs w:val="14"/>
                  <w:color w:val="0000FF"/>
                </w:rPr>
                <w:t>Master Lease Agreement, dated February 1,</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2018, by and between Celtic Commercial</w:t>
              </w:r>
            </w:hyperlink>
          </w:p>
        </w:tc>
        <w:tc>
          <w:tcPr>
            <w:tcW w:w="220" w:type="dxa"/>
            <w:vAlign w:val="bottom"/>
            <w:tcBorders>
              <w:top w:val="single" w:sz="8" w:color="0000FF"/>
            </w:tcBorders>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3260" w:type="dxa"/>
            <w:vAlign w:val="bottom"/>
            <w:gridSpan w:val="46"/>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Finance, a division of MB Equipment Finance,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2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LLC and the Registrant.</w:t>
              </w:r>
            </w:hyperlink>
          </w:p>
        </w:tc>
        <w:tc>
          <w:tcPr>
            <w:tcW w:w="1420" w:type="dxa"/>
            <w:vAlign w:val="bottom"/>
            <w:tcBorders>
              <w:top w:val="single" w:sz="8" w:color="0000FF"/>
            </w:tcBorders>
            <w:gridSpan w:val="29"/>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7">
              <w:r>
                <w:rPr>
                  <w:rFonts w:ascii="Arial" w:cs="Arial" w:eastAsia="Arial" w:hAnsi="Arial"/>
                  <w:sz w:val="14"/>
                  <w:szCs w:val="14"/>
                  <w:color w:val="0000FF"/>
                </w:rPr>
                <w:t>Loan and Security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00" w:type="dxa"/>
            <w:vAlign w:val="bottom"/>
            <w:tcBorders>
              <w:top w:val="single" w:sz="8" w:color="0000FF"/>
            </w:tcBorders>
            <w:gridSpan w:val="43"/>
          </w:tcPr>
          <w:p>
            <w:pPr>
              <w:spacing w:after="0" w:line="106" w:lineRule="exact"/>
              <w:rPr>
                <w:rFonts w:ascii="Arial" w:cs="Arial" w:eastAsia="Arial" w:hAnsi="Arial"/>
                <w:sz w:val="12"/>
                <w:szCs w:val="12"/>
                <w:color w:val="0000FF"/>
              </w:rPr>
            </w:pPr>
            <w:hyperlink r:id="rId187">
              <w:r>
                <w:rPr>
                  <w:rFonts w:ascii="Arial" w:cs="Arial" w:eastAsia="Arial" w:hAnsi="Arial"/>
                  <w:sz w:val="12"/>
                  <w:szCs w:val="12"/>
                  <w:color w:val="0000FF"/>
                </w:rPr>
                <w:t>7, 2017, by and between Innovatus Life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10.37</w:t>
            </w:r>
          </w:p>
        </w:tc>
        <w:tc>
          <w:tcPr>
            <w:tcW w:w="2520" w:type="dxa"/>
            <w:vAlign w:val="bottom"/>
            <w:tcBorders>
              <w:top w:val="single" w:sz="8" w:color="0000FF"/>
              <w:bottom w:val="single" w:sz="8" w:color="0000FF"/>
            </w:tcBorders>
            <w:gridSpan w:val="18"/>
          </w:tcPr>
          <w:p>
            <w:pPr>
              <w:spacing w:after="0" w:line="122" w:lineRule="exact"/>
              <w:rPr>
                <w:rFonts w:ascii="Arial" w:cs="Arial" w:eastAsia="Arial" w:hAnsi="Arial"/>
                <w:sz w:val="14"/>
                <w:szCs w:val="14"/>
                <w:color w:val="0000FF"/>
              </w:rPr>
            </w:pPr>
            <w:hyperlink r:id="rId187">
              <w:r>
                <w:rPr>
                  <w:rFonts w:ascii="Arial" w:cs="Arial" w:eastAsia="Arial" w:hAnsi="Arial"/>
                  <w:sz w:val="14"/>
                  <w:szCs w:val="14"/>
                  <w:color w:val="0000FF"/>
                </w:rPr>
                <w:t>Sciences Lending Fund I, LP and the</w:t>
              </w:r>
            </w:hyperlink>
          </w:p>
        </w:tc>
        <w:tc>
          <w:tcPr>
            <w:tcW w:w="600" w:type="dxa"/>
            <w:vAlign w:val="bottom"/>
            <w:tcBorders>
              <w:bottom w:val="single" w:sz="8" w:color="0000FF"/>
            </w:tcBorders>
            <w:gridSpan w:val="26"/>
          </w:tcPr>
          <w:p>
            <w:pPr>
              <w:jc w:val="center"/>
              <w:ind w:right="40"/>
              <w:spacing w:after="0" w:line="122" w:lineRule="exact"/>
              <w:rPr>
                <w:rFonts w:ascii="Arial" w:cs="Arial" w:eastAsia="Arial" w:hAnsi="Arial"/>
                <w:sz w:val="14"/>
                <w:szCs w:val="14"/>
                <w:color w:val="0000FF"/>
                <w:w w:val="82"/>
              </w:rPr>
            </w:pPr>
            <w:hyperlink r:id="rId187">
              <w:r>
                <w:rPr>
                  <w:rFonts w:ascii="Arial" w:cs="Arial" w:eastAsia="Arial" w:hAnsi="Arial"/>
                  <w:sz w:val="14"/>
                  <w:szCs w:val="14"/>
                  <w:color w:val="0000FF"/>
                  <w:w w:val="82"/>
                </w:rPr>
                <w:t>Registrant.</w:t>
              </w:r>
            </w:hyperlink>
          </w:p>
        </w:tc>
        <w:tc>
          <w:tcPr>
            <w:tcW w:w="140" w:type="dxa"/>
            <w:vAlign w:val="bottom"/>
            <w:gridSpan w:val="2"/>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10.33</w:t>
            </w:r>
          </w:p>
        </w:tc>
        <w:tc>
          <w:tcPr>
            <w:tcW w:w="1840" w:type="dxa"/>
            <w:vAlign w:val="bottom"/>
          </w:tcPr>
          <w:p>
            <w:pPr>
              <w:jc w:val="center"/>
              <w:ind w:right="611"/>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8">
              <w:r>
                <w:rPr>
                  <w:rFonts w:ascii="Arial" w:cs="Arial" w:eastAsia="Arial" w:hAnsi="Arial"/>
                  <w:sz w:val="14"/>
                  <w:szCs w:val="14"/>
                  <w:color w:val="0000FF"/>
                </w:rPr>
                <w:t>First Amendment to Loan and Security</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2460" w:type="dxa"/>
            <w:vAlign w:val="bottom"/>
            <w:tcBorders>
              <w:top w:val="single" w:sz="8" w:color="0000FF"/>
            </w:tcBorders>
            <w:gridSpan w:val="15"/>
          </w:tcPr>
          <w:p>
            <w:pPr>
              <w:spacing w:after="0" w:line="122" w:lineRule="exact"/>
              <w:rPr>
                <w:rFonts w:ascii="Arial" w:cs="Arial" w:eastAsia="Arial" w:hAnsi="Arial"/>
                <w:sz w:val="14"/>
                <w:szCs w:val="14"/>
                <w:color w:val="0000FF"/>
                <w:w w:val="97"/>
              </w:rPr>
            </w:pPr>
            <w:hyperlink r:id="rId188">
              <w:r>
                <w:rPr>
                  <w:rFonts w:ascii="Arial" w:cs="Arial" w:eastAsia="Arial" w:hAnsi="Arial"/>
                  <w:sz w:val="14"/>
                  <w:szCs w:val="14"/>
                  <w:color w:val="0000FF"/>
                  <w:w w:val="97"/>
                </w:rPr>
                <w:t>Agreement with Innovatus Life Sciences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5"/>
          </w:tcPr>
          <w:p>
            <w:pPr>
              <w:spacing w:after="0" w:line="122" w:lineRule="exact"/>
              <w:rPr>
                <w:rFonts w:ascii="Arial" w:cs="Arial" w:eastAsia="Arial" w:hAnsi="Arial"/>
                <w:sz w:val="14"/>
                <w:szCs w:val="14"/>
                <w:color w:val="0000FF"/>
              </w:rPr>
            </w:pPr>
            <w:hyperlink r:id="rId188">
              <w:r>
                <w:rPr>
                  <w:rFonts w:ascii="Arial" w:cs="Arial" w:eastAsia="Arial" w:hAnsi="Arial"/>
                  <w:sz w:val="14"/>
                  <w:szCs w:val="14"/>
                  <w:color w:val="0000FF"/>
                </w:rPr>
                <w:t>Lending</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10.36</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04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188">
              <w:r>
                <w:rPr>
                  <w:rFonts w:ascii="Arial" w:cs="Arial" w:eastAsia="Arial" w:hAnsi="Arial"/>
                  <w:sz w:val="13"/>
                  <w:szCs w:val="13"/>
                  <w:color w:val="0000FF"/>
                </w:rPr>
                <w:t>I, LP dated November 19, 2019.</w:t>
              </w:r>
            </w:hyperlink>
          </w:p>
        </w:tc>
        <w:tc>
          <w:tcPr>
            <w:tcW w:w="1100" w:type="dxa"/>
            <w:vAlign w:val="bottom"/>
            <w:tcBorders>
              <w:top w:val="single" w:sz="8" w:color="0000FF"/>
            </w:tcBorders>
            <w:gridSpan w:val="34"/>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89">
              <w:r>
                <w:rPr>
                  <w:rFonts w:ascii="Arial" w:cs="Arial" w:eastAsia="Arial" w:hAnsi="Arial"/>
                  <w:sz w:val="14"/>
                  <w:szCs w:val="14"/>
                  <w:color w:val="0000FF"/>
                </w:rPr>
                <w:t>Acknowledgement Letter to Loan and Security</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10.39</w:t>
            </w:r>
          </w:p>
        </w:tc>
        <w:tc>
          <w:tcPr>
            <w:tcW w:w="302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89">
              <w:r>
                <w:rPr>
                  <w:rFonts w:ascii="Arial" w:cs="Arial" w:eastAsia="Arial" w:hAnsi="Arial"/>
                  <w:sz w:val="13"/>
                  <w:szCs w:val="13"/>
                  <w:color w:val="0000FF"/>
                </w:rPr>
                <w:t>Agreement, by and between Innovatus Life</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11/10/2020</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tcBorders>
              <w:bottom w:val="single" w:sz="8" w:color="0000FF"/>
            </w:tcBorders>
            <w:gridSpan w:val="44"/>
          </w:tcPr>
          <w:p>
            <w:pPr>
              <w:spacing w:after="0" w:line="115" w:lineRule="exact"/>
              <w:rPr>
                <w:rFonts w:ascii="Arial" w:cs="Arial" w:eastAsia="Arial" w:hAnsi="Arial"/>
                <w:sz w:val="13"/>
                <w:szCs w:val="13"/>
                <w:color w:val="0000FF"/>
              </w:rPr>
            </w:pPr>
            <w:hyperlink r:id="rId189">
              <w:r>
                <w:rPr>
                  <w:rFonts w:ascii="Arial" w:cs="Arial" w:eastAsia="Arial" w:hAnsi="Arial"/>
                  <w:sz w:val="13"/>
                  <w:szCs w:val="13"/>
                  <w:color w:val="0000FF"/>
                </w:rPr>
                <w:t>Sciences Lending Fund I, LP and the Registrant.</w:t>
              </w:r>
            </w:hyperlink>
          </w:p>
        </w:tc>
        <w:tc>
          <w:tcPr>
            <w:tcW w:w="1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90">
              <w:r>
                <w:rPr>
                  <w:rFonts w:ascii="Arial" w:cs="Arial" w:eastAsia="Arial" w:hAnsi="Arial"/>
                  <w:sz w:val="14"/>
                  <w:szCs w:val="14"/>
                  <w:color w:val="0000FF"/>
                </w:rPr>
                <w:t>Offer Letter, dated October 12, 2010,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21"/>
          </w:tcPr>
          <w:p>
            <w:pPr>
              <w:spacing w:after="0" w:line="115" w:lineRule="exact"/>
              <w:rPr>
                <w:rFonts w:ascii="Arial" w:cs="Arial" w:eastAsia="Arial" w:hAnsi="Arial"/>
                <w:sz w:val="13"/>
                <w:szCs w:val="13"/>
                <w:color w:val="0000FF"/>
              </w:rPr>
            </w:pPr>
            <w:hyperlink r:id="rId190">
              <w:r>
                <w:rPr>
                  <w:rFonts w:ascii="Arial" w:cs="Arial" w:eastAsia="Arial" w:hAnsi="Arial"/>
                  <w:sz w:val="13"/>
                  <w:szCs w:val="13"/>
                  <w:color w:val="0000FF"/>
                </w:rPr>
                <w:t>between Thierry Dervieux, Ph.D. and the</w:t>
              </w:r>
            </w:hyperlink>
          </w:p>
        </w:tc>
        <w:tc>
          <w:tcPr>
            <w:tcW w:w="220" w:type="dxa"/>
            <w:vAlign w:val="bottom"/>
            <w:tcBorders>
              <w:top w:val="single" w:sz="8" w:color="0000FF"/>
            </w:tcBorders>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3260" w:type="dxa"/>
            <w:vAlign w:val="bottom"/>
            <w:gridSpan w:val="46"/>
          </w:tcPr>
          <w:p>
            <w:pPr>
              <w:spacing w:after="0" w:line="115" w:lineRule="exact"/>
              <w:rPr>
                <w:rFonts w:ascii="Arial" w:cs="Arial" w:eastAsia="Arial" w:hAnsi="Arial"/>
                <w:sz w:val="13"/>
                <w:szCs w:val="13"/>
                <w:color w:val="0000FF"/>
              </w:rPr>
            </w:pPr>
            <w:hyperlink r:id="rId190">
              <w:r>
                <w:rPr>
                  <w:rFonts w:ascii="Arial" w:cs="Arial" w:eastAsia="Arial" w:hAnsi="Arial"/>
                  <w:sz w:val="13"/>
                  <w:szCs w:val="13"/>
                  <w:color w:val="0000FF"/>
                </w:rPr>
                <w:t>Registrant, as amended on September 9, 2011</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90">
              <w:r>
                <w:rPr>
                  <w:rFonts w:ascii="Arial" w:cs="Arial" w:eastAsia="Arial" w:hAnsi="Arial"/>
                  <w:sz w:val="13"/>
                  <w:szCs w:val="13"/>
                  <w:color w:val="0000FF"/>
                </w:rPr>
                <w:t>and September 6, 2019.</w:t>
              </w:r>
            </w:hyperlink>
          </w:p>
        </w:tc>
        <w:tc>
          <w:tcPr>
            <w:tcW w:w="1500" w:type="dxa"/>
            <w:vAlign w:val="bottom"/>
            <w:tcBorders>
              <w:top w:val="single" w:sz="8" w:color="0000FF"/>
            </w:tcBorders>
            <w:gridSpan w:val="34"/>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10.41</w:t>
            </w:r>
          </w:p>
        </w:tc>
        <w:tc>
          <w:tcPr>
            <w:tcW w:w="3260" w:type="dxa"/>
            <w:vAlign w:val="bottom"/>
            <w:gridSpan w:val="46"/>
          </w:tcPr>
          <w:p>
            <w:pPr>
              <w:spacing w:after="0"/>
              <w:rPr>
                <w:rFonts w:ascii="Arial" w:cs="Arial" w:eastAsia="Arial" w:hAnsi="Arial"/>
                <w:sz w:val="14"/>
                <w:szCs w:val="14"/>
                <w:color w:val="0000FF"/>
              </w:rPr>
            </w:pPr>
            <w:hyperlink r:id="rId191">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10.35</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91">
              <w:r>
                <w:rPr>
                  <w:rFonts w:ascii="Arial" w:cs="Arial" w:eastAsia="Arial" w:hAnsi="Arial"/>
                  <w:sz w:val="13"/>
                  <w:szCs w:val="13"/>
                  <w:color w:val="0000FF"/>
                </w:rPr>
                <w:t>and Officers.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92">
              <w:r>
                <w:rPr>
                  <w:rFonts w:ascii="Arial" w:cs="Arial" w:eastAsia="Arial" w:hAnsi="Arial"/>
                  <w:sz w:val="14"/>
                  <w:szCs w:val="14"/>
                  <w:color w:val="0000FF"/>
                </w:rPr>
                <w:t>Offer Letter, dated October 7, 2011,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2740" w:type="dxa"/>
            <w:vAlign w:val="bottom"/>
            <w:tcBorders>
              <w:top w:val="single" w:sz="8" w:color="0000FF"/>
            </w:tcBorders>
            <w:gridSpan w:val="24"/>
          </w:tcPr>
          <w:p>
            <w:pPr>
              <w:spacing w:after="0" w:line="106" w:lineRule="exact"/>
              <w:rPr>
                <w:rFonts w:ascii="Arial" w:cs="Arial" w:eastAsia="Arial" w:hAnsi="Arial"/>
                <w:sz w:val="12"/>
                <w:szCs w:val="12"/>
                <w:color w:val="0000FF"/>
              </w:rPr>
            </w:pPr>
            <w:hyperlink r:id="rId192">
              <w:r>
                <w:rPr>
                  <w:rFonts w:ascii="Arial" w:cs="Arial" w:eastAsia="Arial" w:hAnsi="Arial"/>
                  <w:sz w:val="12"/>
                  <w:szCs w:val="12"/>
                  <w:color w:val="0000FF"/>
                </w:rPr>
                <w:t>between Fortunato Ron Rocca and the</w:t>
              </w:r>
            </w:hyperlink>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8"/>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10.42#</w:t>
            </w:r>
          </w:p>
        </w:tc>
        <w:tc>
          <w:tcPr>
            <w:tcW w:w="2480" w:type="dxa"/>
            <w:vAlign w:val="bottom"/>
            <w:tcBorders>
              <w:top w:val="single" w:sz="8" w:color="0000FF"/>
              <w:bottom w:val="single" w:sz="8" w:color="0000FF"/>
            </w:tcBorders>
            <w:gridSpan w:val="16"/>
          </w:tcPr>
          <w:p>
            <w:pPr>
              <w:spacing w:after="0" w:line="122" w:lineRule="exact"/>
              <w:rPr>
                <w:rFonts w:ascii="Arial" w:cs="Arial" w:eastAsia="Arial" w:hAnsi="Arial"/>
                <w:sz w:val="14"/>
                <w:szCs w:val="14"/>
                <w:color w:val="0000FF"/>
              </w:rPr>
            </w:pPr>
            <w:hyperlink r:id="rId192">
              <w:r>
                <w:rPr>
                  <w:rFonts w:ascii="Arial" w:cs="Arial" w:eastAsia="Arial" w:hAnsi="Arial"/>
                  <w:sz w:val="14"/>
                  <w:szCs w:val="14"/>
                  <w:color w:val="0000FF"/>
                </w:rPr>
                <w:t>Registrant, as amended on September</w:t>
              </w:r>
            </w:hyperlink>
          </w:p>
        </w:tc>
        <w:tc>
          <w:tcPr>
            <w:tcW w:w="580" w:type="dxa"/>
            <w:vAlign w:val="bottom"/>
            <w:tcBorders>
              <w:bottom w:val="single" w:sz="8" w:color="0000FF"/>
            </w:tcBorders>
            <w:gridSpan w:val="25"/>
          </w:tcPr>
          <w:p>
            <w:pPr>
              <w:jc w:val="right"/>
              <w:ind w:right="40"/>
              <w:spacing w:after="0" w:line="122" w:lineRule="exact"/>
              <w:rPr>
                <w:rFonts w:ascii="Arial" w:cs="Arial" w:eastAsia="Arial" w:hAnsi="Arial"/>
                <w:sz w:val="14"/>
                <w:szCs w:val="14"/>
                <w:color w:val="0000FF"/>
              </w:rPr>
            </w:pPr>
            <w:hyperlink r:id="rId192">
              <w:r>
                <w:rPr>
                  <w:rFonts w:ascii="Arial" w:cs="Arial" w:eastAsia="Arial" w:hAnsi="Arial"/>
                  <w:sz w:val="14"/>
                  <w:szCs w:val="14"/>
                  <w:color w:val="0000FF"/>
                </w:rPr>
                <w:t>4, 2019.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line="122" w:lineRule="exact"/>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line="122" w:lineRule="exact"/>
              <w:rPr>
                <w:sz w:val="20"/>
                <w:szCs w:val="20"/>
                <w:color w:val="auto"/>
              </w:rPr>
            </w:pPr>
            <w:r>
              <w:rPr>
                <w:rFonts w:ascii="Arial" w:cs="Arial" w:eastAsia="Arial" w:hAnsi="Arial"/>
                <w:sz w:val="14"/>
                <w:szCs w:val="14"/>
                <w:color w:val="auto"/>
              </w:rPr>
              <w:t>10.36</w:t>
            </w:r>
          </w:p>
        </w:tc>
        <w:tc>
          <w:tcPr>
            <w:tcW w:w="1840" w:type="dxa"/>
            <w:vAlign w:val="bottom"/>
          </w:tcPr>
          <w:p>
            <w:pPr>
              <w:jc w:val="center"/>
              <w:ind w:right="611"/>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93">
              <w:r>
                <w:rPr>
                  <w:rFonts w:ascii="Arial" w:cs="Arial" w:eastAsia="Arial" w:hAnsi="Arial"/>
                  <w:sz w:val="14"/>
                  <w:szCs w:val="14"/>
                  <w:color w:val="0000FF"/>
                </w:rPr>
                <w:t>Offer Letter, dated May 16, 2017,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10.43#</w:t>
            </w:r>
          </w:p>
        </w:tc>
        <w:tc>
          <w:tcPr>
            <w:tcW w:w="2600" w:type="dxa"/>
            <w:vAlign w:val="bottom"/>
            <w:tcBorders>
              <w:top w:val="single" w:sz="8" w:color="0000FF"/>
            </w:tcBorders>
            <w:gridSpan w:val="21"/>
          </w:tcPr>
          <w:p>
            <w:pPr>
              <w:spacing w:after="0" w:line="122" w:lineRule="exact"/>
              <w:rPr>
                <w:rFonts w:ascii="Arial" w:cs="Arial" w:eastAsia="Arial" w:hAnsi="Arial"/>
                <w:sz w:val="14"/>
                <w:szCs w:val="14"/>
                <w:color w:val="0000FF"/>
                <w:w w:val="98"/>
              </w:rPr>
            </w:pPr>
            <w:hyperlink r:id="rId193">
              <w:r>
                <w:rPr>
                  <w:rFonts w:ascii="Arial" w:cs="Arial" w:eastAsia="Arial" w:hAnsi="Arial"/>
                  <w:sz w:val="14"/>
                  <w:szCs w:val="14"/>
                  <w:color w:val="0000FF"/>
                  <w:w w:val="98"/>
                </w:rPr>
                <w:t>between Kamal Adawi and the Registrant,</w:t>
              </w:r>
            </w:hyperlink>
          </w:p>
        </w:tc>
        <w:tc>
          <w:tcPr>
            <w:tcW w:w="120" w:type="dxa"/>
            <w:vAlign w:val="bottom"/>
            <w:gridSpan w:val="2"/>
          </w:tcPr>
          <w:p>
            <w:pPr>
              <w:spacing w:after="0"/>
              <w:rPr>
                <w:sz w:val="10"/>
                <w:szCs w:val="10"/>
                <w:color w:val="auto"/>
              </w:rPr>
            </w:pPr>
          </w:p>
        </w:tc>
        <w:tc>
          <w:tcPr>
            <w:tcW w:w="540" w:type="dxa"/>
            <w:vAlign w:val="bottom"/>
            <w:gridSpan w:val="23"/>
          </w:tcPr>
          <w:p>
            <w:pPr>
              <w:jc w:val="center"/>
              <w:ind w:right="400"/>
              <w:spacing w:after="0" w:line="122" w:lineRule="exact"/>
              <w:rPr>
                <w:rFonts w:ascii="Arial" w:cs="Arial" w:eastAsia="Arial" w:hAnsi="Arial"/>
                <w:sz w:val="14"/>
                <w:szCs w:val="14"/>
                <w:color w:val="0000FF"/>
                <w:w w:val="94"/>
              </w:rPr>
            </w:pPr>
            <w:hyperlink r:id="rId193">
              <w:r>
                <w:rPr>
                  <w:rFonts w:ascii="Arial" w:cs="Arial" w:eastAsia="Arial" w:hAnsi="Arial"/>
                  <w:sz w:val="14"/>
                  <w:szCs w:val="14"/>
                  <w:color w:val="0000FF"/>
                  <w:w w:val="94"/>
                </w:rPr>
                <w:t>as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10.37</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93">
              <w:r>
                <w:rPr>
                  <w:rFonts w:ascii="Arial" w:cs="Arial" w:eastAsia="Arial" w:hAnsi="Arial"/>
                  <w:sz w:val="13"/>
                  <w:szCs w:val="13"/>
                  <w:color w:val="0000FF"/>
                </w:rPr>
                <w:t>amended on September 4, 2019.</w:t>
              </w:r>
            </w:hyperlink>
          </w:p>
        </w:tc>
        <w:tc>
          <w:tcPr>
            <w:tcW w:w="80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r:id="rId194">
              <w:r>
                <w:rPr>
                  <w:rFonts w:ascii="Arial" w:cs="Arial" w:eastAsia="Arial" w:hAnsi="Arial"/>
                  <w:sz w:val="14"/>
                  <w:szCs w:val="14"/>
                  <w:color w:val="0000FF"/>
                </w:rPr>
                <w:t>Offer Letter dated February 21, 2020, by and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10.44#</w:t>
            </w:r>
          </w:p>
        </w:tc>
        <w:tc>
          <w:tcPr>
            <w:tcW w:w="288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94">
              <w:r>
                <w:rPr>
                  <w:rFonts w:ascii="Arial" w:cs="Arial" w:eastAsia="Arial" w:hAnsi="Arial"/>
                  <w:sz w:val="13"/>
                  <w:szCs w:val="13"/>
                  <w:color w:val="0000FF"/>
                </w:rPr>
                <w:t>between Debra Zack, MD Ph.D. and the</w:t>
              </w:r>
            </w:hyperlink>
          </w:p>
        </w:tc>
        <w:tc>
          <w:tcPr>
            <w:tcW w:w="40" w:type="dxa"/>
            <w:vAlign w:val="bottom"/>
            <w:gridSpan w:val="2"/>
          </w:tcPr>
          <w:p>
            <w:pPr>
              <w:spacing w:after="0"/>
              <w:rPr>
                <w:sz w:val="10"/>
                <w:szCs w:val="10"/>
                <w:color w:val="auto"/>
              </w:rPr>
            </w:pPr>
          </w:p>
        </w:tc>
        <w:tc>
          <w:tcPr>
            <w:tcW w:w="14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10.41</w:t>
            </w:r>
          </w:p>
        </w:tc>
        <w:tc>
          <w:tcPr>
            <w:tcW w:w="1840" w:type="dxa"/>
            <w:vAlign w:val="bottom"/>
            <w:vMerge w:val="restart"/>
          </w:tcPr>
          <w:p>
            <w:pPr>
              <w:jc w:val="center"/>
              <w:ind w:right="611"/>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54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94">
              <w:r>
                <w:rPr>
                  <w:rFonts w:ascii="Arial" w:cs="Arial" w:eastAsia="Arial" w:hAnsi="Arial"/>
                  <w:sz w:val="13"/>
                  <w:szCs w:val="13"/>
                  <w:color w:val="0000FF"/>
                </w:rPr>
                <w:t>Registrant.</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0" w:type="dxa"/>
            <w:vAlign w:val="bottom"/>
            <w:gridSpan w:val="9"/>
          </w:tcPr>
          <w:p>
            <w:pPr>
              <w:spacing w:after="0"/>
              <w:rPr>
                <w:sz w:val="10"/>
                <w:szCs w:val="10"/>
                <w:color w:val="auto"/>
              </w:rPr>
            </w:pPr>
          </w:p>
        </w:tc>
        <w:tc>
          <w:tcPr>
            <w:tcW w:w="14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10.45#</w:t>
            </w:r>
          </w:p>
        </w:tc>
        <w:tc>
          <w:tcPr>
            <w:tcW w:w="3120" w:type="dxa"/>
            <w:vAlign w:val="bottom"/>
            <w:tcBorders>
              <w:bottom w:val="single" w:sz="8" w:color="0000FF"/>
            </w:tcBorders>
            <w:gridSpan w:val="44"/>
          </w:tcPr>
          <w:p>
            <w:pPr>
              <w:spacing w:after="0"/>
              <w:rPr>
                <w:rFonts w:ascii="Arial" w:cs="Arial" w:eastAsia="Arial" w:hAnsi="Arial"/>
                <w:sz w:val="14"/>
                <w:szCs w:val="14"/>
                <w:color w:val="0000FF"/>
              </w:rPr>
            </w:pPr>
            <w:hyperlink r:id="rId195">
              <w:r>
                <w:rPr>
                  <w:rFonts w:ascii="Arial" w:cs="Arial" w:eastAsia="Arial" w:hAnsi="Arial"/>
                  <w:sz w:val="14"/>
                  <w:szCs w:val="14"/>
                  <w:color w:val="0000FF"/>
                </w:rPr>
                <w:t>Non-Employee Director Compensation Program.</w:t>
              </w:r>
            </w:hyperlink>
          </w:p>
        </w:tc>
        <w:tc>
          <w:tcPr>
            <w:tcW w:w="140" w:type="dxa"/>
            <w:vAlign w:val="bottom"/>
            <w:gridSpan w:val="2"/>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tcPr>
          <w:p>
            <w:pPr>
              <w:jc w:val="center"/>
              <w:spacing w:after="0"/>
              <w:rPr>
                <w:sz w:val="20"/>
                <w:szCs w:val="20"/>
                <w:color w:val="auto"/>
              </w:rPr>
            </w:pPr>
            <w:r>
              <w:rPr>
                <w:rFonts w:ascii="Arial" w:cs="Arial" w:eastAsia="Arial" w:hAnsi="Arial"/>
                <w:sz w:val="14"/>
                <w:szCs w:val="14"/>
                <w:color w:val="auto"/>
              </w:rPr>
              <w:t>10.38</w:t>
            </w:r>
          </w:p>
        </w:tc>
        <w:tc>
          <w:tcPr>
            <w:tcW w:w="1840" w:type="dxa"/>
            <w:vAlign w:val="bottom"/>
          </w:tcPr>
          <w:p>
            <w:pPr>
              <w:jc w:val="center"/>
              <w:ind w:right="611"/>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10.46#</w:t>
            </w:r>
          </w:p>
        </w:tc>
        <w:tc>
          <w:tcPr>
            <w:tcW w:w="2920" w:type="dxa"/>
            <w:vAlign w:val="bottom"/>
            <w:tcBorders>
              <w:bottom w:val="single" w:sz="8" w:color="0000FF"/>
            </w:tcBorders>
            <w:gridSpan w:val="32"/>
          </w:tcPr>
          <w:p>
            <w:pPr>
              <w:spacing w:after="0"/>
              <w:rPr>
                <w:rFonts w:ascii="Arial" w:cs="Arial" w:eastAsia="Arial" w:hAnsi="Arial"/>
                <w:sz w:val="14"/>
                <w:szCs w:val="14"/>
                <w:color w:val="0000FF"/>
              </w:rPr>
            </w:pPr>
            <w:hyperlink w:anchor="page137">
              <w:r>
                <w:rPr>
                  <w:rFonts w:ascii="Arial" w:cs="Arial" w:eastAsia="Arial" w:hAnsi="Arial"/>
                  <w:sz w:val="14"/>
                  <w:szCs w:val="14"/>
                  <w:color w:val="0000FF"/>
                </w:rPr>
                <w:t>Executive Change in Control Severance Plan.</w:t>
              </w:r>
            </w:hyperlink>
          </w:p>
        </w:tc>
        <w:tc>
          <w:tcPr>
            <w:tcW w:w="340" w:type="dxa"/>
            <w:vAlign w:val="bottom"/>
            <w:gridSpan w:val="14"/>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260" w:type="dxa"/>
            <w:vAlign w:val="bottom"/>
            <w:gridSpan w:val="46"/>
          </w:tcPr>
          <w:p>
            <w:pPr>
              <w:spacing w:after="0"/>
              <w:rPr>
                <w:rFonts w:ascii="Arial" w:cs="Arial" w:eastAsia="Arial" w:hAnsi="Arial"/>
                <w:sz w:val="14"/>
                <w:szCs w:val="14"/>
                <w:color w:val="0000FF"/>
              </w:rPr>
            </w:pPr>
            <w:hyperlink w:anchor="page156">
              <w:r>
                <w:rPr>
                  <w:rFonts w:ascii="Arial" w:cs="Arial" w:eastAsia="Arial" w:hAnsi="Arial"/>
                  <w:sz w:val="14"/>
                  <w:szCs w:val="14"/>
                  <w:color w:val="0000FF"/>
                </w:rPr>
                <w:t>Consent of Independent Registered Public</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0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w:anchor="page156">
              <w:r>
                <w:rPr>
                  <w:rFonts w:ascii="Arial" w:cs="Arial" w:eastAsia="Arial" w:hAnsi="Arial"/>
                  <w:sz w:val="13"/>
                  <w:szCs w:val="13"/>
                  <w:color w:val="0000FF"/>
                </w:rPr>
                <w:t>Accounting Firm</w:t>
              </w:r>
            </w:hyperlink>
          </w:p>
        </w:tc>
        <w:tc>
          <w:tcPr>
            <w:tcW w:w="1680" w:type="dxa"/>
            <w:vAlign w:val="bottom"/>
            <w:tcBorders>
              <w:top w:val="single" w:sz="8" w:color="0000FF"/>
            </w:tcBorders>
            <w:gridSpan w:val="20"/>
          </w:tcPr>
          <w:p>
            <w:pPr>
              <w:spacing w:after="0"/>
              <w:rPr>
                <w:sz w:val="10"/>
                <w:szCs w:val="10"/>
                <w:color w:val="auto"/>
              </w:rPr>
            </w:pPr>
          </w:p>
        </w:tc>
        <w:tc>
          <w:tcPr>
            <w:tcW w:w="340" w:type="dxa"/>
            <w:vAlign w:val="bottom"/>
            <w:gridSpan w:val="18"/>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60" w:type="dxa"/>
            <w:vAlign w:val="bottom"/>
            <w:tcBorders>
              <w:bottom w:val="single" w:sz="8" w:color="0000FF"/>
            </w:tcBorders>
            <w:gridSpan w:val="41"/>
          </w:tcPr>
          <w:p>
            <w:pPr>
              <w:spacing w:after="0"/>
              <w:rPr>
                <w:rFonts w:ascii="Arial" w:cs="Arial" w:eastAsia="Arial" w:hAnsi="Arial"/>
                <w:sz w:val="14"/>
                <w:szCs w:val="14"/>
                <w:color w:val="0000FF"/>
              </w:rPr>
            </w:pPr>
            <w:hyperlink w:anchor="page126">
              <w:r>
                <w:rPr>
                  <w:rFonts w:ascii="Arial" w:cs="Arial" w:eastAsia="Arial" w:hAnsi="Arial"/>
                  <w:sz w:val="14"/>
                  <w:szCs w:val="14"/>
                  <w:color w:val="0000FF"/>
                </w:rPr>
                <w:t>Power of Attorney (included on signature page).</w:t>
              </w:r>
            </w:hyperlink>
          </w:p>
        </w:tc>
        <w:tc>
          <w:tcPr>
            <w:tcW w:w="20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560" w:type="dxa"/>
            <w:vAlign w:val="bottom"/>
            <w:tcBorders>
              <w:bottom w:val="single" w:sz="8" w:color="0000FF"/>
            </w:tcBorders>
            <w:gridSpan w:val="20"/>
          </w:tcPr>
          <w:p>
            <w:pPr>
              <w:spacing w:after="0"/>
              <w:rPr>
                <w:rFonts w:ascii="Arial" w:cs="Arial" w:eastAsia="Arial" w:hAnsi="Arial"/>
                <w:sz w:val="14"/>
                <w:szCs w:val="14"/>
                <w:color w:val="0000FF"/>
              </w:rPr>
            </w:pPr>
            <w:hyperlink w:anchor="page157">
              <w:r>
                <w:rPr>
                  <w:rFonts w:ascii="Arial" w:cs="Arial" w:eastAsia="Arial" w:hAnsi="Arial"/>
                  <w:sz w:val="14"/>
                  <w:szCs w:val="14"/>
                  <w:color w:val="0000FF"/>
                </w:rPr>
                <w:t>Certificate of Principal Executive Officer,</w:t>
              </w:r>
            </w:hyperlink>
          </w:p>
        </w:tc>
        <w:tc>
          <w:tcPr>
            <w:tcW w:w="700" w:type="dxa"/>
            <w:vAlign w:val="bottom"/>
            <w:gridSpan w:val="26"/>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6"/>
          </w:tcPr>
          <w:p>
            <w:pPr>
              <w:spacing w:after="0" w:line="115" w:lineRule="exact"/>
              <w:rPr>
                <w:rFonts w:ascii="Arial" w:cs="Arial" w:eastAsia="Arial" w:hAnsi="Arial"/>
                <w:sz w:val="13"/>
                <w:szCs w:val="13"/>
                <w:color w:val="0000FF"/>
              </w:rPr>
            </w:pPr>
            <w:hyperlink w:anchor="page157">
              <w:r>
                <w:rPr>
                  <w:rFonts w:ascii="Arial" w:cs="Arial" w:eastAsia="Arial" w:hAnsi="Arial"/>
                  <w:sz w:val="13"/>
                  <w:szCs w:val="13"/>
                  <w:color w:val="0000FF"/>
                </w:rPr>
                <w:t>pursuant to Rule 13a-14(a)/15d-14(a), as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w:anchor="page157">
              <w:r>
                <w:rPr>
                  <w:rFonts w:ascii="Arial" w:cs="Arial" w:eastAsia="Arial" w:hAnsi="Arial"/>
                  <w:sz w:val="13"/>
                  <w:szCs w:val="13"/>
                  <w:color w:val="0000FF"/>
                </w:rPr>
                <w:t>adopted pursuant to Section 302 of the</w:t>
              </w:r>
            </w:hyperlink>
          </w:p>
        </w:tc>
        <w:tc>
          <w:tcPr>
            <w:tcW w:w="520" w:type="dxa"/>
            <w:vAlign w:val="bottom"/>
            <w:gridSpan w:val="23"/>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84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w:anchor="page157">
              <w:r>
                <w:rPr>
                  <w:rFonts w:ascii="Arial" w:cs="Arial" w:eastAsia="Arial" w:hAnsi="Arial"/>
                  <w:sz w:val="13"/>
                  <w:szCs w:val="13"/>
                  <w:color w:val="0000FF"/>
                </w:rPr>
                <w:t>Sarbanes-Oxley Act of 2002.</w:t>
              </w:r>
            </w:hyperlink>
          </w:p>
        </w:tc>
        <w:tc>
          <w:tcPr>
            <w:tcW w:w="660" w:type="dxa"/>
            <w:vAlign w:val="bottom"/>
            <w:tcBorders>
              <w:top w:val="single" w:sz="8" w:color="0000FF"/>
            </w:tcBorders>
            <w:gridSpan w:val="11"/>
          </w:tcPr>
          <w:p>
            <w:pPr>
              <w:spacing w:after="0"/>
              <w:rPr>
                <w:sz w:val="10"/>
                <w:szCs w:val="10"/>
                <w:color w:val="auto"/>
              </w:rPr>
            </w:pPr>
          </w:p>
        </w:tc>
        <w:tc>
          <w:tcPr>
            <w:tcW w:w="60" w:type="dxa"/>
            <w:vAlign w:val="bottom"/>
            <w:gridSpan w:val="3"/>
          </w:tcPr>
          <w:p>
            <w:pPr>
              <w:spacing w:after="0"/>
              <w:rPr>
                <w:sz w:val="10"/>
                <w:szCs w:val="10"/>
                <w:color w:val="auto"/>
              </w:rPr>
            </w:pPr>
          </w:p>
        </w:tc>
        <w:tc>
          <w:tcPr>
            <w:tcW w:w="560" w:type="dxa"/>
            <w:vAlign w:val="bottom"/>
            <w:gridSpan w:val="24"/>
          </w:tcPr>
          <w:p>
            <w:pPr>
              <w:spacing w:after="0"/>
              <w:rPr>
                <w:sz w:val="10"/>
                <w:szCs w:val="10"/>
                <w:color w:val="auto"/>
              </w:rPr>
            </w:pPr>
          </w:p>
        </w:tc>
        <w:tc>
          <w:tcPr>
            <w:tcW w:w="1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6"/>
          </w:tcPr>
          <w:p>
            <w:pPr>
              <w:spacing w:after="0"/>
              <w:rPr>
                <w:rFonts w:ascii="Arial" w:cs="Arial" w:eastAsia="Arial" w:hAnsi="Arial"/>
                <w:sz w:val="14"/>
                <w:szCs w:val="14"/>
                <w:color w:val="0000FF"/>
              </w:rPr>
            </w:pPr>
            <w:hyperlink w:anchor="page159">
              <w:r>
                <w:rPr>
                  <w:rFonts w:ascii="Arial" w:cs="Arial" w:eastAsia="Arial" w:hAnsi="Arial"/>
                  <w:sz w:val="14"/>
                  <w:szCs w:val="14"/>
                  <w:color w:val="0000FF"/>
                </w:rPr>
                <w:t>Certificate of Principal Financial Officer, pursuant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3120" w:type="dxa"/>
            <w:vAlign w:val="bottom"/>
            <w:tcBorders>
              <w:top w:val="single" w:sz="8" w:color="0000FF"/>
            </w:tcBorders>
            <w:gridSpan w:val="44"/>
          </w:tcPr>
          <w:p>
            <w:pPr>
              <w:spacing w:after="0" w:line="106" w:lineRule="exact"/>
              <w:rPr>
                <w:rFonts w:ascii="Arial" w:cs="Arial" w:eastAsia="Arial" w:hAnsi="Arial"/>
                <w:sz w:val="12"/>
                <w:szCs w:val="12"/>
                <w:color w:val="0000FF"/>
              </w:rPr>
            </w:pPr>
            <w:hyperlink w:anchor="page159">
              <w:r>
                <w:rPr>
                  <w:rFonts w:ascii="Arial" w:cs="Arial" w:eastAsia="Arial" w:hAnsi="Arial"/>
                  <w:sz w:val="12"/>
                  <w:szCs w:val="12"/>
                  <w:color w:val="0000FF"/>
                </w:rPr>
                <w:t>to Rule 13a-14(a)/15d-14(a), as adopted</w:t>
              </w:r>
            </w:hyperlink>
          </w:p>
        </w:tc>
        <w:tc>
          <w:tcPr>
            <w:tcW w:w="1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20"/>
          </w:tcPr>
          <w:p>
            <w:pPr>
              <w:spacing w:after="0" w:line="122" w:lineRule="exact"/>
              <w:rPr>
                <w:rFonts w:ascii="Arial" w:cs="Arial" w:eastAsia="Arial" w:hAnsi="Arial"/>
                <w:sz w:val="14"/>
                <w:szCs w:val="14"/>
                <w:color w:val="0000FF"/>
              </w:rPr>
            </w:pPr>
            <w:hyperlink w:anchor="page159">
              <w:r>
                <w:rPr>
                  <w:rFonts w:ascii="Arial" w:cs="Arial" w:eastAsia="Arial" w:hAnsi="Arial"/>
                  <w:sz w:val="14"/>
                  <w:szCs w:val="14"/>
                  <w:color w:val="0000FF"/>
                </w:rPr>
                <w:t>pursuant to Section 302 of the Sarbanes</w:t>
              </w:r>
            </w:hyperlink>
          </w:p>
        </w:tc>
        <w:tc>
          <w:tcPr>
            <w:tcW w:w="700" w:type="dxa"/>
            <w:vAlign w:val="bottom"/>
            <w:gridSpan w:val="26"/>
          </w:tcPr>
          <w:p>
            <w:pPr>
              <w:jc w:val="center"/>
              <w:ind w:right="280"/>
              <w:spacing w:after="0" w:line="122" w:lineRule="exact"/>
              <w:rPr>
                <w:rFonts w:ascii="Arial" w:cs="Arial" w:eastAsia="Arial" w:hAnsi="Arial"/>
                <w:sz w:val="14"/>
                <w:szCs w:val="14"/>
                <w:color w:val="0000FF"/>
              </w:rPr>
            </w:pPr>
            <w:hyperlink w:anchor="page159">
              <w:r>
                <w:rPr>
                  <w:rFonts w:ascii="Arial" w:cs="Arial" w:eastAsia="Arial" w:hAnsi="Arial"/>
                  <w:sz w:val="14"/>
                  <w:szCs w:val="14"/>
                  <w:color w:val="0000FF"/>
                </w:rPr>
                <w:t>-Oxley</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w:anchor="page159">
              <w:r>
                <w:rPr>
                  <w:rFonts w:ascii="Arial" w:cs="Arial" w:eastAsia="Arial" w:hAnsi="Arial"/>
                  <w:sz w:val="13"/>
                  <w:szCs w:val="13"/>
                  <w:color w:val="0000FF"/>
                </w:rPr>
                <w:t>Act of 2002.</w:t>
              </w:r>
            </w:hyperlink>
          </w:p>
        </w:tc>
        <w:tc>
          <w:tcPr>
            <w:tcW w:w="200" w:type="dxa"/>
            <w:vAlign w:val="bottom"/>
            <w:gridSpan w:val="7"/>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125" w:name="page126"/>
    <w:bookmarkEnd w:id="125"/>
    <w:tbl>
      <w:tblPr>
        <w:tblLayout w:type="fixed"/>
        <w:tblInd w:w="123"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540" w:type="dxa"/>
            <w:vAlign w:val="bottom"/>
            <w:gridSpan w:val="5"/>
          </w:tcPr>
          <w:p>
            <w:pPr>
              <w:spacing w:after="0"/>
              <w:rPr>
                <w:rFonts w:ascii="Arial" w:cs="Arial" w:eastAsia="Arial" w:hAnsi="Arial"/>
                <w:sz w:val="14"/>
                <w:szCs w:val="14"/>
                <w:color w:val="0000FF"/>
              </w:rPr>
            </w:pPr>
            <w:hyperlink w:anchor="page161">
              <w:r>
                <w:rPr>
                  <w:rFonts w:ascii="Arial" w:cs="Arial" w:eastAsia="Arial" w:hAnsi="Arial"/>
                  <w:sz w:val="14"/>
                  <w:szCs w:val="14"/>
                  <w:color w:val="0000FF"/>
                </w:rPr>
                <w:t>Certifications Pursuant to U.S.C. Section 1350,</w:t>
              </w:r>
            </w:hyperlink>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980" w:type="dxa"/>
            <w:vAlign w:val="bottom"/>
            <w:tcBorders>
              <w:top w:val="single" w:sz="8" w:color="0000FF"/>
            </w:tcBorders>
            <w:gridSpan w:val="4"/>
          </w:tcPr>
          <w:p>
            <w:pPr>
              <w:spacing w:after="0" w:line="115" w:lineRule="exact"/>
              <w:rPr>
                <w:rFonts w:ascii="Arial" w:cs="Arial" w:eastAsia="Arial" w:hAnsi="Arial"/>
                <w:sz w:val="13"/>
                <w:szCs w:val="13"/>
                <w:color w:val="0000FF"/>
              </w:rPr>
            </w:pPr>
            <w:hyperlink w:anchor="page161">
              <w:r>
                <w:rPr>
                  <w:rFonts w:ascii="Arial" w:cs="Arial" w:eastAsia="Arial" w:hAnsi="Arial"/>
                  <w:sz w:val="13"/>
                  <w:szCs w:val="13"/>
                  <w:color w:val="0000FF"/>
                </w:rPr>
                <w:t>As Adopted Pursuant to Section 906 of the</w:t>
              </w:r>
            </w:hyperlink>
          </w:p>
        </w:tc>
        <w:tc>
          <w:tcPr>
            <w:tcW w:w="25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3"/>
          </w:tcPr>
          <w:p>
            <w:pPr>
              <w:spacing w:after="0" w:line="115" w:lineRule="exact"/>
              <w:rPr>
                <w:rFonts w:ascii="Arial" w:cs="Arial" w:eastAsia="Arial" w:hAnsi="Arial"/>
                <w:sz w:val="13"/>
                <w:szCs w:val="13"/>
                <w:color w:val="0000FF"/>
              </w:rPr>
            </w:pPr>
            <w:hyperlink w:anchor="page161">
              <w:r>
                <w:rPr>
                  <w:rFonts w:ascii="Arial" w:cs="Arial" w:eastAsia="Arial" w:hAnsi="Arial"/>
                  <w:sz w:val="13"/>
                  <w:szCs w:val="13"/>
                  <w:color w:val="0000FF"/>
                </w:rPr>
                <w:t>Public Company Accounting Reform and</w:t>
              </w:r>
            </w:hyperlink>
          </w:p>
        </w:tc>
        <w:tc>
          <w:tcPr>
            <w:tcW w:w="2820" w:type="dxa"/>
            <w:vAlign w:val="bottom"/>
            <w:gridSpan w:val="2"/>
          </w:tcPr>
          <w:p>
            <w:pPr>
              <w:spacing w:after="0"/>
              <w:rPr>
                <w:sz w:val="10"/>
                <w:szCs w:val="10"/>
                <w:color w:val="auto"/>
              </w:rPr>
            </w:pPr>
          </w:p>
        </w:tc>
        <w:tc>
          <w:tcPr>
            <w:tcW w:w="2540" w:type="dxa"/>
            <w:vAlign w:val="bottom"/>
            <w:vMerge w:val="restart"/>
          </w:tcPr>
          <w:p>
            <w:pPr>
              <w:ind w:left="24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580" w:type="dxa"/>
            <w:vAlign w:val="bottom"/>
            <w:tcBorders>
              <w:top w:val="single" w:sz="8" w:color="0000FF"/>
            </w:tcBorders>
            <w:gridSpan w:val="2"/>
          </w:tcPr>
          <w:p>
            <w:pPr>
              <w:spacing w:after="0" w:line="115" w:lineRule="exact"/>
              <w:rPr>
                <w:rFonts w:ascii="Arial" w:cs="Arial" w:eastAsia="Arial" w:hAnsi="Arial"/>
                <w:sz w:val="13"/>
                <w:szCs w:val="13"/>
                <w:color w:val="0000FF"/>
              </w:rPr>
            </w:pPr>
            <w:hyperlink w:anchor="page161">
              <w:r>
                <w:rPr>
                  <w:rFonts w:ascii="Arial" w:cs="Arial" w:eastAsia="Arial" w:hAnsi="Arial"/>
                  <w:sz w:val="13"/>
                  <w:szCs w:val="13"/>
                  <w:color w:val="0000FF"/>
                </w:rPr>
                <w:t>Investor Protection Act of 2002.</w:t>
              </w:r>
            </w:hyperlink>
          </w:p>
        </w:tc>
        <w:tc>
          <w:tcPr>
            <w:tcW w:w="2960" w:type="dxa"/>
            <w:vAlign w:val="bottom"/>
            <w:gridSpan w:val="3"/>
          </w:tcPr>
          <w:p>
            <w:pPr>
              <w:spacing w:after="0"/>
              <w:rPr>
                <w:sz w:val="10"/>
                <w:szCs w:val="10"/>
                <w:color w:val="auto"/>
              </w:rPr>
            </w:pPr>
          </w:p>
        </w:tc>
        <w:tc>
          <w:tcPr>
            <w:tcW w:w="2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5540" w:type="dxa"/>
            <w:vAlign w:val="bottom"/>
            <w:gridSpan w:val="5"/>
          </w:tcPr>
          <w:p>
            <w:pPr>
              <w:spacing w:after="0"/>
              <w:rPr>
                <w:sz w:val="20"/>
                <w:szCs w:val="20"/>
                <w:color w:val="auto"/>
              </w:rPr>
            </w:pPr>
            <w:r>
              <w:rPr>
                <w:rFonts w:ascii="Arial" w:cs="Arial" w:eastAsia="Arial" w:hAnsi="Arial"/>
                <w:sz w:val="14"/>
                <w:szCs w:val="14"/>
                <w:color w:val="auto"/>
              </w:rPr>
              <w:t>XBRL Taxonomy Extension Schema Document.</w:t>
            </w:r>
          </w:p>
        </w:tc>
        <w:tc>
          <w:tcPr>
            <w:tcW w:w="2540" w:type="dxa"/>
            <w:vAlign w:val="bottom"/>
          </w:tcPr>
          <w:p>
            <w:pPr>
              <w:ind w:left="24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5540" w:type="dxa"/>
            <w:vAlign w:val="bottom"/>
            <w:gridSpan w:val="5"/>
          </w:tcPr>
          <w:p>
            <w:pPr>
              <w:spacing w:after="0" w:line="152" w:lineRule="exact"/>
              <w:rPr>
                <w:sz w:val="20"/>
                <w:szCs w:val="20"/>
                <w:color w:val="auto"/>
              </w:rPr>
            </w:pPr>
            <w:r>
              <w:rPr>
                <w:rFonts w:ascii="Arial" w:cs="Arial" w:eastAsia="Arial" w:hAnsi="Arial"/>
                <w:sz w:val="14"/>
                <w:szCs w:val="14"/>
                <w:color w:val="auto"/>
              </w:rPr>
              <w:t>XBRL Taxonomy Extension Calculation Linkbase</w:t>
            </w:r>
          </w:p>
        </w:tc>
        <w:tc>
          <w:tcPr>
            <w:tcW w:w="2540" w:type="dxa"/>
            <w:vAlign w:val="bottom"/>
            <w:vMerge w:val="restart"/>
          </w:tcPr>
          <w:p>
            <w:pPr>
              <w:ind w:left="24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5540" w:type="dxa"/>
            <w:vAlign w:val="bottom"/>
            <w:gridSpan w:val="5"/>
          </w:tcPr>
          <w:p>
            <w:pPr>
              <w:spacing w:after="0"/>
              <w:rPr>
                <w:sz w:val="20"/>
                <w:szCs w:val="20"/>
                <w:color w:val="auto"/>
              </w:rPr>
            </w:pPr>
            <w:r>
              <w:rPr>
                <w:rFonts w:ascii="Arial" w:cs="Arial" w:eastAsia="Arial" w:hAnsi="Arial"/>
                <w:sz w:val="14"/>
                <w:szCs w:val="14"/>
                <w:color w:val="auto"/>
              </w:rPr>
              <w:t>Document.</w:t>
            </w: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5540" w:type="dxa"/>
            <w:vAlign w:val="bottom"/>
            <w:gridSpan w:val="5"/>
          </w:tcPr>
          <w:p>
            <w:pPr>
              <w:spacing w:after="0" w:line="152" w:lineRule="exact"/>
              <w:rPr>
                <w:sz w:val="20"/>
                <w:szCs w:val="20"/>
                <w:color w:val="auto"/>
              </w:rPr>
            </w:pPr>
            <w:r>
              <w:rPr>
                <w:rFonts w:ascii="Arial" w:cs="Arial" w:eastAsia="Arial" w:hAnsi="Arial"/>
                <w:sz w:val="14"/>
                <w:szCs w:val="14"/>
                <w:color w:val="auto"/>
              </w:rPr>
              <w:t>XBRL Taxonomy Extension Definition Linkbase</w:t>
            </w:r>
          </w:p>
        </w:tc>
        <w:tc>
          <w:tcPr>
            <w:tcW w:w="2540" w:type="dxa"/>
            <w:vAlign w:val="bottom"/>
            <w:vMerge w:val="restart"/>
          </w:tcPr>
          <w:p>
            <w:pPr>
              <w:ind w:left="24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5540" w:type="dxa"/>
            <w:vAlign w:val="bottom"/>
            <w:gridSpan w:val="5"/>
          </w:tcPr>
          <w:p>
            <w:pPr>
              <w:spacing w:after="0"/>
              <w:rPr>
                <w:sz w:val="20"/>
                <w:szCs w:val="20"/>
                <w:color w:val="auto"/>
              </w:rPr>
            </w:pPr>
            <w:r>
              <w:rPr>
                <w:rFonts w:ascii="Arial" w:cs="Arial" w:eastAsia="Arial" w:hAnsi="Arial"/>
                <w:sz w:val="14"/>
                <w:szCs w:val="14"/>
                <w:color w:val="auto"/>
              </w:rPr>
              <w:t>Document.</w:t>
            </w: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5540" w:type="dxa"/>
            <w:vAlign w:val="bottom"/>
            <w:gridSpan w:val="5"/>
          </w:tcPr>
          <w:p>
            <w:pPr>
              <w:spacing w:after="0" w:line="152" w:lineRule="exact"/>
              <w:rPr>
                <w:sz w:val="20"/>
                <w:szCs w:val="20"/>
                <w:color w:val="auto"/>
              </w:rPr>
            </w:pPr>
            <w:r>
              <w:rPr>
                <w:rFonts w:ascii="Arial" w:cs="Arial" w:eastAsia="Arial" w:hAnsi="Arial"/>
                <w:sz w:val="14"/>
                <w:szCs w:val="14"/>
                <w:color w:val="auto"/>
              </w:rPr>
              <w:t>XBRL Taxonomy Extension Labels Linkbase</w:t>
            </w:r>
          </w:p>
        </w:tc>
        <w:tc>
          <w:tcPr>
            <w:tcW w:w="2540" w:type="dxa"/>
            <w:vAlign w:val="bottom"/>
            <w:vMerge w:val="restart"/>
          </w:tcPr>
          <w:p>
            <w:pPr>
              <w:ind w:left="24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5540" w:type="dxa"/>
            <w:vAlign w:val="bottom"/>
            <w:gridSpan w:val="5"/>
          </w:tcPr>
          <w:p>
            <w:pPr>
              <w:spacing w:after="0"/>
              <w:rPr>
                <w:sz w:val="20"/>
                <w:szCs w:val="20"/>
                <w:color w:val="auto"/>
              </w:rPr>
            </w:pPr>
            <w:r>
              <w:rPr>
                <w:rFonts w:ascii="Arial" w:cs="Arial" w:eastAsia="Arial" w:hAnsi="Arial"/>
                <w:sz w:val="14"/>
                <w:szCs w:val="14"/>
                <w:color w:val="auto"/>
              </w:rPr>
              <w:t>Document.</w:t>
            </w: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5540" w:type="dxa"/>
            <w:vAlign w:val="bottom"/>
            <w:gridSpan w:val="5"/>
          </w:tcPr>
          <w:p>
            <w:pPr>
              <w:spacing w:after="0" w:line="152" w:lineRule="exact"/>
              <w:rPr>
                <w:sz w:val="20"/>
                <w:szCs w:val="20"/>
                <w:color w:val="auto"/>
              </w:rPr>
            </w:pPr>
            <w:r>
              <w:rPr>
                <w:rFonts w:ascii="Arial" w:cs="Arial" w:eastAsia="Arial" w:hAnsi="Arial"/>
                <w:sz w:val="14"/>
                <w:szCs w:val="14"/>
                <w:color w:val="auto"/>
              </w:rPr>
              <w:t>XBRL Taxonomy Extension Presentation</w:t>
            </w:r>
          </w:p>
        </w:tc>
        <w:tc>
          <w:tcPr>
            <w:tcW w:w="2540" w:type="dxa"/>
            <w:vAlign w:val="bottom"/>
            <w:vMerge w:val="restart"/>
          </w:tcPr>
          <w:p>
            <w:pPr>
              <w:ind w:left="24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5540" w:type="dxa"/>
            <w:vAlign w:val="bottom"/>
            <w:gridSpan w:val="5"/>
          </w:tcPr>
          <w:p>
            <w:pPr>
              <w:spacing w:after="0"/>
              <w:rPr>
                <w:sz w:val="20"/>
                <w:szCs w:val="20"/>
                <w:color w:val="auto"/>
              </w:rPr>
            </w:pPr>
            <w:r>
              <w:rPr>
                <w:rFonts w:ascii="Arial" w:cs="Arial" w:eastAsia="Arial" w:hAnsi="Arial"/>
                <w:sz w:val="14"/>
                <w:szCs w:val="14"/>
                <w:color w:val="auto"/>
              </w:rPr>
              <w:t>Linkbase Document.</w:t>
            </w: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643" w:hanging="643"/>
        <w:spacing w:after="0" w:line="250" w:lineRule="auto"/>
        <w:tabs>
          <w:tab w:leader="none" w:pos="31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303" w:hanging="303"/>
        <w:spacing w:after="0"/>
        <w:tabs>
          <w:tab w:leader="none" w:pos="3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4743" w:right="2440" w:hanging="4743"/>
        <w:spacing w:after="0" w:line="903" w:lineRule="auto"/>
        <w:tabs>
          <w:tab w:leader="none" w:pos="2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-306070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937" w:right="67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3980" w:type="dxa"/>
            <w:vAlign w:val="bottom"/>
          </w:tcPr>
          <w:p>
            <w:pPr>
              <w:spacing w:after="0"/>
              <w:rPr>
                <w:sz w:val="20"/>
                <w:szCs w:val="20"/>
                <w:color w:val="auto"/>
              </w:rPr>
            </w:pPr>
            <w:r>
              <w:rPr>
                <w:rFonts w:ascii="Arial" w:cs="Arial" w:eastAsia="Arial" w:hAnsi="Arial"/>
                <w:sz w:val="18"/>
                <w:szCs w:val="18"/>
                <w:color w:val="auto"/>
              </w:rPr>
              <w:t>Date: March 16, 2021</w:t>
            </w:r>
          </w:p>
        </w:tc>
        <w:tc>
          <w:tcPr>
            <w:tcW w:w="2860" w:type="dxa"/>
            <w:vAlign w:val="bottom"/>
          </w:tcPr>
          <w:p>
            <w:pPr>
              <w:ind w:left="224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Fortunato Ron Rocca and Kamal Adawi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23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9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Fortunato Ron Rocca</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Fortunato Ron Rocca</w:t>
            </w:r>
          </w:p>
        </w:tc>
        <w:tc>
          <w:tcPr>
            <w:tcW w:w="100" w:type="dxa"/>
            <w:vAlign w:val="bottom"/>
          </w:tcPr>
          <w:p>
            <w:pPr>
              <w:spacing w:after="0"/>
              <w:rPr>
                <w:sz w:val="17"/>
                <w:szCs w:val="17"/>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Kamal Adawi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and Corporate Secretary</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Kamal Adawi</w:t>
            </w:r>
          </w:p>
        </w:tc>
        <w:tc>
          <w:tcPr>
            <w:tcW w:w="100" w:type="dxa"/>
            <w:vAlign w:val="bottom"/>
          </w:tcPr>
          <w:p>
            <w:pPr>
              <w:spacing w:after="0"/>
              <w:rPr>
                <w:sz w:val="17"/>
                <w:szCs w:val="17"/>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Financial and Accounting Officer)</w:t>
            </w: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Brian Birk</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Chairman of the Board of Directors</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Brian Birk</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Jeff Elliott</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Jeff Elliott</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Wendy S. Johnson</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Wendy S. Johnson</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Ebetuel Pallares,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Ebetuel Pallares,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8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James L.L. Tullis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16, 2021</w:t>
            </w:r>
          </w:p>
        </w:tc>
      </w:tr>
      <w:tr>
        <w:trPr>
          <w:trHeight w:val="207"/>
        </w:trPr>
        <w:tc>
          <w:tcPr>
            <w:tcW w:w="2780" w:type="dxa"/>
            <w:vAlign w:val="bottom"/>
          </w:tcPr>
          <w:p>
            <w:pPr>
              <w:jc w:val="center"/>
              <w:spacing w:after="0"/>
              <w:rPr>
                <w:sz w:val="20"/>
                <w:szCs w:val="20"/>
                <w:color w:val="auto"/>
              </w:rPr>
            </w:pPr>
            <w:r>
              <w:rPr>
                <w:rFonts w:ascii="Arial" w:cs="Arial" w:eastAsia="Arial" w:hAnsi="Arial"/>
                <w:sz w:val="16"/>
                <w:szCs w:val="16"/>
                <w:color w:val="auto"/>
                <w:w w:val="99"/>
              </w:rPr>
              <w:t>James L.L. Tullis</w:t>
            </w: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9180"/>
          </w:cols>
          <w:pgMar w:left="1360" w:top="931" w:right="1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99695</wp:posOffset>
            </wp:positionV>
            <wp:extent cx="6995160" cy="4972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6995160" cy="497205"/>
                    </a:xfrm>
                    <a:prstGeom prst="rect">
                      <a:avLst/>
                    </a:prstGeom>
                    <a:noFill/>
                  </pic:spPr>
                </pic:pic>
              </a:graphicData>
            </a:graphic>
          </wp:anchor>
        </w:drawing>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EXAGEN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2019 INCENTIVE AWARD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Exagen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to the participant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described in this Restricted Stock Unit Grant Notice (this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subject to the terms and conditions of the Exagen Inc. 2019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and the Restricted Stock Unit Agreement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40"/>
          </w:cols>
          <w:pgMar w:left="320" w:top="1413" w:right="339"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[To be specified]</w:t>
      </w:r>
    </w:p>
    <w:p>
      <w:pPr>
        <w:spacing w:after="0" w:line="120" w:lineRule="exact"/>
        <w:rPr>
          <w:sz w:val="20"/>
          <w:szCs w:val="20"/>
          <w:color w:val="auto"/>
        </w:rPr>
      </w:pPr>
    </w:p>
    <w:p>
      <w:pPr>
        <w:sectPr>
          <w:pgSz w:w="11900" w:h="16838" w:orient="portrait"/>
          <w:cols w:equalWidth="0" w:num="2">
            <w:col w:w="3580" w:space="720"/>
            <w:col w:w="69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specified]</w:t>
      </w:r>
    </w:p>
    <w:p>
      <w:pPr>
        <w:spacing w:after="0" w:line="120" w:lineRule="exact"/>
        <w:rPr>
          <w:sz w:val="20"/>
          <w:szCs w:val="20"/>
          <w:color w:val="auto"/>
        </w:rPr>
      </w:pPr>
    </w:p>
    <w:p>
      <w:pPr>
        <w:sectPr>
          <w:pgSz w:w="11900" w:h="16838" w:orient="portrait"/>
          <w:cols w:equalWidth="0" w:num="2">
            <w:col w:w="3580" w:space="720"/>
            <w:col w:w="69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specified]</w:t>
      </w:r>
    </w:p>
    <w:p>
      <w:pPr>
        <w:spacing w:after="0" w:line="120" w:lineRule="exact"/>
        <w:rPr>
          <w:sz w:val="20"/>
          <w:szCs w:val="20"/>
          <w:color w:val="auto"/>
        </w:rPr>
      </w:pPr>
    </w:p>
    <w:p>
      <w:pPr>
        <w:sectPr>
          <w:pgSz w:w="11900" w:h="16838" w:orient="portrait"/>
          <w:cols w:equalWidth="0" w:num="2">
            <w:col w:w="3580" w:space="720"/>
            <w:col w:w="69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specified]</w:t>
      </w:r>
    </w:p>
    <w:p>
      <w:pPr>
        <w:spacing w:after="0" w:line="121" w:lineRule="exact"/>
        <w:rPr>
          <w:sz w:val="20"/>
          <w:szCs w:val="20"/>
          <w:color w:val="auto"/>
        </w:rPr>
      </w:pPr>
    </w:p>
    <w:p>
      <w:pPr>
        <w:sectPr>
          <w:pgSz w:w="11900" w:h="16838" w:orient="portrait"/>
          <w:cols w:equalWidth="0" w:num="2">
            <w:col w:w="3580" w:space="720"/>
            <w:col w:w="69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specified]</w:t>
      </w:r>
    </w:p>
    <w:p>
      <w:pPr>
        <w:spacing w:after="0" w:line="200" w:lineRule="exact"/>
        <w:rPr>
          <w:sz w:val="20"/>
          <w:szCs w:val="20"/>
          <w:color w:val="auto"/>
        </w:rPr>
      </w:pPr>
    </w:p>
    <w:p>
      <w:pPr>
        <w:sectPr>
          <w:pgSz w:w="11900" w:h="16838" w:orient="portrait"/>
          <w:cols w:equalWidth="0" w:num="2">
            <w:col w:w="3580" w:space="720"/>
            <w:col w:w="6940"/>
          </w:cols>
          <w:pgMar w:left="320" w:top="1413" w:right="339" w:bottom="1440" w:gutter="0" w:footer="0" w:header="0"/>
          <w:type w:val="continuous"/>
        </w:sectPr>
      </w:pPr>
    </w:p>
    <w:p>
      <w:pPr>
        <w:spacing w:after="0" w:line="3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480" w:type="dxa"/>
            <w:vAlign w:val="bottom"/>
            <w:gridSpan w:val="2"/>
          </w:tcPr>
          <w:p>
            <w:pPr>
              <w:spacing w:after="0"/>
              <w:rPr>
                <w:sz w:val="20"/>
                <w:szCs w:val="20"/>
                <w:color w:val="auto"/>
              </w:rPr>
            </w:pPr>
            <w:r>
              <w:rPr>
                <w:rFonts w:ascii="Arial" w:cs="Arial" w:eastAsia="Arial" w:hAnsi="Arial"/>
                <w:sz w:val="20"/>
                <w:szCs w:val="20"/>
                <w:b w:val="1"/>
                <w:bCs w:val="1"/>
                <w:color w:val="auto"/>
              </w:rPr>
              <w:t>EXAGEN INC.</w:t>
            </w:r>
          </w:p>
        </w:tc>
        <w:tc>
          <w:tcPr>
            <w:tcW w:w="240" w:type="dxa"/>
            <w:vAlign w:val="bottom"/>
          </w:tcPr>
          <w:p>
            <w:pPr>
              <w:spacing w:after="0"/>
              <w:rPr>
                <w:sz w:val="22"/>
                <w:szCs w:val="22"/>
                <w:color w:val="auto"/>
              </w:rPr>
            </w:pPr>
          </w:p>
        </w:tc>
        <w:tc>
          <w:tcPr>
            <w:tcW w:w="5500" w:type="dxa"/>
            <w:vAlign w:val="bottom"/>
          </w:tcPr>
          <w:p>
            <w:pPr>
              <w:ind w:left="20"/>
              <w:spacing w:after="0"/>
              <w:rPr>
                <w:sz w:val="20"/>
                <w:szCs w:val="20"/>
                <w:color w:val="auto"/>
              </w:rPr>
            </w:pPr>
            <w:r>
              <w:rPr>
                <w:rFonts w:ascii="Arial" w:cs="Arial" w:eastAsia="Arial" w:hAnsi="Arial"/>
                <w:sz w:val="20"/>
                <w:szCs w:val="20"/>
                <w:b w:val="1"/>
                <w:bCs w:val="1"/>
                <w:color w:val="auto"/>
              </w:rPr>
              <w:t>PARTICIPANT</w:t>
            </w:r>
          </w:p>
        </w:tc>
      </w:tr>
      <w:tr>
        <w:trPr>
          <w:trHeight w:val="311"/>
        </w:trPr>
        <w:tc>
          <w:tcPr>
            <w:tcW w:w="5480" w:type="dxa"/>
            <w:vAlign w:val="bottom"/>
            <w:gridSpan w:val="2"/>
          </w:tcPr>
          <w:p>
            <w:pPr>
              <w:spacing w:after="0"/>
              <w:rPr>
                <w:sz w:val="20"/>
                <w:szCs w:val="20"/>
                <w:color w:val="auto"/>
              </w:rPr>
            </w:pPr>
            <w:r>
              <w:rPr>
                <w:rFonts w:ascii="Arial" w:cs="Arial" w:eastAsia="Arial" w:hAnsi="Arial"/>
                <w:sz w:val="20"/>
                <w:szCs w:val="20"/>
                <w:color w:val="auto"/>
              </w:rPr>
              <w:t>By:</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36"/>
        </w:trPr>
        <w:tc>
          <w:tcPr>
            <w:tcW w:w="82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r>
      <w:tr>
        <w:trPr>
          <w:trHeight w:val="268"/>
        </w:trPr>
        <w:tc>
          <w:tcPr>
            <w:tcW w:w="5480" w:type="dxa"/>
            <w:vAlign w:val="bottom"/>
            <w:gridSpan w:val="2"/>
          </w:tcPr>
          <w:p>
            <w:pPr>
              <w:spacing w:after="0"/>
              <w:rPr>
                <w:sz w:val="20"/>
                <w:szCs w:val="20"/>
                <w:color w:val="auto"/>
              </w:rPr>
            </w:pPr>
            <w:r>
              <w:rPr>
                <w:rFonts w:ascii="Arial" w:cs="Arial" w:eastAsia="Arial" w:hAnsi="Arial"/>
                <w:sz w:val="20"/>
                <w:szCs w:val="20"/>
                <w:color w:val="auto"/>
              </w:rPr>
              <w:t>Name:</w:t>
            </w:r>
          </w:p>
        </w:tc>
        <w:tc>
          <w:tcPr>
            <w:tcW w:w="24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20"/>
                <w:szCs w:val="20"/>
                <w:color w:val="auto"/>
              </w:rPr>
              <w:t>[Participant Name]</w:t>
            </w:r>
          </w:p>
        </w:tc>
      </w:tr>
      <w:tr>
        <w:trPr>
          <w:trHeight w:val="37"/>
        </w:trPr>
        <w:tc>
          <w:tcPr>
            <w:tcW w:w="82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500" w:type="dxa"/>
            <w:vAlign w:val="bottom"/>
          </w:tcPr>
          <w:p>
            <w:pPr>
              <w:spacing w:after="0"/>
              <w:rPr>
                <w:sz w:val="3"/>
                <w:szCs w:val="3"/>
                <w:color w:val="auto"/>
              </w:rPr>
            </w:pPr>
          </w:p>
        </w:tc>
      </w:tr>
      <w:tr>
        <w:trPr>
          <w:trHeight w:val="254"/>
        </w:trPr>
        <w:tc>
          <w:tcPr>
            <w:tcW w:w="5480" w:type="dxa"/>
            <w:vAlign w:val="bottom"/>
            <w:gridSpan w:val="2"/>
          </w:tcPr>
          <w:p>
            <w:pPr>
              <w:spacing w:after="0"/>
              <w:rPr>
                <w:sz w:val="20"/>
                <w:szCs w:val="20"/>
                <w:color w:val="auto"/>
              </w:rPr>
            </w:pPr>
            <w:r>
              <w:rPr>
                <w:rFonts w:ascii="Arial" w:cs="Arial" w:eastAsia="Arial" w:hAnsi="Arial"/>
                <w:sz w:val="20"/>
                <w:szCs w:val="20"/>
                <w:color w:val="auto"/>
              </w:rPr>
              <w:t>Title:</w:t>
            </w:r>
          </w:p>
        </w:tc>
        <w:tc>
          <w:tcPr>
            <w:tcW w:w="24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37"/>
        </w:trPr>
        <w:tc>
          <w:tcPr>
            <w:tcW w:w="820" w:type="dxa"/>
            <w:vAlign w:val="bottom"/>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500" w:type="dxa"/>
            <w:vAlign w:val="bottom"/>
          </w:tcPr>
          <w:p>
            <w:pPr>
              <w:spacing w:after="0"/>
              <w:rPr>
                <w:sz w:val="3"/>
                <w:szCs w:val="3"/>
                <w:color w:val="auto"/>
              </w:rPr>
            </w:pPr>
          </w:p>
        </w:tc>
      </w:tr>
    </w:tbl>
    <w:p>
      <w:pPr>
        <w:sectPr>
          <w:pgSz w:w="11900" w:h="16838" w:orient="portrait"/>
          <w:cols w:equalWidth="0" w:num="1">
            <w:col w:w="11240"/>
          </w:cols>
          <w:pgMar w:left="320" w:top="1413" w:right="3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Capitalized terms not specifically defined in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have the meanings specified in the Grant Notice or, if not defined in the Grant Notice, in the Plan.</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Award of RSUs.</w:t>
      </w:r>
      <w:r>
        <w:rPr>
          <w:rFonts w:ascii="Arial" w:cs="Arial" w:eastAsia="Arial" w:hAnsi="Arial"/>
          <w:sz w:val="20"/>
          <w:szCs w:val="20"/>
          <w:color w:val="auto"/>
        </w:rPr>
        <w:t xml:space="preserve"> The Company has granted the RSUs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as set forth in this Agreement. Participant will have no right to the distribution of any Shares until the time (if ever) the RSUs have vested.</w:t>
      </w:r>
    </w:p>
    <w:p>
      <w:pPr>
        <w:spacing w:after="0" w:line="186"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xml:space="preserve"> The RSUs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xml:space="preserve"> The RSUs will at all times prior to settlement represent an unsecured Company obligation payable only from the Company’s general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200"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Forfeiture</w:t>
      </w:r>
      <w:r>
        <w:rPr>
          <w:rFonts w:ascii="Arial" w:cs="Arial" w:eastAsia="Arial" w:hAnsi="Arial"/>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6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p>
    <w:p>
      <w:pPr>
        <w:spacing w:after="0" w:line="216" w:lineRule="exact"/>
        <w:rPr>
          <w:sz w:val="20"/>
          <w:szCs w:val="20"/>
          <w:color w:val="auto"/>
        </w:rPr>
      </w:pPr>
    </w:p>
    <w:p>
      <w:pPr>
        <w:ind w:firstLine="1628"/>
        <w:spacing w:after="0" w:line="260" w:lineRule="auto"/>
        <w:tabs>
          <w:tab w:leader="none" w:pos="198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RSUs will be paid in Shares as soon as administratively practicable after the vesting of the applicable RSU, but in no event later than March 15 of the year following the year in which the RSU’s vesting date occurs.</w:t>
      </w:r>
    </w:p>
    <w:p>
      <w:pPr>
        <w:spacing w:after="0" w:line="176" w:lineRule="exact"/>
        <w:rPr>
          <w:rFonts w:ascii="Arial" w:cs="Arial" w:eastAsia="Arial" w:hAnsi="Arial"/>
          <w:sz w:val="20"/>
          <w:szCs w:val="20"/>
          <w:color w:val="auto"/>
        </w:rPr>
      </w:pPr>
    </w:p>
    <w:p>
      <w:pPr>
        <w:jc w:val="both"/>
        <w:ind w:firstLine="1628"/>
        <w:spacing w:after="0" w:line="246" w:lineRule="auto"/>
        <w:tabs>
          <w:tab w:leader="none" w:pos="2094"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TAXATION AND TAX WITHHOLDING</w:t>
      </w:r>
    </w:p>
    <w:p>
      <w:pPr>
        <w:spacing w:after="0" w:line="200"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Participant’s own tax advisors the tax consequences of this award of RSUs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and the transactions contemplated by the Grant Notice and this Agreement. Participant is relying solely on such advisors and not on any statements or representations of the Company or any of its agents.</w:t>
      </w:r>
    </w:p>
    <w:p>
      <w:pPr>
        <w:spacing w:after="0" w:line="15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5" w:right="339" w:bottom="1440" w:gutter="0" w:footer="0" w:header="0"/>
        </w:sectPr>
      </w:pPr>
    </w:p>
    <w:bookmarkStart w:id="130" w:name="page131"/>
    <w:bookmarkEnd w:id="130"/>
    <w:p>
      <w:pPr>
        <w:ind w:firstLine="1628"/>
        <w:spacing w:after="0" w:line="324" w:lineRule="auto"/>
        <w:tabs>
          <w:tab w:leader="none" w:pos="20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Section 3.2(b), payment of the withholding tax obligations with respect to the Award may be by any of the following, or a combination thereof, as determined by [the Company in its sole discretion / Participant or the Administrator]</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2840" w:hanging="321"/>
        <w:spacing w:after="0"/>
        <w:tabs>
          <w:tab w:leader="none" w:pos="28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Cash or check;</w:t>
      </w:r>
    </w:p>
    <w:p>
      <w:pPr>
        <w:spacing w:after="0" w:line="215" w:lineRule="exact"/>
        <w:rPr>
          <w:rFonts w:ascii="Arial" w:cs="Arial" w:eastAsia="Arial" w:hAnsi="Arial"/>
          <w:sz w:val="20"/>
          <w:szCs w:val="20"/>
          <w:color w:val="auto"/>
        </w:rPr>
      </w:pPr>
    </w:p>
    <w:p>
      <w:pPr>
        <w:ind w:firstLine="2519"/>
        <w:spacing w:after="0" w:line="260" w:lineRule="auto"/>
        <w:tabs>
          <w:tab w:leader="none" w:pos="2928" w:val="left"/>
        </w:tabs>
        <w:numPr>
          <w:ilvl w:val="1"/>
          <w:numId w:val="45"/>
        </w:numPr>
        <w:rPr>
          <w:rFonts w:ascii="Arial" w:cs="Arial" w:eastAsia="Arial" w:hAnsi="Arial"/>
          <w:sz w:val="20"/>
          <w:szCs w:val="20"/>
          <w:color w:val="auto"/>
        </w:rPr>
      </w:pPr>
      <w:r>
        <w:rPr>
          <w:rFonts w:ascii="Arial" w:cs="Arial" w:eastAsia="Arial" w:hAnsi="Arial"/>
          <w:sz w:val="20"/>
          <w:szCs w:val="20"/>
          <w:color w:val="auto"/>
        </w:rPr>
        <w:t>In whole or in part by delivery of Shares, including Shares delivered by attestation and Shares retained from the Award creating the tax obligation, valued at their Fair Market Value on the date of delivery; or</w:t>
      </w:r>
    </w:p>
    <w:p>
      <w:pPr>
        <w:spacing w:after="0" w:line="176" w:lineRule="exact"/>
        <w:rPr>
          <w:rFonts w:ascii="Arial" w:cs="Arial" w:eastAsia="Arial" w:hAnsi="Arial"/>
          <w:sz w:val="20"/>
          <w:szCs w:val="20"/>
          <w:color w:val="auto"/>
        </w:rPr>
      </w:pPr>
    </w:p>
    <w:p>
      <w:pPr>
        <w:ind w:firstLine="2519"/>
        <w:spacing w:after="0" w:line="260" w:lineRule="auto"/>
        <w:tabs>
          <w:tab w:leader="none" w:pos="3037" w:val="left"/>
        </w:tabs>
        <w:numPr>
          <w:ilvl w:val="1"/>
          <w:numId w:val="45"/>
        </w:numPr>
        <w:rPr>
          <w:rFonts w:ascii="Arial" w:cs="Arial" w:eastAsia="Arial" w:hAnsi="Arial"/>
          <w:sz w:val="20"/>
          <w:szCs w:val="20"/>
          <w:color w:val="auto"/>
        </w:rPr>
      </w:pPr>
      <w:r>
        <w:rPr>
          <w:rFonts w:ascii="Arial" w:cs="Arial" w:eastAsia="Arial" w:hAnsi="Arial"/>
          <w:sz w:val="20"/>
          <w:szCs w:val="20"/>
          <w:color w:val="auto"/>
        </w:rPr>
        <w:t>In whole or in part by the Company withholding of Shares otherwise vesting or issuable under this Award in satisfaction of any applicable withholding tax obligations.</w:t>
      </w:r>
    </w:p>
    <w:p>
      <w:pPr>
        <w:spacing w:after="0" w:line="176" w:lineRule="exact"/>
        <w:rPr>
          <w:rFonts w:ascii="Arial" w:cs="Arial" w:eastAsia="Arial" w:hAnsi="Arial"/>
          <w:sz w:val="20"/>
          <w:szCs w:val="20"/>
          <w:color w:val="auto"/>
        </w:rPr>
      </w:pPr>
    </w:p>
    <w:p>
      <w:pPr>
        <w:jc w:val="both"/>
        <w:ind w:firstLine="1628"/>
        <w:spacing w:after="0" w:line="259" w:lineRule="auto"/>
        <w:tabs>
          <w:tab w:leader="none" w:pos="2045" w:val="left"/>
        </w:tabs>
        <w:numPr>
          <w:ilvl w:val="0"/>
          <w:numId w:val="45"/>
        </w:numPr>
        <w:rPr>
          <w:rFonts w:ascii="Arial" w:cs="Arial" w:eastAsia="Arial" w:hAnsi="Arial"/>
          <w:sz w:val="19"/>
          <w:szCs w:val="19"/>
          <w:color w:val="auto"/>
        </w:rPr>
      </w:pPr>
      <w:r>
        <w:rPr>
          <w:rFonts w:ascii="Arial" w:cs="Arial" w:eastAsia="Arial" w:hAnsi="Arial"/>
          <w:sz w:val="19"/>
          <w:szCs w:val="19"/>
          <w:color w:val="auto"/>
        </w:rPr>
        <w:t>Unless [the Company / Participant or the Administrator] otherwise determines, and subject to Section 9.10 of the Plan, payment of the withholding tax obligations with respect to the Award shall be by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w:t>
      </w:r>
      <w:r>
        <w:rPr>
          <w:rFonts w:ascii="Arial" w:cs="Arial" w:eastAsia="Arial" w:hAnsi="Arial"/>
          <w:sz w:val="24"/>
          <w:szCs w:val="24"/>
          <w:color w:val="auto"/>
          <w:vertAlign w:val="superscript"/>
        </w:rPr>
        <w:t>2</w:t>
      </w:r>
      <w:r>
        <w:rPr>
          <w:rFonts w:ascii="Arial" w:cs="Arial" w:eastAsia="Arial" w:hAnsi="Arial"/>
          <w:sz w:val="19"/>
          <w:szCs w:val="19"/>
          <w:color w:val="auto"/>
        </w:rPr>
        <w:t>.</w:t>
      </w:r>
    </w:p>
    <w:p>
      <w:pPr>
        <w:spacing w:after="0" w:line="97" w:lineRule="exact"/>
        <w:rPr>
          <w:rFonts w:ascii="Arial" w:cs="Arial" w:eastAsia="Arial" w:hAnsi="Arial"/>
          <w:sz w:val="19"/>
          <w:szCs w:val="19"/>
          <w:color w:val="auto"/>
        </w:rPr>
      </w:pPr>
    </w:p>
    <w:p>
      <w:pPr>
        <w:jc w:val="both"/>
        <w:ind w:firstLine="1628"/>
        <w:spacing w:after="0" w:line="255" w:lineRule="auto"/>
        <w:tabs>
          <w:tab w:leader="none" w:pos="2166" w:val="left"/>
        </w:tabs>
        <w:numPr>
          <w:ilvl w:val="0"/>
          <w:numId w:val="45"/>
        </w:numPr>
        <w:rPr>
          <w:rFonts w:ascii="Arial" w:cs="Arial" w:eastAsia="Arial" w:hAnsi="Arial"/>
          <w:sz w:val="19"/>
          <w:szCs w:val="19"/>
          <w:color w:val="auto"/>
        </w:rPr>
      </w:pPr>
      <w:r>
        <w:rPr>
          <w:rFonts w:ascii="Arial" w:cs="Arial" w:eastAsia="Arial" w:hAnsi="Arial"/>
          <w:sz w:val="19"/>
          <w:szCs w:val="19"/>
          <w:color w:val="auto"/>
        </w:rPr>
        <w:t>Subject to Section 9.5 of the Plan, the applicable tax withholding obligation will be determined based on Participant’s Applicable Withholding Rate. Participant’s “</w:t>
      </w:r>
      <w:r>
        <w:rPr>
          <w:rFonts w:ascii="Arial" w:cs="Arial" w:eastAsia="Arial" w:hAnsi="Arial"/>
          <w:sz w:val="19"/>
          <w:szCs w:val="19"/>
          <w:b w:val="1"/>
          <w:bCs w:val="1"/>
          <w:i w:val="1"/>
          <w:iCs w:val="1"/>
          <w:color w:val="auto"/>
        </w:rPr>
        <w:t>Applicable Withholding Rate</w:t>
      </w:r>
      <w:r>
        <w:rPr>
          <w:rFonts w:ascii="Arial" w:cs="Arial" w:eastAsia="Arial" w:hAnsi="Arial"/>
          <w:sz w:val="19"/>
          <w:szCs w:val="19"/>
          <w:color w:val="auto"/>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86" w:lineRule="exact"/>
        <w:rPr>
          <w:rFonts w:ascii="Arial" w:cs="Arial" w:eastAsia="Arial" w:hAnsi="Arial"/>
          <w:sz w:val="19"/>
          <w:szCs w:val="19"/>
          <w:color w:val="auto"/>
        </w:rPr>
      </w:pPr>
    </w:p>
    <w:p>
      <w:pPr>
        <w:jc w:val="both"/>
        <w:ind w:firstLine="1628"/>
        <w:spacing w:after="0" w:line="282" w:lineRule="auto"/>
        <w:tabs>
          <w:tab w:leader="none" w:pos="2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4" w:lineRule="exact"/>
        <w:rPr>
          <w:sz w:val="20"/>
          <w:szCs w:val="20"/>
          <w:color w:val="auto"/>
        </w:rPr>
      </w:pPr>
    </w:p>
    <w:p>
      <w:pPr>
        <w:ind w:left="120" w:hanging="112"/>
        <w:spacing w:after="0"/>
        <w:tabs>
          <w:tab w:leader="none" w:pos="120" w:val="left"/>
        </w:tabs>
        <w:numPr>
          <w:ilvl w:val="0"/>
          <w:numId w:val="46"/>
        </w:numPr>
        <w:rPr>
          <w:rFonts w:ascii="Arial" w:cs="Arial" w:eastAsia="Arial" w:hAnsi="Arial"/>
          <w:sz w:val="26"/>
          <w:szCs w:val="26"/>
          <w:color w:val="auto"/>
          <w:vertAlign w:val="superscript"/>
        </w:rPr>
      </w:pPr>
      <w:r>
        <w:rPr>
          <w:rFonts w:ascii="Arial" w:cs="Arial" w:eastAsia="Arial" w:hAnsi="Arial"/>
          <w:sz w:val="20"/>
          <w:szCs w:val="20"/>
          <w:color w:val="auto"/>
        </w:rPr>
        <w:t>NTD: “Participant or the Administrator” for Section 16 individuals. “The Company” for non-Section 16 individuals.</w:t>
      </w:r>
    </w:p>
    <w:p>
      <w:pPr>
        <w:spacing w:after="0" w:line="87"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25"/>
          <w:szCs w:val="25"/>
          <w:color w:val="auto"/>
          <w:vertAlign w:val="superscript"/>
        </w:rPr>
        <w:t>2</w:t>
      </w:r>
      <w:r>
        <w:rPr>
          <w:rFonts w:ascii="Arial" w:cs="Arial" w:eastAsia="Arial" w:hAnsi="Arial"/>
          <w:sz w:val="20"/>
          <w:szCs w:val="20"/>
          <w:color w:val="auto"/>
        </w:rPr>
        <w:t xml:space="preserve"> NTD: Use second bracketed language for Section 16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9" w:right="33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Subsidiaries do not commit and are under no obligation to structure the RSUs to reduce or eliminate Participant’s tax liability.</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xml:space="preserve"> Participant acknowledges that the RSUs and the Shares subject to the RSUs are subject to adjustment, modification and termination in certain events as provided in this Agreement and the Plan.</w:t>
      </w:r>
    </w:p>
    <w:p>
      <w:pPr>
        <w:spacing w:after="0" w:line="177" w:lineRule="exact"/>
        <w:rPr>
          <w:sz w:val="20"/>
          <w:szCs w:val="20"/>
          <w:color w:val="auto"/>
        </w:rPr>
      </w:pPr>
    </w:p>
    <w:p>
      <w:pPr>
        <w:jc w:val="both"/>
        <w:ind w:right="20" w:firstLine="972"/>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Clawback.</w:t>
      </w:r>
      <w:r>
        <w:rPr>
          <w:rFonts w:ascii="Arial" w:cs="Arial" w:eastAsia="Arial" w:hAnsi="Arial"/>
          <w:sz w:val="20"/>
          <w:szCs w:val="20"/>
          <w:color w:val="auto"/>
        </w:rPr>
        <w:t xml:space="preserve">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86"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General Counsel at the Company’s principal office or the General Counsel’s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4"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94"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Entire Agreement; Amendment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9" w:right="3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0"/>
          <w:szCs w:val="20"/>
          <w:color w:val="auto"/>
        </w:rPr>
        <w:t>suspended or terminated at any time or from time to time by the Administrator or the Board; provided, however, that except as may otherwise be provided by the Plan, no amendment, modification, suspension or termination of this Agreement shall materially and adversely affect the RSUs without the prior written consent of Participant.</w:t>
      </w:r>
    </w:p>
    <w:p>
      <w:pPr>
        <w:spacing w:after="0" w:line="186"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96"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4"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10.25</w:t>
      </w:r>
    </w:p>
    <w:p>
      <w:pPr>
        <w:spacing w:after="0" w:line="162" w:lineRule="exact"/>
        <w:rPr>
          <w:sz w:val="20"/>
          <w:szCs w:val="20"/>
          <w:color w:val="auto"/>
        </w:rPr>
      </w:pPr>
    </w:p>
    <w:p>
      <w:pPr>
        <w:jc w:val="center"/>
        <w:ind w:left="340" w:right="60"/>
        <w:spacing w:after="0" w:line="263" w:lineRule="auto"/>
        <w:rPr>
          <w:sz w:val="20"/>
          <w:szCs w:val="20"/>
          <w:color w:val="auto"/>
        </w:rPr>
      </w:pPr>
      <w:r>
        <w:rPr>
          <w:rFonts w:ascii="Arial" w:cs="Arial" w:eastAsia="Arial" w:hAnsi="Arial"/>
          <w:sz w:val="18"/>
          <w:szCs w:val="18"/>
          <w:color w:val="auto"/>
        </w:rPr>
        <w:t>CERTAIN CONFIDENTIAL INFORMATION CONTAINED IN THIS DOCUMENT, MARKED BY [***], HAS BEEN OMITTED BECAUSE EXAGEN INC. HAS DETERMINED THE INFORMATION (I) IS NOT MATERIAL AND (II) WOULD LIKELY CAUSE COMPETITIVE HARM TO EXAGEN INC. IF PUBLICLY DISCLOSED.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#3 TO CO-PROMOTION AGREEMENT</w:t>
      </w:r>
    </w:p>
    <w:p>
      <w:pPr>
        <w:spacing w:after="0" w:line="200" w:lineRule="exact"/>
        <w:rPr>
          <w:sz w:val="20"/>
          <w:szCs w:val="20"/>
          <w:color w:val="auto"/>
        </w:rPr>
      </w:pPr>
    </w:p>
    <w:p>
      <w:pPr>
        <w:spacing w:after="0" w:line="27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contemplated in the Co-Promotion Agreement between Exagen and Janssen signed December 10, 2018, please find attached the final Baseline TRxU for October through December (4th Quarter) of 2020, which has been agreed upon by the Janssen and Exagen Teams. This Baseline TRxU include CVS/Anthem data for the zip codes covered by Exagen sale representatives.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below table will replace Section 2.2.2 Adjusted Baseline TRxU figures for Quarter ending December 31st, 2020 on page 2 and Section 2.12 Adjusted Baseline TRxU 4Q20, Maximum Payment and Actual Payout for 4Q20 on page 4 in the Amendment # 2 of Co-Promotion Agreement Contract No. C2020012644 and further amended via notice dated October 29th, 2020 Contract No. C2020023283.</w:t>
      </w:r>
    </w:p>
    <w:p>
      <w:pPr>
        <w:spacing w:after="0" w:line="232" w:lineRule="exact"/>
        <w:rPr>
          <w:sz w:val="20"/>
          <w:szCs w:val="20"/>
          <w:color w:val="auto"/>
        </w:rPr>
      </w:pPr>
    </w:p>
    <w:tbl>
      <w:tblPr>
        <w:tblLayout w:type="fixed"/>
        <w:tblInd w:w="1510" w:type="dxa"/>
        <w:tblCellMar>
          <w:top w:w="0" w:type="dxa"/>
          <w:left w:w="0" w:type="dxa"/>
          <w:bottom w:w="0" w:type="dxa"/>
          <w:right w:w="0" w:type="dxa"/>
        </w:tblCellMar>
      </w:tblPr>
      <w:tr>
        <w:trPr>
          <w:trHeight w:val="257"/>
        </w:trPr>
        <w:tc>
          <w:tcPr>
            <w:tcW w:w="2220" w:type="dxa"/>
            <w:vAlign w:val="bottom"/>
            <w:tcBorders>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Q4 2020</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Baseline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Max Payout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agreed that the following sections of the Agreement are hereby amended as follows effective as the date of this notice: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2.3.4.</w:t>
            </w:r>
          </w:p>
        </w:tc>
        <w:tc>
          <w:tcPr>
            <w:tcW w:w="10260" w:type="dxa"/>
            <w:vAlign w:val="bottom"/>
            <w:gridSpan w:val="3"/>
          </w:tcPr>
          <w:p>
            <w:pPr>
              <w:ind w:left="300"/>
              <w:spacing w:after="0"/>
              <w:rPr>
                <w:sz w:val="20"/>
                <w:szCs w:val="20"/>
                <w:color w:val="auto"/>
              </w:rPr>
            </w:pPr>
            <w:r>
              <w:rPr>
                <w:rFonts w:ascii="Arial" w:cs="Arial" w:eastAsia="Arial" w:hAnsi="Arial"/>
                <w:sz w:val="18"/>
                <w:szCs w:val="18"/>
                <w:color w:val="auto"/>
              </w:rPr>
              <w:t>The terms of the Promotion Fee shall be adjusted for the quarters ending March 31, 2021 and June 30, 2021 as follows:</w:t>
            </w:r>
          </w:p>
        </w:tc>
      </w:tr>
      <w:tr>
        <w:trPr>
          <w:trHeight w:val="432"/>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2.3.4.1</w:t>
            </w: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The Promotion Fee shall be based on a unit value for each quarter over Baseline TRxU, allocated as follows:</w:t>
            </w:r>
          </w:p>
        </w:tc>
      </w:tr>
      <w:tr>
        <w:trPr>
          <w:trHeight w:val="432"/>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80" w:type="dxa"/>
            <w:vAlign w:val="bottom"/>
          </w:tcPr>
          <w:p>
            <w:pPr>
              <w:ind w:left="1460"/>
              <w:spacing w:after="0"/>
              <w:rPr>
                <w:sz w:val="20"/>
                <w:szCs w:val="20"/>
                <w:color w:val="auto"/>
              </w:rPr>
            </w:pPr>
            <w:r>
              <w:rPr>
                <w:rFonts w:ascii="Arial" w:cs="Arial" w:eastAsia="Arial" w:hAnsi="Arial"/>
                <w:sz w:val="18"/>
                <w:szCs w:val="18"/>
                <w:color w:val="auto"/>
              </w:rPr>
              <w:t>For the Quantities</w:t>
            </w:r>
          </w:p>
        </w:tc>
        <w:tc>
          <w:tcPr>
            <w:tcW w:w="5860" w:type="dxa"/>
            <w:vAlign w:val="bottom"/>
          </w:tcPr>
          <w:p>
            <w:pPr>
              <w:ind w:left="500"/>
              <w:spacing w:after="0"/>
              <w:rPr>
                <w:sz w:val="20"/>
                <w:szCs w:val="20"/>
                <w:color w:val="auto"/>
              </w:rPr>
            </w:pPr>
            <w:r>
              <w:rPr>
                <w:rFonts w:ascii="Arial" w:cs="Arial" w:eastAsia="Arial" w:hAnsi="Arial"/>
                <w:sz w:val="18"/>
                <w:szCs w:val="18"/>
                <w:color w:val="auto"/>
              </w:rPr>
              <w:t>Promotion Fee per unit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80" w:type="dxa"/>
            <w:vAlign w:val="bottom"/>
          </w:tcPr>
          <w:p>
            <w:pPr>
              <w:ind w:left="1460"/>
              <w:spacing w:after="0"/>
              <w:rPr>
                <w:sz w:val="20"/>
                <w:szCs w:val="20"/>
                <w:color w:val="auto"/>
              </w:rPr>
            </w:pPr>
            <w:r>
              <w:rPr>
                <w:rFonts w:ascii="Arial" w:cs="Arial" w:eastAsia="Arial" w:hAnsi="Arial"/>
                <w:sz w:val="18"/>
                <w:szCs w:val="18"/>
                <w:color w:val="auto"/>
              </w:rPr>
              <w:t>[***]</w:t>
            </w:r>
          </w:p>
        </w:tc>
        <w:tc>
          <w:tcPr>
            <w:tcW w:w="5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80" w:type="dxa"/>
            <w:vAlign w:val="bottom"/>
          </w:tcPr>
          <w:p>
            <w:pPr>
              <w:ind w:left="1460"/>
              <w:spacing w:after="0"/>
              <w:rPr>
                <w:sz w:val="20"/>
                <w:szCs w:val="20"/>
                <w:color w:val="auto"/>
              </w:rPr>
            </w:pPr>
            <w:r>
              <w:rPr>
                <w:rFonts w:ascii="Arial" w:cs="Arial" w:eastAsia="Arial" w:hAnsi="Arial"/>
                <w:sz w:val="18"/>
                <w:szCs w:val="18"/>
                <w:color w:val="auto"/>
              </w:rPr>
              <w:t>[***]</w:t>
            </w:r>
          </w:p>
        </w:tc>
        <w:tc>
          <w:tcPr>
            <w:tcW w:w="5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80" w:type="dxa"/>
            <w:vAlign w:val="bottom"/>
          </w:tcPr>
          <w:p>
            <w:pPr>
              <w:ind w:left="1460"/>
              <w:spacing w:after="0"/>
              <w:rPr>
                <w:sz w:val="20"/>
                <w:szCs w:val="20"/>
                <w:color w:val="auto"/>
              </w:rPr>
            </w:pPr>
            <w:r>
              <w:rPr>
                <w:rFonts w:ascii="Arial" w:cs="Arial" w:eastAsia="Arial" w:hAnsi="Arial"/>
                <w:sz w:val="18"/>
                <w:szCs w:val="18"/>
                <w:color w:val="auto"/>
              </w:rPr>
              <w:t>[***]</w:t>
            </w:r>
          </w:p>
        </w:tc>
        <w:tc>
          <w:tcPr>
            <w:tcW w:w="5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418"/>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2.3.4.2</w:t>
            </w: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w w:val="97"/>
              </w:rPr>
              <w:t>Unit quantities below Baseline TRxU in a quarter will be counted as zero for purposes of calculating Quantities for</w:t>
            </w: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Promotion Fee per unit.</w:t>
            </w:r>
          </w:p>
        </w:tc>
        <w:tc>
          <w:tcPr>
            <w:tcW w:w="586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2.3.4.3</w:t>
            </w: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w w:val="90"/>
              </w:rPr>
              <w:t>Janssen will pay Exagen a Minimum Promotion Fee of $300,000 for each of the quarters ending March 31, 2021 and June</w:t>
            </w: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30, 2021</w:t>
            </w:r>
          </w:p>
        </w:tc>
        <w:tc>
          <w:tcPr>
            <w:tcW w:w="586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2.3.4.4</w:t>
            </w: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w w:val="92"/>
              </w:rPr>
              <w:t>In addition, the Promotion Fee will be capped at an amount reflecting the payment due in the event that Exagen's TRxU</w:t>
            </w: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140" w:type="dxa"/>
            <w:vAlign w:val="bottom"/>
            <w:gridSpan w:val="2"/>
          </w:tcPr>
          <w:p>
            <w:pPr>
              <w:ind w:left="340"/>
              <w:spacing w:after="0"/>
              <w:rPr>
                <w:sz w:val="20"/>
                <w:szCs w:val="20"/>
                <w:color w:val="auto"/>
              </w:rPr>
            </w:pPr>
            <w:r>
              <w:rPr>
                <w:rFonts w:ascii="Arial" w:cs="Arial" w:eastAsia="Arial" w:hAnsi="Arial"/>
                <w:sz w:val="18"/>
                <w:szCs w:val="18"/>
                <w:color w:val="auto"/>
              </w:rPr>
              <w:t>exceeds 10% above the Baseline TRxU for the quarters ending March 31, 2021 and June 30, 2021.</w:t>
            </w:r>
          </w:p>
        </w:tc>
      </w:tr>
      <w:tr>
        <w:trPr>
          <w:trHeight w:val="432"/>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For example:</w:t>
            </w:r>
          </w:p>
        </w:tc>
        <w:tc>
          <w:tcPr>
            <w:tcW w:w="586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w:t>
            </w:r>
          </w:p>
        </w:tc>
        <w:tc>
          <w:tcPr>
            <w:tcW w:w="5860" w:type="dxa"/>
            <w:vAlign w:val="bottom"/>
          </w:tcPr>
          <w:p>
            <w:pPr>
              <w:spacing w:after="0"/>
              <w:rPr>
                <w:sz w:val="23"/>
                <w:szCs w:val="23"/>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2.3.5</w:t>
            </w:r>
          </w:p>
        </w:tc>
        <w:tc>
          <w:tcPr>
            <w:tcW w:w="10260" w:type="dxa"/>
            <w:vAlign w:val="bottom"/>
            <w:gridSpan w:val="3"/>
          </w:tcPr>
          <w:p>
            <w:pPr>
              <w:ind w:left="300"/>
              <w:spacing w:after="0"/>
              <w:rPr>
                <w:sz w:val="20"/>
                <w:szCs w:val="20"/>
                <w:color w:val="auto"/>
              </w:rPr>
            </w:pPr>
            <w:r>
              <w:rPr>
                <w:rFonts w:ascii="Arial" w:cs="Arial" w:eastAsia="Arial" w:hAnsi="Arial"/>
                <w:sz w:val="18"/>
                <w:szCs w:val="18"/>
                <w:color w:val="auto"/>
                <w:w w:val="95"/>
              </w:rPr>
              <w:t>For the remaining quarters of the Contract Term Extension (July 1, 2021 – December 31, 2021) and any additional Third Term, the</w:t>
            </w:r>
          </w:p>
        </w:tc>
      </w:tr>
      <w:tr>
        <w:trPr>
          <w:trHeight w:val="216"/>
        </w:trPr>
        <w:tc>
          <w:tcPr>
            <w:tcW w:w="700" w:type="dxa"/>
            <w:vAlign w:val="bottom"/>
          </w:tcPr>
          <w:p>
            <w:pPr>
              <w:spacing w:after="0"/>
              <w:rPr>
                <w:sz w:val="18"/>
                <w:szCs w:val="18"/>
                <w:color w:val="auto"/>
              </w:rPr>
            </w:pPr>
          </w:p>
        </w:tc>
        <w:tc>
          <w:tcPr>
            <w:tcW w:w="10260" w:type="dxa"/>
            <w:vAlign w:val="bottom"/>
            <w:gridSpan w:val="3"/>
          </w:tcPr>
          <w:p>
            <w:pPr>
              <w:ind w:left="300"/>
              <w:spacing w:after="0"/>
              <w:rPr>
                <w:sz w:val="20"/>
                <w:szCs w:val="20"/>
                <w:color w:val="auto"/>
              </w:rPr>
            </w:pPr>
            <w:r>
              <w:rPr>
                <w:rFonts w:ascii="Arial" w:cs="Arial" w:eastAsia="Arial" w:hAnsi="Arial"/>
                <w:sz w:val="18"/>
                <w:szCs w:val="18"/>
                <w:color w:val="auto"/>
                <w:w w:val="91"/>
              </w:rPr>
              <w:t>Promotion Fee payment terms shall revert to the terms set forth in the Co-Promotion Agreement, with no Minimum Promotion Fee and no</w:t>
            </w:r>
          </w:p>
        </w:tc>
      </w:tr>
      <w:tr>
        <w:trPr>
          <w:trHeight w:val="230"/>
        </w:trPr>
        <w:tc>
          <w:tcPr>
            <w:tcW w:w="7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Cap (Section 2.3.3).</w:t>
            </w:r>
          </w:p>
        </w:tc>
        <w:tc>
          <w:tcPr>
            <w:tcW w:w="5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515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63" w:lineRule="exact"/>
        <w:rPr>
          <w:sz w:val="20"/>
          <w:szCs w:val="20"/>
          <w:color w:val="auto"/>
        </w:rPr>
      </w:pPr>
    </w:p>
    <w:p>
      <w:pPr>
        <w:ind w:left="580" w:hanging="554"/>
        <w:spacing w:after="0"/>
        <w:tabs>
          <w:tab w:leader="none" w:pos="5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1240"/>
          </w:cols>
          <w:pgMar w:left="320" w:top="1228"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In accordance with Amendment #2 dated June 18th, 2020 to the Agreement, please find the Second Term Baseline TRxU for the First Half of 2021:</w:t>
      </w:r>
    </w:p>
    <w:p>
      <w:pPr>
        <w:spacing w:after="0" w:line="296" w:lineRule="exact"/>
        <w:rPr>
          <w:sz w:val="20"/>
          <w:szCs w:val="20"/>
          <w:color w:val="auto"/>
        </w:rPr>
      </w:pPr>
    </w:p>
    <w:tbl>
      <w:tblPr>
        <w:tblLayout w:type="fixed"/>
        <w:tblInd w:w="1490" w:type="dxa"/>
        <w:tblCellMar>
          <w:top w:w="0" w:type="dxa"/>
          <w:left w:w="0" w:type="dxa"/>
          <w:bottom w:w="0" w:type="dxa"/>
          <w:right w:w="0" w:type="dxa"/>
        </w:tblCellMar>
      </w:tblPr>
      <w:tr>
        <w:trPr>
          <w:trHeight w:val="257"/>
        </w:trPr>
        <w:tc>
          <w:tcPr>
            <w:tcW w:w="3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Quarter ending</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Baseline TRxU</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March 31, 2021</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June 30, 2021</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by signing the space provided below and returning to Janssen.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JANSSEN BIOTECH, INC.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Howard Reid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Howard Reid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Director of Marketing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 23,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the date set forth above: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Mark Hazeltine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Mark Hazeltine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General Manager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6515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0660"/>
          </w:cols>
          <w:pgMar w:left="320" w:top="1016" w:right="91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10.34</w:t>
      </w:r>
    </w:p>
    <w:p>
      <w:pPr>
        <w:spacing w:after="0" w:line="58"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FIRST AMENDMENT OF LEASE</w:t>
      </w:r>
    </w:p>
    <w:p>
      <w:pPr>
        <w:spacing w:after="0" w:line="297" w:lineRule="exact"/>
        <w:rPr>
          <w:sz w:val="20"/>
          <w:szCs w:val="20"/>
          <w:color w:val="auto"/>
        </w:rPr>
      </w:pPr>
    </w:p>
    <w:p>
      <w:pPr>
        <w:ind w:right="660"/>
        <w:spacing w:after="0" w:line="249" w:lineRule="auto"/>
        <w:rPr>
          <w:sz w:val="20"/>
          <w:szCs w:val="20"/>
          <w:color w:val="auto"/>
        </w:rPr>
      </w:pPr>
      <w:r>
        <w:rPr>
          <w:rFonts w:ascii="Arial" w:cs="Arial" w:eastAsia="Arial" w:hAnsi="Arial"/>
          <w:sz w:val="14"/>
          <w:szCs w:val="14"/>
          <w:color w:val="5B5B5B"/>
        </w:rPr>
        <w:t>This First Amendment of Lease is made on December 30, 2020, between Liberty Vista, a California limited partnership, ("Lessor"), whose address is 1000 Pioneer Way, El Cajon, CA 92020, and Exagen Diagnostics, Inc., ("Lessee"), with reference to 1221 Liberty Way, San Diego, CA 92083 who agree as follows:</w:t>
      </w:r>
    </w:p>
    <w:p>
      <w:pPr>
        <w:spacing w:after="0" w:line="200" w:lineRule="exact"/>
        <w:rPr>
          <w:sz w:val="20"/>
          <w:szCs w:val="20"/>
          <w:color w:val="auto"/>
        </w:rPr>
      </w:pPr>
    </w:p>
    <w:p>
      <w:pPr>
        <w:spacing w:after="0" w:line="226" w:lineRule="exact"/>
        <w:rPr>
          <w:sz w:val="20"/>
          <w:szCs w:val="20"/>
          <w:color w:val="auto"/>
        </w:rPr>
      </w:pPr>
    </w:p>
    <w:p>
      <w:pPr>
        <w:ind w:left="660" w:hanging="321"/>
        <w:spacing w:after="0"/>
        <w:tabs>
          <w:tab w:leader="none" w:pos="660" w:val="left"/>
        </w:tabs>
        <w:numPr>
          <w:ilvl w:val="0"/>
          <w:numId w:val="49"/>
        </w:numPr>
        <w:rPr>
          <w:rFonts w:ascii="Arial" w:cs="Arial" w:eastAsia="Arial" w:hAnsi="Arial"/>
          <w:sz w:val="14"/>
          <w:szCs w:val="14"/>
          <w:color w:val="5B5B5B"/>
        </w:rPr>
      </w:pPr>
      <w:r>
        <w:rPr>
          <w:rFonts w:ascii="Arial" w:cs="Arial" w:eastAsia="Arial" w:hAnsi="Arial"/>
          <w:sz w:val="14"/>
          <w:szCs w:val="14"/>
          <w:b w:val="1"/>
          <w:bCs w:val="1"/>
          <w:u w:val="single" w:color="auto"/>
          <w:color w:val="auto"/>
        </w:rPr>
        <w:t>Recitals.</w:t>
      </w:r>
      <w:r>
        <w:rPr>
          <w:rFonts w:ascii="Arial" w:cs="Arial" w:eastAsia="Arial" w:hAnsi="Arial"/>
          <w:sz w:val="14"/>
          <w:szCs w:val="14"/>
          <w:b w:val="1"/>
          <w:bCs w:val="1"/>
          <w:color w:val="auto"/>
        </w:rPr>
        <w:t xml:space="preserve"> </w:t>
      </w:r>
      <w:r>
        <w:rPr>
          <w:rFonts w:ascii="Arial" w:cs="Arial" w:eastAsia="Arial" w:hAnsi="Arial"/>
          <w:sz w:val="14"/>
          <w:szCs w:val="14"/>
          <w:color w:val="4B4B4B"/>
        </w:rPr>
        <w:t>Th</w:t>
      </w:r>
      <w:r>
        <w:rPr>
          <w:rFonts w:ascii="Arial" w:cs="Arial" w:eastAsia="Arial" w:hAnsi="Arial"/>
          <w:sz w:val="14"/>
          <w:szCs w:val="14"/>
          <w:color w:val="757575"/>
        </w:rPr>
        <w:t>i</w:t>
      </w:r>
      <w:r>
        <w:rPr>
          <w:rFonts w:ascii="Arial" w:cs="Arial" w:eastAsia="Arial" w:hAnsi="Arial"/>
          <w:sz w:val="14"/>
          <w:szCs w:val="14"/>
          <w:color w:val="5B5B5B"/>
        </w:rPr>
        <w:t>s First Amendment of Lease is made with reference to the following facts and objectives:</w:t>
      </w:r>
    </w:p>
    <w:p>
      <w:pPr>
        <w:spacing w:after="0" w:line="235" w:lineRule="exact"/>
        <w:rPr>
          <w:rFonts w:ascii="Arial" w:cs="Arial" w:eastAsia="Arial" w:hAnsi="Arial"/>
          <w:sz w:val="14"/>
          <w:szCs w:val="14"/>
          <w:color w:val="5B5B5B"/>
        </w:rPr>
      </w:pPr>
    </w:p>
    <w:p>
      <w:pPr>
        <w:jc w:val="both"/>
        <w:ind w:left="1320" w:right="120" w:hanging="333"/>
        <w:spacing w:after="0" w:line="249" w:lineRule="auto"/>
        <w:tabs>
          <w:tab w:leader="none" w:pos="1318" w:val="left"/>
        </w:tabs>
        <w:numPr>
          <w:ilvl w:val="1"/>
          <w:numId w:val="49"/>
        </w:numPr>
        <w:rPr>
          <w:rFonts w:ascii="Arial" w:cs="Arial" w:eastAsia="Arial" w:hAnsi="Arial"/>
          <w:sz w:val="14"/>
          <w:szCs w:val="14"/>
          <w:color w:val="5B5B5B"/>
        </w:rPr>
      </w:pPr>
      <w:r>
        <w:rPr>
          <w:rFonts w:ascii="Arial" w:cs="Arial" w:eastAsia="Arial" w:hAnsi="Arial"/>
          <w:sz w:val="14"/>
          <w:szCs w:val="14"/>
          <w:color w:val="4B4B4B"/>
        </w:rPr>
        <w:t>Lessor and Lessee entered into a written Lease dated August 15, 2014, as extended February 1, 2018, and as extended February 25, 2020 ("the Lease") in which Lessor leased to Lessee, and Lessee leased from Lessor, premises located in the City of Vista, County of San Diego, California, commonly known as 1221 Liberty Way, Vista, CA 92083, consisting of approximately 19,504 square feet ("Premises")</w:t>
      </w:r>
      <w:r>
        <w:rPr>
          <w:rFonts w:ascii="Arial" w:cs="Arial" w:eastAsia="Arial" w:hAnsi="Arial"/>
          <w:sz w:val="14"/>
          <w:szCs w:val="14"/>
          <w:color w:val="5B5B5B"/>
        </w:rPr>
        <w:t>.</w:t>
      </w:r>
    </w:p>
    <w:p>
      <w:pPr>
        <w:spacing w:after="0" w:line="200" w:lineRule="exact"/>
        <w:rPr>
          <w:rFonts w:ascii="Arial" w:cs="Arial" w:eastAsia="Arial" w:hAnsi="Arial"/>
          <w:sz w:val="14"/>
          <w:szCs w:val="14"/>
          <w:color w:val="5B5B5B"/>
        </w:rPr>
      </w:pPr>
    </w:p>
    <w:p>
      <w:pPr>
        <w:ind w:left="1300" w:hanging="313"/>
        <w:spacing w:after="0"/>
        <w:tabs>
          <w:tab w:leader="none" w:pos="1300" w:val="left"/>
        </w:tabs>
        <w:numPr>
          <w:ilvl w:val="1"/>
          <w:numId w:val="49"/>
        </w:numPr>
        <w:rPr>
          <w:rFonts w:ascii="Arial" w:cs="Arial" w:eastAsia="Arial" w:hAnsi="Arial"/>
          <w:sz w:val="14"/>
          <w:szCs w:val="14"/>
          <w:color w:val="5B5B5B"/>
        </w:rPr>
      </w:pPr>
      <w:r>
        <w:rPr>
          <w:rFonts w:ascii="Arial" w:cs="Arial" w:eastAsia="Arial" w:hAnsi="Arial"/>
          <w:sz w:val="14"/>
          <w:szCs w:val="14"/>
          <w:color w:val="4B4B4B"/>
        </w:rPr>
        <w:t>The term of the Lease expir</w:t>
      </w:r>
      <w:r>
        <w:rPr>
          <w:rFonts w:ascii="Arial" w:cs="Arial" w:eastAsia="Arial" w:hAnsi="Arial"/>
          <w:sz w:val="14"/>
          <w:szCs w:val="14"/>
          <w:color w:val="2F2F2F"/>
        </w:rPr>
        <w:t>e</w:t>
      </w:r>
      <w:r>
        <w:rPr>
          <w:rFonts w:ascii="Arial" w:cs="Arial" w:eastAsia="Arial" w:hAnsi="Arial"/>
          <w:sz w:val="14"/>
          <w:szCs w:val="14"/>
          <w:color w:val="4B4B4B"/>
        </w:rPr>
        <w:t xml:space="preserve">s </w:t>
      </w:r>
      <w:r>
        <w:rPr>
          <w:rFonts w:ascii="Arial" w:cs="Arial" w:eastAsia="Arial" w:hAnsi="Arial"/>
          <w:sz w:val="14"/>
          <w:szCs w:val="14"/>
          <w:color w:val="5B5B5B"/>
        </w:rPr>
        <w:t>o</w:t>
      </w:r>
      <w:r>
        <w:rPr>
          <w:rFonts w:ascii="Arial" w:cs="Arial" w:eastAsia="Arial" w:hAnsi="Arial"/>
          <w:sz w:val="14"/>
          <w:szCs w:val="14"/>
          <w:color w:val="4B4B4B"/>
        </w:rPr>
        <w:t xml:space="preserve">n January </w:t>
      </w:r>
      <w:r>
        <w:rPr>
          <w:rFonts w:ascii="Arial" w:cs="Arial" w:eastAsia="Arial" w:hAnsi="Arial"/>
          <w:sz w:val="14"/>
          <w:szCs w:val="14"/>
          <w:color w:val="5B5B5B"/>
        </w:rPr>
        <w:t>3</w:t>
      </w:r>
      <w:r>
        <w:rPr>
          <w:rFonts w:ascii="Arial" w:cs="Arial" w:eastAsia="Arial" w:hAnsi="Arial"/>
          <w:sz w:val="14"/>
          <w:szCs w:val="14"/>
          <w:color w:val="4B4B4B"/>
        </w:rPr>
        <w:t>1</w:t>
      </w:r>
      <w:r>
        <w:rPr>
          <w:rFonts w:ascii="Arial" w:cs="Arial" w:eastAsia="Arial" w:hAnsi="Arial"/>
          <w:sz w:val="14"/>
          <w:szCs w:val="14"/>
          <w:color w:val="757575"/>
        </w:rPr>
        <w:t>,</w:t>
      </w:r>
      <w:r>
        <w:rPr>
          <w:rFonts w:ascii="Arial" w:cs="Arial" w:eastAsia="Arial" w:hAnsi="Arial"/>
          <w:sz w:val="14"/>
          <w:szCs w:val="14"/>
          <w:color w:val="4B4B4B"/>
        </w:rPr>
        <w:t xml:space="preserve"> 2026</w:t>
      </w:r>
      <w:r>
        <w:rPr>
          <w:rFonts w:ascii="Arial" w:cs="Arial" w:eastAsia="Arial" w:hAnsi="Arial"/>
          <w:sz w:val="14"/>
          <w:szCs w:val="14"/>
          <w:color w:val="5B5B5B"/>
        </w:rPr>
        <w:t>.</w:t>
      </w:r>
    </w:p>
    <w:p>
      <w:pPr>
        <w:spacing w:after="0" w:line="217" w:lineRule="exact"/>
        <w:rPr>
          <w:rFonts w:ascii="Arial" w:cs="Arial" w:eastAsia="Arial" w:hAnsi="Arial"/>
          <w:sz w:val="14"/>
          <w:szCs w:val="14"/>
          <w:color w:val="5B5B5B"/>
        </w:rPr>
      </w:pPr>
    </w:p>
    <w:p>
      <w:pPr>
        <w:ind w:left="1300" w:hanging="313"/>
        <w:spacing w:after="0"/>
        <w:tabs>
          <w:tab w:leader="none" w:pos="1300" w:val="left"/>
        </w:tabs>
        <w:numPr>
          <w:ilvl w:val="1"/>
          <w:numId w:val="49"/>
        </w:numPr>
        <w:rPr>
          <w:rFonts w:ascii="Arial" w:cs="Arial" w:eastAsia="Arial" w:hAnsi="Arial"/>
          <w:sz w:val="14"/>
          <w:szCs w:val="14"/>
          <w:color w:val="5B5B5B"/>
        </w:rPr>
      </w:pPr>
      <w:r>
        <w:rPr>
          <w:rFonts w:ascii="Arial" w:cs="Arial" w:eastAsia="Arial" w:hAnsi="Arial"/>
          <w:sz w:val="14"/>
          <w:szCs w:val="14"/>
          <w:color w:val="5B5B5B"/>
        </w:rPr>
        <w:t>Th</w:t>
      </w:r>
      <w:r>
        <w:rPr>
          <w:rFonts w:ascii="Arial" w:cs="Arial" w:eastAsia="Arial" w:hAnsi="Arial"/>
          <w:sz w:val="14"/>
          <w:szCs w:val="14"/>
          <w:color w:val="4B4B4B"/>
        </w:rPr>
        <w:t>e part</w:t>
      </w:r>
      <w:r>
        <w:rPr>
          <w:rFonts w:ascii="Arial" w:cs="Arial" w:eastAsia="Arial" w:hAnsi="Arial"/>
          <w:sz w:val="14"/>
          <w:szCs w:val="14"/>
          <w:color w:val="5B5B5B"/>
        </w:rPr>
        <w:t>i</w:t>
      </w:r>
      <w:r>
        <w:rPr>
          <w:rFonts w:ascii="Arial" w:cs="Arial" w:eastAsia="Arial" w:hAnsi="Arial"/>
          <w:sz w:val="14"/>
          <w:szCs w:val="14"/>
          <w:color w:val="4B4B4B"/>
        </w:rPr>
        <w:t>e</w:t>
      </w:r>
      <w:r>
        <w:rPr>
          <w:rFonts w:ascii="Arial" w:cs="Arial" w:eastAsia="Arial" w:hAnsi="Arial"/>
          <w:sz w:val="14"/>
          <w:szCs w:val="14"/>
          <w:color w:val="5B5B5B"/>
        </w:rPr>
        <w:t xml:space="preserve">s </w:t>
      </w:r>
      <w:r>
        <w:rPr>
          <w:rFonts w:ascii="Arial" w:cs="Arial" w:eastAsia="Arial" w:hAnsi="Arial"/>
          <w:sz w:val="14"/>
          <w:szCs w:val="14"/>
          <w:color w:val="4B4B4B"/>
        </w:rPr>
        <w:t>desire t</w:t>
      </w:r>
      <w:r>
        <w:rPr>
          <w:rFonts w:ascii="Arial" w:cs="Arial" w:eastAsia="Arial" w:hAnsi="Arial"/>
          <w:sz w:val="14"/>
          <w:szCs w:val="14"/>
          <w:color w:val="5B5B5B"/>
        </w:rPr>
        <w:t>o amend the Base Rent Schedule to include amortization of the additional tenant improvement allowance</w:t>
      </w:r>
      <w:r>
        <w:rPr>
          <w:rFonts w:ascii="Arial" w:cs="Arial" w:eastAsia="Arial" w:hAnsi="Arial"/>
          <w:sz w:val="14"/>
          <w:szCs w:val="14"/>
          <w:color w:val="757575"/>
        </w:rPr>
        <w:t>.</w:t>
      </w:r>
    </w:p>
    <w:p>
      <w:pPr>
        <w:spacing w:after="0" w:line="199" w:lineRule="exact"/>
        <w:rPr>
          <w:rFonts w:ascii="Arial" w:cs="Arial" w:eastAsia="Arial" w:hAnsi="Arial"/>
          <w:sz w:val="14"/>
          <w:szCs w:val="14"/>
          <w:color w:val="5B5B5B"/>
        </w:rPr>
      </w:pPr>
    </w:p>
    <w:p>
      <w:pPr>
        <w:ind w:left="660" w:right="100" w:hanging="321"/>
        <w:spacing w:after="0" w:line="263" w:lineRule="auto"/>
        <w:tabs>
          <w:tab w:leader="none" w:pos="658" w:val="left"/>
        </w:tabs>
        <w:numPr>
          <w:ilvl w:val="0"/>
          <w:numId w:val="49"/>
        </w:numPr>
        <w:rPr>
          <w:rFonts w:ascii="Arial" w:cs="Arial" w:eastAsia="Arial" w:hAnsi="Arial"/>
          <w:sz w:val="14"/>
          <w:szCs w:val="14"/>
          <w:color w:val="757575"/>
        </w:rPr>
      </w:pPr>
      <w:r>
        <w:rPr>
          <w:rFonts w:ascii="Arial" w:cs="Arial" w:eastAsia="Arial" w:hAnsi="Arial"/>
          <w:sz w:val="14"/>
          <w:szCs w:val="14"/>
          <w:b w:val="1"/>
          <w:bCs w:val="1"/>
          <w:u w:val="single" w:color="auto"/>
          <w:color w:val="2F2F2F"/>
        </w:rPr>
        <w:t>Tenant Improvement Allowance</w:t>
      </w:r>
      <w:r>
        <w:rPr>
          <w:rFonts w:ascii="Arial" w:cs="Arial" w:eastAsia="Arial" w:hAnsi="Arial"/>
          <w:sz w:val="14"/>
          <w:szCs w:val="14"/>
          <w:b w:val="1"/>
          <w:bCs w:val="1"/>
          <w:u w:val="single" w:color="auto"/>
          <w:color w:val="4B4B4B"/>
        </w:rPr>
        <w:t>.</w:t>
      </w:r>
      <w:r>
        <w:rPr>
          <w:rFonts w:ascii="Arial" w:cs="Arial" w:eastAsia="Arial" w:hAnsi="Arial"/>
          <w:sz w:val="14"/>
          <w:szCs w:val="14"/>
          <w:b w:val="1"/>
          <w:bCs w:val="1"/>
          <w:color w:val="2F2F2F"/>
        </w:rPr>
        <w:t xml:space="preserve"> </w:t>
      </w:r>
      <w:r>
        <w:rPr>
          <w:rFonts w:ascii="Arial" w:cs="Arial" w:eastAsia="Arial" w:hAnsi="Arial"/>
          <w:sz w:val="14"/>
          <w:szCs w:val="14"/>
          <w:color w:val="4B4B4B"/>
        </w:rPr>
        <w:t>Lessee used its "Additional Allowance" of Fifty Thousand Dollars ($50,000.00) and was reimbursed for the same by</w:t>
      </w:r>
      <w:r>
        <w:rPr>
          <w:rFonts w:ascii="Arial" w:cs="Arial" w:eastAsia="Arial" w:hAnsi="Arial"/>
          <w:sz w:val="14"/>
          <w:szCs w:val="14"/>
          <w:b w:val="1"/>
          <w:bCs w:val="1"/>
          <w:color w:val="2F2F2F"/>
        </w:rPr>
        <w:t xml:space="preserve"> </w:t>
      </w:r>
      <w:r>
        <w:rPr>
          <w:rFonts w:ascii="Arial" w:cs="Arial" w:eastAsia="Arial" w:hAnsi="Arial"/>
          <w:sz w:val="14"/>
          <w:szCs w:val="14"/>
          <w:color w:val="4B4B4B"/>
        </w:rPr>
        <w:t>Lessor. Pursuant the terms of the Lease the $50,000 additional allowance shall be amortized at 7% annual interest over the remaining term and paid monthly by Lessee as additional Base Rent (as shown in the Base Monthly Rent Schedule below)</w:t>
      </w:r>
      <w:r>
        <w:rPr>
          <w:rFonts w:ascii="Arial" w:cs="Arial" w:eastAsia="Arial" w:hAnsi="Arial"/>
          <w:sz w:val="14"/>
          <w:szCs w:val="14"/>
          <w:color w:val="878787"/>
        </w:rPr>
        <w:t>.</w:t>
      </w:r>
    </w:p>
    <w:p>
      <w:pPr>
        <w:spacing w:after="0" w:line="172" w:lineRule="exact"/>
        <w:rPr>
          <w:rFonts w:ascii="Arial" w:cs="Arial" w:eastAsia="Arial" w:hAnsi="Arial"/>
          <w:sz w:val="14"/>
          <w:szCs w:val="14"/>
          <w:color w:val="757575"/>
        </w:rPr>
      </w:pPr>
    </w:p>
    <w:p>
      <w:pPr>
        <w:ind w:left="660" w:hanging="321"/>
        <w:spacing w:after="0"/>
        <w:tabs>
          <w:tab w:leader="none" w:pos="660" w:val="left"/>
        </w:tabs>
        <w:numPr>
          <w:ilvl w:val="0"/>
          <w:numId w:val="49"/>
        </w:numPr>
        <w:rPr>
          <w:rFonts w:ascii="Arial" w:cs="Arial" w:eastAsia="Arial" w:hAnsi="Arial"/>
          <w:sz w:val="14"/>
          <w:szCs w:val="14"/>
          <w:color w:val="878787"/>
        </w:rPr>
      </w:pPr>
      <w:r>
        <w:rPr>
          <w:rFonts w:ascii="Arial" w:cs="Arial" w:eastAsia="Arial" w:hAnsi="Arial"/>
          <w:sz w:val="14"/>
          <w:szCs w:val="14"/>
          <w:b w:val="1"/>
          <w:bCs w:val="1"/>
          <w:u w:val="single" w:color="auto"/>
          <w:color w:val="2F2F2F"/>
        </w:rPr>
        <w:t>Ba</w:t>
      </w:r>
      <w:r>
        <w:rPr>
          <w:rFonts w:ascii="Arial" w:cs="Arial" w:eastAsia="Arial" w:hAnsi="Arial"/>
          <w:sz w:val="14"/>
          <w:szCs w:val="14"/>
          <w:b w:val="1"/>
          <w:bCs w:val="1"/>
          <w:u w:val="single" w:color="auto"/>
          <w:color w:val="4B4B4B"/>
        </w:rPr>
        <w:t>s</w:t>
      </w:r>
      <w:r>
        <w:rPr>
          <w:rFonts w:ascii="Arial" w:cs="Arial" w:eastAsia="Arial" w:hAnsi="Arial"/>
          <w:sz w:val="14"/>
          <w:szCs w:val="14"/>
          <w:b w:val="1"/>
          <w:bCs w:val="1"/>
          <w:u w:val="single" w:color="auto"/>
          <w:color w:val="2F2F2F"/>
        </w:rPr>
        <w:t>e Monthly Rent Schedule.</w:t>
      </w:r>
    </w:p>
    <w:p>
      <w:pPr>
        <w:spacing w:after="0" w:line="237" w:lineRule="exact"/>
        <w:rPr>
          <w:sz w:val="20"/>
          <w:szCs w:val="20"/>
          <w:color w:val="auto"/>
        </w:rPr>
      </w:pPr>
    </w:p>
    <w:tbl>
      <w:tblPr>
        <w:tblLayout w:type="fixed"/>
        <w:tblInd w:w="2170" w:type="dxa"/>
        <w:tblCellMar>
          <w:top w:w="0" w:type="dxa"/>
          <w:left w:w="0" w:type="dxa"/>
          <w:bottom w:w="0" w:type="dxa"/>
          <w:right w:w="0" w:type="dxa"/>
        </w:tblCellMar>
      </w:tblPr>
      <w:tr>
        <w:trPr>
          <w:trHeight w:val="162"/>
        </w:trPr>
        <w:tc>
          <w:tcPr>
            <w:tcW w:w="2840" w:type="dxa"/>
            <w:vAlign w:val="bottom"/>
            <w:tcBorders>
              <w:top w:val="single" w:sz="8" w:color="auto"/>
              <w:left w:val="single" w:sz="8" w:color="auto"/>
              <w:right w:val="single" w:sz="8" w:color="auto"/>
            </w:tcBorders>
            <w:vMerge w:val="restart"/>
          </w:tcPr>
          <w:p>
            <w:pPr>
              <w:ind w:left="1240"/>
              <w:spacing w:after="0"/>
              <w:rPr>
                <w:sz w:val="20"/>
                <w:szCs w:val="20"/>
                <w:color w:val="auto"/>
              </w:rPr>
            </w:pPr>
            <w:r>
              <w:rPr>
                <w:rFonts w:ascii="Arial" w:cs="Arial" w:eastAsia="Arial" w:hAnsi="Arial"/>
                <w:sz w:val="14"/>
                <w:szCs w:val="14"/>
                <w:b w:val="1"/>
                <w:bCs w:val="1"/>
                <w:color w:val="auto"/>
              </w:rPr>
              <w:t>Term</w:t>
            </w: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Base Rent</w:t>
            </w: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Additional Base Rent</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right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Total Base Rent</w:t>
            </w:r>
          </w:p>
        </w:tc>
        <w:tc>
          <w:tcPr>
            <w:tcW w:w="0" w:type="dxa"/>
            <w:vAlign w:val="bottom"/>
          </w:tcPr>
          <w:p>
            <w:pPr>
              <w:spacing w:after="0"/>
              <w:rPr>
                <w:sz w:val="1"/>
                <w:szCs w:val="1"/>
                <w:color w:val="auto"/>
              </w:rPr>
            </w:pPr>
          </w:p>
        </w:tc>
      </w:tr>
      <w:tr>
        <w:trPr>
          <w:trHeight w:val="175"/>
        </w:trPr>
        <w:tc>
          <w:tcPr>
            <w:tcW w:w="28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i w:val="1"/>
                <w:iCs w:val="1"/>
                <w:color w:val="auto"/>
              </w:rPr>
              <w:t>(Amortized TIA)</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February 1, 2021 through January 31,</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19,000.00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990.00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19,990.00</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February 1, 2022 through January 31,</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19,600.00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990.00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20,590.00</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February 1, 2023 through January 31,</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20,200.00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990.00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21,190.00</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February 1, 2024 through January 31,</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20,800.00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990.00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21,790.00</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February 1, 2025 through January 31,</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21,400.00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990.00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22,390.00</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2026</w:t>
            </w:r>
          </w:p>
        </w:tc>
        <w:tc>
          <w:tcPr>
            <w:tcW w:w="1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60" w:right="120" w:hanging="321"/>
        <w:spacing w:after="0" w:line="285" w:lineRule="auto"/>
        <w:tabs>
          <w:tab w:leader="none" w:pos="658" w:val="left"/>
        </w:tabs>
        <w:numPr>
          <w:ilvl w:val="0"/>
          <w:numId w:val="50"/>
        </w:numPr>
        <w:rPr>
          <w:rFonts w:ascii="Arial" w:cs="Arial" w:eastAsia="Arial" w:hAnsi="Arial"/>
          <w:sz w:val="14"/>
          <w:szCs w:val="14"/>
          <w:color w:val="757575"/>
        </w:rPr>
      </w:pPr>
      <w:r>
        <w:rPr>
          <w:rFonts w:ascii="Arial" w:cs="Arial" w:eastAsia="Arial" w:hAnsi="Arial"/>
          <w:sz w:val="14"/>
          <w:szCs w:val="14"/>
          <w:b w:val="1"/>
          <w:bCs w:val="1"/>
          <w:u w:val="single" w:color="auto"/>
          <w:color w:val="2F2F2F"/>
        </w:rPr>
        <w:t>Effectiveness of Lease.</w:t>
      </w:r>
      <w:r>
        <w:rPr>
          <w:rFonts w:ascii="Arial" w:cs="Arial" w:eastAsia="Arial" w:hAnsi="Arial"/>
          <w:sz w:val="14"/>
          <w:szCs w:val="14"/>
          <w:b w:val="1"/>
          <w:bCs w:val="1"/>
          <w:color w:val="2F2F2F"/>
        </w:rPr>
        <w:t xml:space="preserve"> </w:t>
      </w:r>
      <w:r>
        <w:rPr>
          <w:rFonts w:ascii="Arial" w:cs="Arial" w:eastAsia="Arial" w:hAnsi="Arial"/>
          <w:sz w:val="14"/>
          <w:szCs w:val="14"/>
          <w:color w:val="4B4B4B"/>
        </w:rPr>
        <w:t>Except as set forth in this First Amendment of Lease, all the provisions of the Lease shall remain unchanged and in full force</w:t>
      </w:r>
      <w:r>
        <w:rPr>
          <w:rFonts w:ascii="Arial" w:cs="Arial" w:eastAsia="Arial" w:hAnsi="Arial"/>
          <w:sz w:val="14"/>
          <w:szCs w:val="14"/>
          <w:b w:val="1"/>
          <w:bCs w:val="1"/>
          <w:color w:val="2F2F2F"/>
        </w:rPr>
        <w:t xml:space="preserve"> </w:t>
      </w:r>
      <w:r>
        <w:rPr>
          <w:rFonts w:ascii="Arial" w:cs="Arial" w:eastAsia="Arial" w:hAnsi="Arial"/>
          <w:sz w:val="14"/>
          <w:szCs w:val="14"/>
          <w:color w:val="4B4B4B"/>
        </w:rPr>
        <w:t>and effect</w:t>
      </w:r>
      <w:r>
        <w:rPr>
          <w:rFonts w:ascii="Arial" w:cs="Arial" w:eastAsia="Arial" w:hAnsi="Arial"/>
          <w:sz w:val="14"/>
          <w:szCs w:val="14"/>
          <w:color w:val="757575"/>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LESSOR:</w:t>
            </w:r>
          </w:p>
        </w:tc>
        <w:tc>
          <w:tcPr>
            <w:tcW w:w="3340" w:type="dxa"/>
            <w:vAlign w:val="bottom"/>
          </w:tcPr>
          <w:p>
            <w:pPr>
              <w:ind w:left="20"/>
              <w:spacing w:after="0"/>
              <w:rPr>
                <w:sz w:val="20"/>
                <w:szCs w:val="20"/>
                <w:color w:val="auto"/>
              </w:rPr>
            </w:pPr>
            <w:r>
              <w:rPr>
                <w:rFonts w:ascii="Arial" w:cs="Arial" w:eastAsia="Arial" w:hAnsi="Arial"/>
                <w:sz w:val="14"/>
                <w:szCs w:val="14"/>
                <w:color w:val="auto"/>
              </w:rPr>
              <w:t>LESSEE:</w:t>
            </w:r>
          </w:p>
        </w:tc>
      </w:tr>
      <w:tr>
        <w:trPr>
          <w:trHeight w:val="189"/>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Liberty Vista</w:t>
            </w:r>
          </w:p>
        </w:tc>
        <w:tc>
          <w:tcPr>
            <w:tcW w:w="3340" w:type="dxa"/>
            <w:vAlign w:val="bottom"/>
          </w:tcPr>
          <w:p>
            <w:pPr>
              <w:ind w:left="20"/>
              <w:spacing w:after="0"/>
              <w:rPr>
                <w:sz w:val="20"/>
                <w:szCs w:val="20"/>
                <w:color w:val="auto"/>
              </w:rPr>
            </w:pPr>
            <w:r>
              <w:rPr>
                <w:rFonts w:ascii="Arial" w:cs="Arial" w:eastAsia="Arial" w:hAnsi="Arial"/>
                <w:sz w:val="14"/>
                <w:szCs w:val="14"/>
                <w:color w:val="auto"/>
              </w:rPr>
              <w:t>Exagen Diagnostics, Inc.</w:t>
            </w:r>
          </w:p>
        </w:tc>
      </w:tr>
      <w:tr>
        <w:trPr>
          <w:trHeight w:val="189"/>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A California Limited Partnership</w:t>
            </w:r>
          </w:p>
        </w:tc>
        <w:tc>
          <w:tcPr>
            <w:tcW w:w="3340" w:type="dxa"/>
            <w:vAlign w:val="bottom"/>
          </w:tcPr>
          <w:p>
            <w:pPr>
              <w:spacing w:after="0"/>
              <w:rPr>
                <w:sz w:val="16"/>
                <w:szCs w:val="16"/>
                <w:color w:val="auto"/>
              </w:rPr>
            </w:pPr>
          </w:p>
        </w:tc>
      </w:tr>
      <w:tr>
        <w:trPr>
          <w:trHeight w:val="189"/>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By: Hamann Property Management, Inc.</w:t>
            </w:r>
          </w:p>
        </w:tc>
        <w:tc>
          <w:tcPr>
            <w:tcW w:w="3340" w:type="dxa"/>
            <w:vAlign w:val="bottom"/>
          </w:tcPr>
          <w:p>
            <w:pPr>
              <w:spacing w:after="0"/>
              <w:rPr>
                <w:sz w:val="16"/>
                <w:szCs w:val="16"/>
                <w:color w:val="auto"/>
              </w:rPr>
            </w:pPr>
          </w:p>
        </w:tc>
      </w:tr>
      <w:tr>
        <w:trPr>
          <w:trHeight w:val="189"/>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Authorized Agent</w:t>
            </w:r>
          </w:p>
        </w:tc>
        <w:tc>
          <w:tcPr>
            <w:tcW w:w="3340" w:type="dxa"/>
            <w:vAlign w:val="bottom"/>
          </w:tcPr>
          <w:p>
            <w:pPr>
              <w:spacing w:after="0"/>
              <w:rPr>
                <w:sz w:val="16"/>
                <w:szCs w:val="16"/>
                <w:color w:val="auto"/>
              </w:rPr>
            </w:pPr>
          </w:p>
        </w:tc>
      </w:tr>
      <w:tr>
        <w:trPr>
          <w:trHeight w:val="458"/>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By: /s/ Brendan Thiessen</w:t>
            </w:r>
          </w:p>
        </w:tc>
        <w:tc>
          <w:tcPr>
            <w:tcW w:w="108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By: /s/ Fortunato Ron Rocca</w:t>
            </w:r>
          </w:p>
        </w:tc>
      </w:tr>
      <w:tr>
        <w:trPr>
          <w:trHeight w:val="184"/>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Brendan Thiessen - Asset Manager</w:t>
            </w:r>
          </w:p>
        </w:tc>
        <w:tc>
          <w:tcPr>
            <w:tcW w:w="3340" w:type="dxa"/>
            <w:vAlign w:val="bottom"/>
          </w:tcPr>
          <w:p>
            <w:pPr>
              <w:ind w:left="20"/>
              <w:spacing w:after="0"/>
              <w:rPr>
                <w:sz w:val="20"/>
                <w:szCs w:val="20"/>
                <w:color w:val="auto"/>
              </w:rPr>
            </w:pPr>
            <w:r>
              <w:rPr>
                <w:rFonts w:ascii="Arial" w:cs="Arial" w:eastAsia="Arial" w:hAnsi="Arial"/>
                <w:sz w:val="14"/>
                <w:szCs w:val="14"/>
                <w:color w:val="auto"/>
              </w:rPr>
              <w:t>Fortunato Ron Rocca, President &amp; CEO</w:t>
            </w:r>
          </w:p>
        </w:tc>
      </w:tr>
      <w:tr>
        <w:trPr>
          <w:trHeight w:val="188"/>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 1/6/2021</w:t>
            </w:r>
          </w:p>
        </w:tc>
        <w:tc>
          <w:tcPr>
            <w:tcW w:w="1080" w:type="dxa"/>
            <w:vAlign w:val="bottom"/>
          </w:tcPr>
          <w:p>
            <w:pPr>
              <w:spacing w:after="0"/>
              <w:rPr>
                <w:sz w:val="16"/>
                <w:szCs w:val="16"/>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 1/6/2021</w:t>
            </w:r>
          </w:p>
        </w:tc>
      </w:tr>
    </w:tbl>
    <w:p>
      <w:pPr>
        <w:sectPr>
          <w:pgSz w:w="11900" w:h="16838" w:orient="portrait"/>
          <w:cols w:equalWidth="0" w:num="1">
            <w:col w:w="10320"/>
          </w:cols>
          <w:pgMar w:left="1240" w:top="76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10.46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EXAGEN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CHANGE IN CONTROL SEVERANCE PLAN</w:t>
      </w:r>
    </w:p>
    <w:p>
      <w:pPr>
        <w:spacing w:after="0" w:line="227" w:lineRule="exact"/>
        <w:rPr>
          <w:sz w:val="20"/>
          <w:szCs w:val="20"/>
          <w:color w:val="auto"/>
        </w:rPr>
      </w:pPr>
    </w:p>
    <w:p>
      <w:pPr>
        <w:jc w:val="both"/>
        <w:ind w:firstLine="327"/>
        <w:spacing w:after="0" w:line="282" w:lineRule="auto"/>
        <w:rPr>
          <w:sz w:val="20"/>
          <w:szCs w:val="20"/>
          <w:color w:val="auto"/>
        </w:rPr>
      </w:pPr>
      <w:r>
        <w:rPr>
          <w:rFonts w:ascii="Arial" w:cs="Arial" w:eastAsia="Arial" w:hAnsi="Arial"/>
          <w:sz w:val="18"/>
          <w:szCs w:val="18"/>
          <w:color w:val="auto"/>
        </w:rPr>
        <w:t>Exagen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this Exagen Inc. Executive Change in Control Severance Plan, including the attached Exhibits (the “</w:t>
      </w:r>
      <w:r>
        <w:rPr>
          <w:rFonts w:ascii="Arial" w:cs="Arial" w:eastAsia="Arial" w:hAnsi="Arial"/>
          <w:sz w:val="18"/>
          <w:szCs w:val="18"/>
          <w:u w:val="single" w:color="auto"/>
          <w:color w:val="auto"/>
        </w:rPr>
        <w:t>Plan</w:t>
      </w:r>
      <w:r>
        <w:rPr>
          <w:rFonts w:ascii="Arial" w:cs="Arial" w:eastAsia="Arial" w:hAnsi="Arial"/>
          <w:sz w:val="18"/>
          <w:szCs w:val="18"/>
          <w:color w:val="auto"/>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w:t>
      </w:r>
    </w:p>
    <w:p>
      <w:pPr>
        <w:spacing w:after="0" w:line="18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Capitalized terms used but not otherwise defined herein shall have the meanings indicated below:</w:t>
      </w:r>
    </w:p>
    <w:p>
      <w:pPr>
        <w:spacing w:after="0" w:line="2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1.1 “</w:t>
      </w:r>
      <w:r>
        <w:rPr>
          <w:rFonts w:ascii="Arial" w:cs="Arial" w:eastAsia="Arial" w:hAnsi="Arial"/>
          <w:sz w:val="20"/>
          <w:szCs w:val="20"/>
          <w:u w:val="single" w:color="auto"/>
          <w:color w:val="auto"/>
        </w:rPr>
        <w:t>Actual Incentive Compensation</w:t>
      </w:r>
      <w:r>
        <w:rPr>
          <w:rFonts w:ascii="Arial" w:cs="Arial" w:eastAsia="Arial" w:hAnsi="Arial"/>
          <w:sz w:val="20"/>
          <w:szCs w:val="20"/>
          <w:color w:val="auto"/>
        </w:rPr>
        <w:t>” means the Participant’s cash performance bonus, if any, for the year in which the Date of Termination occurs, based on actual performance during the year in which the Date of Termination occurs.</w:t>
      </w:r>
    </w:p>
    <w:p>
      <w:pPr>
        <w:spacing w:after="0" w:line="2"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Base Compensation</w:t>
      </w:r>
      <w:r>
        <w:rPr>
          <w:rFonts w:ascii="Arial" w:cs="Arial" w:eastAsia="Arial" w:hAnsi="Arial"/>
          <w:sz w:val="20"/>
          <w:szCs w:val="20"/>
          <w:color w:val="auto"/>
        </w:rPr>
        <w:t>” means the Participant’s annual base salary rate in effect immediately prior to a CIC Termination, disregarding any reduction which gives rise to Good Reason.</w:t>
      </w:r>
    </w:p>
    <w:p>
      <w:pPr>
        <w:spacing w:after="0" w:line="2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1.4 “</w:t>
      </w:r>
      <w:r>
        <w:rPr>
          <w:rFonts w:ascii="Arial" w:cs="Arial" w:eastAsia="Arial" w:hAnsi="Arial"/>
          <w:sz w:val="20"/>
          <w:szCs w:val="20"/>
          <w:u w:val="single" w:color="auto"/>
          <w:color w:val="auto"/>
        </w:rPr>
        <w:t>Cash Salary Severance</w:t>
      </w:r>
      <w:r>
        <w:rPr>
          <w:rFonts w:ascii="Arial" w:cs="Arial" w:eastAsia="Arial" w:hAnsi="Arial"/>
          <w:sz w:val="20"/>
          <w:szCs w:val="20"/>
          <w:color w:val="auto"/>
        </w:rPr>
        <w:t xml:space="preserve">” means the portion of a Participant’s Cash Severance that is based on the Participant’s Base Compensation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1.5 “</w:t>
      </w:r>
      <w:r>
        <w:rPr>
          <w:rFonts w:ascii="Arial" w:cs="Arial" w:eastAsia="Arial" w:hAnsi="Arial"/>
          <w:sz w:val="20"/>
          <w:szCs w:val="20"/>
          <w:u w:val="single" w:color="auto"/>
          <w:color w:val="auto"/>
        </w:rPr>
        <w:t>Cash Severance</w:t>
      </w:r>
      <w:r>
        <w:rPr>
          <w:rFonts w:ascii="Arial" w:cs="Arial" w:eastAsia="Arial" w:hAnsi="Arial"/>
          <w:sz w:val="20"/>
          <w:szCs w:val="20"/>
          <w:color w:val="auto"/>
        </w:rPr>
        <w:t xml:space="preserve">” means the Cash Salary Severance and, if applicable, the Incentive Compensation Severance,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any one or more of the following events that the Board has determined, in good faith, has occurred: (i) the Participant’s failure to substantially perform the Participant’s duties (other than a failure resulting from the Participant’s disability), including the Participant’s failure to follow any lawful directive from the Board or the Participant’s immediate supervisor; (ii) the Participant’s violation of any code or standard of behavior generally applicable to Employees or executives of the Company; (iii) engaging in conduct that may reasonably result in reputational, economic or financial injury to the Company or its affiliates; (iv) the Participant’s commission of, indictment for or plea of nolo contendere to a felony, any crime involving fraud or embezzlement under federal, state or local laws or a crime involving moral turpitude; (v) the Participant’s failure to devote substantially all of the Participant’s working time to the business of the Company and its affiliates; (vi) the Participant’s unlawful use (including being under the influence) or possession of illegal drugs on the premises of the Company or any of its affiliates or while performing the Participant’s duties and responsibilities for the Company or any of its affiliates; (vii) the Participant’s commission of an act of fraud, willful misconduct or gross negligence with respect to the Company or its affiliates, or the Participant’s material breach of fiduciary duty against the Company or any of its affiliates; (viii) the Participant’s engaging in misconduct in connection with the performance of any of the Participant’s duties, including by embezzlement or theft from the Company or its affiliates, misappropriating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0"/>
          <w:szCs w:val="20"/>
          <w:color w:val="auto"/>
        </w:rPr>
        <w:t>from the Company or its affiliates or securing or attempting to secure personally any profit in connection with any transaction entered into on behalf of the Company or its affiliates; or (ix) the Participant’s active disloyalty to the Company or its affiliates, including willfully aiding a competitor or improperly disclosing confidential information.</w:t>
      </w:r>
    </w:p>
    <w:p>
      <w:pPr>
        <w:spacing w:after="0" w:line="21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the Company’s 2019 Incentive Award Plan.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CIC Protection Period</w:t>
      </w:r>
      <w:r>
        <w:rPr>
          <w:rFonts w:ascii="Arial" w:cs="Arial" w:eastAsia="Arial" w:hAnsi="Arial"/>
          <w:sz w:val="20"/>
          <w:szCs w:val="20"/>
          <w:color w:val="auto"/>
        </w:rPr>
        <w:t>” means the 12 month period beginning on a Change in Control and ending on and including the one-year anniversary of the date of a Change in Control.</w:t>
      </w:r>
    </w:p>
    <w:p>
      <w:pPr>
        <w:spacing w:after="0" w:line="20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CIC Termination</w:t>
      </w:r>
      <w:r>
        <w:rPr>
          <w:rFonts w:ascii="Arial" w:cs="Arial" w:eastAsia="Arial" w:hAnsi="Arial"/>
          <w:sz w:val="18"/>
          <w:szCs w:val="18"/>
          <w:color w:val="auto"/>
        </w:rPr>
        <w:t>” means a Qualifying Termination which occurs during the CIC Protection Period.</w:t>
      </w:r>
    </w:p>
    <w:p>
      <w:pPr>
        <w:spacing w:after="0" w:line="2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Claimant</w:t>
      </w:r>
      <w:r>
        <w:rPr>
          <w:rFonts w:ascii="Arial" w:cs="Arial" w:eastAsia="Arial" w:hAnsi="Arial"/>
          <w:sz w:val="18"/>
          <w:szCs w:val="18"/>
          <w:color w:val="auto"/>
        </w:rPr>
        <w:t>” shall have the meaning set forth in Section 11.1 hereof.</w:t>
      </w:r>
    </w:p>
    <w:p>
      <w:pPr>
        <w:spacing w:after="0" w:line="2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Reconciliation Act of 1985.</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u w:val="single" w:color="auto"/>
          <w:color w:val="auto"/>
        </w:rPr>
        <w:t>COBRA Period</w:t>
      </w:r>
      <w:r>
        <w:rPr>
          <w:rFonts w:ascii="Arial" w:cs="Arial" w:eastAsia="Arial" w:hAnsi="Arial"/>
          <w:sz w:val="20"/>
          <w:szCs w:val="20"/>
          <w:color w:val="auto"/>
        </w:rPr>
        <w:t xml:space="preserve">” means the number of months during which the Participant is entitled to COBRA Premium Payments,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as applicable.</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COBRA Premium Payment</w:t>
      </w:r>
      <w:r>
        <w:rPr>
          <w:rFonts w:ascii="Arial" w:cs="Arial" w:eastAsia="Arial" w:hAnsi="Arial"/>
          <w:sz w:val="18"/>
          <w:szCs w:val="18"/>
          <w:color w:val="auto"/>
        </w:rPr>
        <w:t>” shall have the meaning set forth in Section 4.2(b) hereof.</w:t>
      </w:r>
    </w:p>
    <w:p>
      <w:pPr>
        <w:spacing w:after="0" w:line="2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or any successor thereto.</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1.15 “</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 or such other committee as may be appointed by the Board to administer the Plan.</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means the effective date of the termination of the Participant’s employment.</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u w:val="single" w:color="auto"/>
          <w:color w:val="auto"/>
        </w:rPr>
        <w:t>Employee</w:t>
      </w:r>
      <w:r>
        <w:rPr>
          <w:rFonts w:ascii="Arial" w:cs="Arial" w:eastAsia="Arial" w:hAnsi="Arial"/>
          <w:sz w:val="20"/>
          <w:szCs w:val="20"/>
          <w:color w:val="auto"/>
        </w:rPr>
        <w:t>” means an individual who is an employee (within the meaning of Code Section 3401(c)) of the Company or any of its subsidiaries.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Equity Award</w:t>
      </w:r>
      <w:r>
        <w:rPr>
          <w:rFonts w:ascii="Arial" w:cs="Arial" w:eastAsia="Arial" w:hAnsi="Arial"/>
          <w:sz w:val="16"/>
          <w:szCs w:val="16"/>
          <w:color w:val="auto"/>
        </w:rPr>
        <w:t>” means a Company equity award that vests solely based on the passage of time.</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regulations promulgated thereunder.</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Excise Tax</w:t>
      </w:r>
      <w:r>
        <w:rPr>
          <w:rFonts w:ascii="Arial" w:cs="Arial" w:eastAsia="Arial" w:hAnsi="Arial"/>
          <w:sz w:val="18"/>
          <w:szCs w:val="18"/>
          <w:color w:val="auto"/>
        </w:rPr>
        <w:t>” shall have the meaning set forth in Section 7.1 hereof.</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1.21 “</w:t>
      </w:r>
      <w:r>
        <w:rPr>
          <w:rFonts w:ascii="Arial" w:cs="Arial" w:eastAsia="Arial" w:hAnsi="Arial"/>
          <w:sz w:val="20"/>
          <w:szCs w:val="20"/>
          <w:u w:val="single" w:color="auto"/>
          <w:color w:val="auto"/>
        </w:rPr>
        <w:t>Good Reason</w:t>
      </w:r>
      <w:r>
        <w:rPr>
          <w:rFonts w:ascii="Arial" w:cs="Arial" w:eastAsia="Arial" w:hAnsi="Arial"/>
          <w:sz w:val="20"/>
          <w:szCs w:val="20"/>
          <w:color w:val="auto"/>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138" w:name="page139"/>
    <w:bookmarkEnd w:id="138"/>
    <w:p>
      <w:pPr>
        <w:spacing w:after="0" w:line="222" w:lineRule="exact"/>
        <w:rPr>
          <w:sz w:val="20"/>
          <w:szCs w:val="20"/>
          <w:color w:val="auto"/>
        </w:rPr>
      </w:pPr>
    </w:p>
    <w:p>
      <w:pPr>
        <w:ind w:firstLine="1304"/>
        <w:spacing w:after="0" w:line="260" w:lineRule="auto"/>
        <w:tabs>
          <w:tab w:leader="none" w:pos="1884"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change in the Participant’s position with the Company which materially diminishes such Participant’s duties, responsibilities, or authority;</w:t>
      </w:r>
    </w:p>
    <w:p>
      <w:pPr>
        <w:spacing w:after="0" w:line="203" w:lineRule="exact"/>
        <w:rPr>
          <w:rFonts w:ascii="Arial" w:cs="Arial" w:eastAsia="Arial" w:hAnsi="Arial"/>
          <w:sz w:val="20"/>
          <w:szCs w:val="20"/>
          <w:color w:val="auto"/>
        </w:rPr>
      </w:pPr>
    </w:p>
    <w:p>
      <w:pPr>
        <w:ind w:left="1740" w:hanging="436"/>
        <w:spacing w:after="0"/>
        <w:tabs>
          <w:tab w:leader="none" w:pos="17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material diminution of the Participant’s Base Compensation and/or Target Incentive Compensation; or</w:t>
      </w:r>
    </w:p>
    <w:p>
      <w:pPr>
        <w:spacing w:after="0" w:line="242" w:lineRule="exact"/>
        <w:rPr>
          <w:rFonts w:ascii="Arial" w:cs="Arial" w:eastAsia="Arial" w:hAnsi="Arial"/>
          <w:sz w:val="20"/>
          <w:szCs w:val="20"/>
          <w:color w:val="auto"/>
        </w:rPr>
      </w:pPr>
    </w:p>
    <w:p>
      <w:pPr>
        <w:ind w:left="1720" w:hanging="416"/>
        <w:spacing w:after="0"/>
        <w:tabs>
          <w:tab w:leader="none" w:pos="1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relocation of the Participant’s principal place of employment by more than twenty (20) miles.</w:t>
      </w:r>
    </w:p>
    <w:p>
      <w:pPr>
        <w:spacing w:after="0" w:line="24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1.22 “</w:t>
      </w:r>
      <w:r>
        <w:rPr>
          <w:rFonts w:ascii="Arial" w:cs="Arial" w:eastAsia="Arial" w:hAnsi="Arial"/>
          <w:sz w:val="20"/>
          <w:szCs w:val="20"/>
          <w:u w:val="single" w:color="auto"/>
          <w:color w:val="auto"/>
        </w:rPr>
        <w:t>Incentive Compensation Severance</w:t>
      </w:r>
      <w:r>
        <w:rPr>
          <w:rFonts w:ascii="Arial" w:cs="Arial" w:eastAsia="Arial" w:hAnsi="Arial"/>
          <w:sz w:val="20"/>
          <w:szCs w:val="20"/>
          <w:color w:val="auto"/>
        </w:rPr>
        <w:t xml:space="preserve">” means the portion of a Participant’s Cash Severance that is based on the Participant’s Actual Incentive Compensation or Target Incentive Compensation, as applicable, as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1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Independent Advisors</w:t>
      </w:r>
      <w:r>
        <w:rPr>
          <w:rFonts w:ascii="Arial" w:cs="Arial" w:eastAsia="Arial" w:hAnsi="Arial"/>
          <w:sz w:val="18"/>
          <w:szCs w:val="18"/>
          <w:color w:val="auto"/>
        </w:rPr>
        <w:t>” shall have the meaning set forth in Section 7.2 hereof.</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u w:val="single" w:color="auto"/>
          <w:color w:val="auto"/>
        </w:rPr>
        <w:t>Participant</w:t>
      </w:r>
      <w:r>
        <w:rPr>
          <w:rFonts w:ascii="Arial" w:cs="Arial" w:eastAsia="Arial" w:hAnsi="Arial"/>
          <w:sz w:val="20"/>
          <w:szCs w:val="20"/>
          <w:color w:val="auto"/>
        </w:rPr>
        <w:t>” means each Employee who is selected by the Administrator to participate in the Plan and is provided with (and, if applicable, countersigns) a Participation Notice in accordance with Section 13.2 hereof, other than any Employee who, at the time of his or her termination of employment, is covered by a plan or agreement with the Company or a subsidiary that provides for cash severance or termination benefits that explicitly supersedes and/or replaces the payments and benefits provided under this Plan. For the avoidance of doubt, retention bonus payments, change in control bonus payments and other similar payments shall not constitute “cash severance” for purposes of this definition.</w:t>
      </w:r>
    </w:p>
    <w:p>
      <w:pPr>
        <w:spacing w:after="0" w:line="2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Participation Notice</w:t>
      </w:r>
      <w:r>
        <w:rPr>
          <w:rFonts w:ascii="Arial" w:cs="Arial" w:eastAsia="Arial" w:hAnsi="Arial"/>
          <w:sz w:val="18"/>
          <w:szCs w:val="18"/>
          <w:color w:val="auto"/>
        </w:rPr>
        <w:t>” shall have the meaning set forth in Section 13.2 hereof.</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1.26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 termination of the Participant’s employment with the Company or a subsidiary, as applicable, by the Company or a subsidiary, as applicable, without Cause, or by the Participant for Good Reason. A Qualifying Termination shall not include a termination due to the Participant’s death or disability.</w:t>
      </w:r>
    </w:p>
    <w:p>
      <w:pPr>
        <w:spacing w:after="0" w:line="21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have the meaning set forth in Section 4.3 hereof.</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1.28 “</w:t>
      </w: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means the severance payments and benefits to which a Participant may become entitled pursuant to Section 4 of the Plan and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1.29 “</w:t>
      </w:r>
      <w:r>
        <w:rPr>
          <w:rFonts w:ascii="Arial" w:cs="Arial" w:eastAsia="Arial" w:hAnsi="Arial"/>
          <w:sz w:val="20"/>
          <w:szCs w:val="20"/>
          <w:u w:val="single" w:color="auto"/>
          <w:color w:val="auto"/>
        </w:rPr>
        <w:t>Target Incentive Compensation</w:t>
      </w:r>
      <w:r>
        <w:rPr>
          <w:rFonts w:ascii="Arial" w:cs="Arial" w:eastAsia="Arial" w:hAnsi="Arial"/>
          <w:sz w:val="20"/>
          <w:szCs w:val="20"/>
          <w:color w:val="auto"/>
        </w:rPr>
        <w:t>” means the Participant’s target cash performance bonus, if any, for the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39" w:name="page140"/>
    <w:bookmarkEnd w:id="139"/>
    <w:p>
      <w:pPr>
        <w:ind w:left="660"/>
        <w:spacing w:after="0"/>
        <w:tabs>
          <w:tab w:leader="none" w:pos="118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Total Payments</w:t>
      </w:r>
      <w:r>
        <w:rPr>
          <w:rFonts w:ascii="Arial" w:cs="Arial" w:eastAsia="Arial" w:hAnsi="Arial"/>
          <w:sz w:val="16"/>
          <w:szCs w:val="16"/>
          <w:color w:val="auto"/>
        </w:rPr>
        <w:t>” shall have the meaning set forth in Section 7.1 hereof.</w:t>
      </w:r>
    </w:p>
    <w:p>
      <w:pPr>
        <w:spacing w:after="0" w:line="237" w:lineRule="exact"/>
        <w:rPr>
          <w:sz w:val="20"/>
          <w:szCs w:val="20"/>
          <w:color w:val="auto"/>
        </w:rPr>
      </w:pPr>
    </w:p>
    <w:p>
      <w:pPr>
        <w:ind w:firstLine="656"/>
        <w:spacing w:after="0" w:line="293" w:lineRule="auto"/>
        <w:tabs>
          <w:tab w:leader="none" w:pos="1008"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Effectiveness of the Plan; Notification</w:t>
      </w:r>
      <w:r>
        <w:rPr>
          <w:rFonts w:ascii="Arial" w:cs="Arial" w:eastAsia="Arial" w:hAnsi="Arial"/>
          <w:sz w:val="19"/>
          <w:szCs w:val="19"/>
          <w:color w:val="auto"/>
        </w:rPr>
        <w:t>. The Plan shall become effective on March 15, 2021. The Administrator shall,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a Participation Notice, notify each Participant that such Participant has been selected to participate in the Plan.</w:t>
      </w:r>
    </w:p>
    <w:p>
      <w:pPr>
        <w:spacing w:after="0" w:line="168" w:lineRule="exact"/>
        <w:rPr>
          <w:rFonts w:ascii="Arial" w:cs="Arial" w:eastAsia="Arial" w:hAnsi="Arial"/>
          <w:sz w:val="19"/>
          <w:szCs w:val="19"/>
          <w:color w:val="auto"/>
        </w:rPr>
      </w:pPr>
    </w:p>
    <w:p>
      <w:pPr>
        <w:jc w:val="both"/>
        <w:ind w:firstLine="656"/>
        <w:spacing w:after="0" w:line="315" w:lineRule="auto"/>
        <w:tabs>
          <w:tab w:leader="none" w:pos="101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 Subject to Section 13.4 hereof, the Plan shall be interpreted, administered and operated by the Committee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may delegate any of its duties hereunder to a subcommittee, or to such person or persons from time to time as it may designate other than to any Participant in the Plan, and the Administrator may delegate (other than to any Participant in the Plan) its duty to provide a Participation Notice to a Participant in the Plan. All decisions, interpretations and other actions of the Administrator (including with respect to whether a CIC Termination has occurred) shall be final, conclusive and binding on all parties who have an interest in the Plan.</w:t>
      </w:r>
    </w:p>
    <w:p>
      <w:pPr>
        <w:spacing w:after="0" w:line="159" w:lineRule="exact"/>
        <w:rPr>
          <w:rFonts w:ascii="Arial" w:cs="Arial" w:eastAsia="Arial" w:hAnsi="Arial"/>
          <w:sz w:val="16"/>
          <w:szCs w:val="16"/>
          <w:color w:val="auto"/>
        </w:rPr>
      </w:pPr>
    </w:p>
    <w:p>
      <w:pPr>
        <w:ind w:left="1000" w:hanging="344"/>
        <w:spacing w:after="0"/>
        <w:tabs>
          <w:tab w:leader="none" w:pos="100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Severance Benefits</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Eligibility</w:t>
      </w:r>
      <w:r>
        <w:rPr>
          <w:rFonts w:ascii="Arial" w:cs="Arial" w:eastAsia="Arial" w:hAnsi="Arial"/>
          <w:sz w:val="20"/>
          <w:szCs w:val="20"/>
          <w:color w:val="auto"/>
        </w:rPr>
        <w:t>. Each Employee who qualifies as a Participant and who experiences a CIC Termination is eligible to receive Severance Benefits under the Plan.</w:t>
      </w:r>
    </w:p>
    <w:p>
      <w:pPr>
        <w:spacing w:after="0" w:line="2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CIC Termination Payment</w:t>
      </w:r>
      <w:r>
        <w:rPr>
          <w:rFonts w:ascii="Arial" w:cs="Arial" w:eastAsia="Arial" w:hAnsi="Arial"/>
          <w:sz w:val="19"/>
          <w:szCs w:val="19"/>
          <w:color w:val="auto"/>
        </w:rPr>
        <w:t>. In the event that a Participant experiences a CIC Termination, then, subject to the Participant’s execution and, to the extent applicable, non-revocation of a Release in accordance with Section 4.3 hereof, and subject to any additional requirements specified in the Plan, the Company shall pay or provide to the Participant the following Severance Benefits:</w:t>
      </w:r>
    </w:p>
    <w:p>
      <w:pPr>
        <w:spacing w:after="0" w:line="197" w:lineRule="exact"/>
        <w:rPr>
          <w:sz w:val="20"/>
          <w:szCs w:val="20"/>
          <w:color w:val="auto"/>
        </w:rPr>
      </w:pPr>
    </w:p>
    <w:p>
      <w:pPr>
        <w:jc w:val="both"/>
        <w:ind w:left="660" w:firstLine="644"/>
        <w:spacing w:after="0" w:line="226" w:lineRule="auto"/>
        <w:tabs>
          <w:tab w:leader="none" w:pos="1725"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Cash Severance Payment</w:t>
      </w:r>
      <w:r>
        <w:rPr>
          <w:rFonts w:ascii="Arial" w:cs="Arial" w:eastAsia="Arial" w:hAnsi="Arial"/>
          <w:sz w:val="20"/>
          <w:szCs w:val="20"/>
          <w:color w:val="auto"/>
        </w:rPr>
        <w:t xml:space="preserve">. The Company shall pay to the Participant an amount equal to the Cash Severance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Subject to Section 6.2 hereof, the Cash Severance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shall be paid in a lump sum on the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Date of Termination.</w:t>
      </w:r>
    </w:p>
    <w:p>
      <w:pPr>
        <w:jc w:val="both"/>
        <w:ind w:left="660" w:firstLine="644"/>
        <w:spacing w:after="0" w:line="269" w:lineRule="auto"/>
        <w:tabs>
          <w:tab w:leader="none" w:pos="179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xml:space="preserve">.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premiums for the Participant and the Participant’s covered dependents (in an amount determined based on the same benefit levels as would have applied if the Participant’s employment had not been terminated based on the Participant’s elections in effect on the Date of Termination) until the earlier of the end of the month during which the Participant’s COBRA Period, determined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ends or the date the Participant becomes eligible for healthcare coverage under a subsequent employer’s health plan (the “</w:t>
      </w:r>
      <w:r>
        <w:rPr>
          <w:rFonts w:ascii="Arial" w:cs="Arial" w:eastAsia="Arial" w:hAnsi="Arial"/>
          <w:sz w:val="18"/>
          <w:szCs w:val="18"/>
          <w:u w:val="single" w:color="auto"/>
          <w:color w:val="auto"/>
        </w:rPr>
        <w:t>COBRA Premium</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140" w:name="page141"/>
    <w:bookmarkEnd w:id="140"/>
    <w:p>
      <w:pPr>
        <w:ind w:left="660"/>
        <w:spacing w:after="0" w:line="260" w:lineRule="auto"/>
        <w:rPr>
          <w:sz w:val="20"/>
          <w:szCs w:val="20"/>
          <w:color w:val="auto"/>
        </w:rPr>
      </w:pPr>
      <w:r>
        <w:rPr>
          <w:rFonts w:ascii="Arial" w:cs="Arial" w:eastAsia="Arial" w:hAnsi="Arial"/>
          <w:sz w:val="20"/>
          <w:szCs w:val="20"/>
          <w:color w:val="auto"/>
        </w:rPr>
        <w:t>Act), then, in either case, an amount equal to each remaining Company reimbursement shall thereafter be paid to the Participant in substantially equal monthly installments over the COBRA Period (or the remaining portion thereof).</w:t>
      </w:r>
    </w:p>
    <w:p>
      <w:pPr>
        <w:spacing w:after="0" w:line="204" w:lineRule="exact"/>
        <w:rPr>
          <w:sz w:val="20"/>
          <w:szCs w:val="20"/>
          <w:color w:val="auto"/>
        </w:rPr>
      </w:pPr>
    </w:p>
    <w:p>
      <w:pPr>
        <w:ind w:left="660" w:right="20" w:firstLine="644"/>
        <w:spacing w:after="0" w:line="260" w:lineRule="auto"/>
        <w:tabs>
          <w:tab w:leader="none" w:pos="176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Equity Award Treatment</w:t>
      </w:r>
      <w:r>
        <w:rPr>
          <w:rFonts w:ascii="Arial" w:cs="Arial" w:eastAsia="Arial" w:hAnsi="Arial"/>
          <w:sz w:val="20"/>
          <w:szCs w:val="20"/>
          <w:color w:val="auto"/>
        </w:rPr>
        <w:t>. Each outstanding Equity Award held by the Participant as of his or her Date of Termination shall become fully vested and, to the extent applicable, exercisable.</w:t>
      </w:r>
    </w:p>
    <w:p>
      <w:pPr>
        <w:spacing w:after="0" w:line="20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herein to the contrary, no Participant shall be eligible or entitled to receive or retain any Severance Benefits under the Plan unless he or she executes a general release of claims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Release</w:t>
      </w:r>
      <w:r>
        <w:rPr>
          <w:rFonts w:ascii="Arial" w:cs="Arial" w:eastAsia="Arial" w:hAnsi="Arial"/>
          <w:sz w:val="18"/>
          <w:szCs w:val="18"/>
          <w:color w:val="auto"/>
        </w:rPr>
        <w:t>”) within 21 days (or 45 days if necessary to comply with applicable law) after the Date of Termination and, if he or she is entitled to a seven day post-signing revocation period under applicable law, does not revoke such Release during such seven day period.</w:t>
      </w:r>
    </w:p>
    <w:p>
      <w:pPr>
        <w:spacing w:after="0" w:line="182" w:lineRule="exact"/>
        <w:rPr>
          <w:sz w:val="20"/>
          <w:szCs w:val="20"/>
          <w:color w:val="auto"/>
        </w:rPr>
      </w:pPr>
    </w:p>
    <w:p>
      <w:pPr>
        <w:jc w:val="both"/>
        <w:ind w:firstLine="656"/>
        <w:spacing w:after="0" w:line="253" w:lineRule="auto"/>
        <w:tabs>
          <w:tab w:leader="none" w:pos="994"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Limitations</w:t>
      </w:r>
      <w:r>
        <w:rPr>
          <w:rFonts w:ascii="Arial" w:cs="Arial" w:eastAsia="Arial" w:hAnsi="Arial"/>
          <w:sz w:val="20"/>
          <w:szCs w:val="20"/>
          <w:color w:val="auto"/>
        </w:rPr>
        <w:t>. Notwithstanding any provision of the Plan to the contrary, if a Participant’s status as an Employee is terminated for</w:t>
      </w:r>
      <w:r>
        <w:rPr>
          <w:rFonts w:ascii="Arial" w:cs="Arial" w:eastAsia="Arial" w:hAnsi="Arial"/>
          <w:sz w:val="20"/>
          <w:szCs w:val="20"/>
          <w:b w:val="1"/>
          <w:bCs w:val="1"/>
          <w:color w:val="auto"/>
        </w:rPr>
        <w:t xml:space="preserve"> </w:t>
      </w:r>
      <w:r>
        <w:rPr>
          <w:rFonts w:ascii="Arial" w:cs="Arial" w:eastAsia="Arial" w:hAnsi="Arial"/>
          <w:sz w:val="20"/>
          <w:szCs w:val="20"/>
          <w:color w:val="auto"/>
        </w:rPr>
        <w:t>any reason other than due to a CIC Termination, the Participant shall not be entitled to receive any Severance Benefits under the Plan, and the Company shall not have any obligation to such Participant under the Plan.</w:t>
      </w:r>
    </w:p>
    <w:p>
      <w:pPr>
        <w:spacing w:after="0" w:line="204" w:lineRule="exact"/>
        <w:rPr>
          <w:rFonts w:ascii="Arial" w:cs="Arial" w:eastAsia="Arial" w:hAnsi="Arial"/>
          <w:sz w:val="20"/>
          <w:szCs w:val="20"/>
          <w:color w:val="auto"/>
        </w:rPr>
      </w:pPr>
    </w:p>
    <w:p>
      <w:pPr>
        <w:ind w:left="1000" w:hanging="344"/>
        <w:spacing w:after="0"/>
        <w:tabs>
          <w:tab w:leader="none" w:pos="1000"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To the extent applicable, the Plan shall be interpreted and applied consistent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Section 6.1 shall not create any obligation on the part of the Administrator to adopt any such amendment or take any other action, nor shall the Company have any liability for failing to do so.</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Potential Six-Month Delay</w:t>
      </w:r>
      <w:r>
        <w:rPr>
          <w:rFonts w:ascii="Arial" w:cs="Arial" w:eastAsia="Arial" w:hAnsi="Arial"/>
          <w:sz w:val="18"/>
          <w:szCs w:val="18"/>
          <w:color w:val="auto"/>
        </w:rPr>
        <w:t>. Notwithstanding anything to the contrary in the Plan, no amounts shall be paid to any Participant under the Plan during the six-month period following such 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141" w:name="page142"/>
    <w:bookmarkEnd w:id="141"/>
    <w:p>
      <w:pPr>
        <w:jc w:val="both"/>
        <w:ind w:firstLine="648"/>
        <w:spacing w:after="0" w:line="244"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spacing w:after="0" w:line="2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Reimbursements</w:t>
      </w:r>
      <w:r>
        <w:rPr>
          <w:rFonts w:ascii="Arial" w:cs="Arial" w:eastAsia="Arial" w:hAnsi="Arial"/>
          <w:sz w:val="20"/>
          <w:szCs w:val="20"/>
          <w:color w:val="auto"/>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Installments</w:t>
      </w:r>
      <w:r>
        <w:rPr>
          <w:rFonts w:ascii="Arial" w:cs="Arial" w:eastAsia="Arial" w:hAnsi="Arial"/>
          <w:sz w:val="18"/>
          <w:szCs w:val="18"/>
          <w:color w:val="auto"/>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186" w:lineRule="exact"/>
        <w:rPr>
          <w:sz w:val="20"/>
          <w:szCs w:val="20"/>
          <w:color w:val="auto"/>
        </w:rPr>
      </w:pPr>
    </w:p>
    <w:p>
      <w:pPr>
        <w:ind w:left="1000" w:hanging="344"/>
        <w:spacing w:after="0"/>
        <w:tabs>
          <w:tab w:leader="none" w:pos="1000"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Limitation on Payments</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Best Pay Cap</w:t>
      </w:r>
      <w:r>
        <w:rPr>
          <w:rFonts w:ascii="Arial" w:cs="Arial" w:eastAsia="Arial" w:hAnsi="Arial"/>
          <w:sz w:val="18"/>
          <w:szCs w:val="18"/>
          <w:color w:val="auto"/>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would be subject (in whole or part), to the excise tax imposed under Code Section 4999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after taking into account any reduction in the Total Payments provided by reason of Code Section 280G in such other plan, arrangement or agreement, the Cash Severance benefits under the Plan shall first be reduced, and any noncash severance payments hereunder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142" w:name="page143"/>
    <w:bookmarkEnd w:id="142"/>
    <w:p>
      <w:pPr>
        <w:jc w:val="both"/>
        <w:ind w:firstLine="648"/>
        <w:spacing w:after="0" w:line="26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Certain Exclusions</w:t>
      </w:r>
      <w:r>
        <w:rPr>
          <w:rFonts w:ascii="Arial" w:cs="Arial" w:eastAsia="Arial" w:hAnsi="Arial"/>
          <w:sz w:val="18"/>
          <w:szCs w:val="18"/>
          <w:color w:val="auto"/>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Arial" w:cs="Arial" w:eastAsia="Arial" w:hAnsi="Arial"/>
          <w:sz w:val="18"/>
          <w:szCs w:val="18"/>
          <w:u w:val="single" w:color="auto"/>
          <w:color w:val="auto"/>
        </w:rPr>
        <w:t>Independent Advisors</w:t>
      </w:r>
      <w:r>
        <w:rPr>
          <w:rFonts w:ascii="Arial" w:cs="Arial" w:eastAsia="Arial" w:hAnsi="Arial"/>
          <w:sz w:val="18"/>
          <w:szCs w:val="18"/>
          <w:color w:val="auto"/>
        </w:rPr>
        <w:t>”) selected by the Company, does not constitute a “parachute payment” within the meaning of Code Section 280G(b)</w:t>
      </w:r>
    </w:p>
    <w:p>
      <w:pPr>
        <w:spacing w:after="0" w:line="4" w:lineRule="exact"/>
        <w:rPr>
          <w:sz w:val="20"/>
          <w:szCs w:val="20"/>
          <w:color w:val="auto"/>
        </w:rPr>
      </w:pPr>
    </w:p>
    <w:p>
      <w:pPr>
        <w:jc w:val="both"/>
        <w:ind w:right="20" w:firstLine="8"/>
        <w:spacing w:after="0" w:line="274" w:lineRule="auto"/>
        <w:tabs>
          <w:tab w:leader="none" w:pos="2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280G(b)(4)(B), in excess of the “base amount” (as defined in Code Section 280G(b)(3)) allocable to such reasonable compensation; and (c) the value of any non-cash benefit or any deferred payment or benefit included in the Total Payments shall be determined by the Independent Advisors in accordance with the principles of Code Sections 280G(d)(3) and (4).</w:t>
      </w:r>
    </w:p>
    <w:p>
      <w:pPr>
        <w:spacing w:after="0" w:line="186" w:lineRule="exact"/>
        <w:rPr>
          <w:rFonts w:ascii="Arial" w:cs="Arial" w:eastAsia="Arial" w:hAnsi="Arial"/>
          <w:sz w:val="18"/>
          <w:szCs w:val="18"/>
          <w:color w:val="auto"/>
        </w:rPr>
      </w:pPr>
    </w:p>
    <w:p>
      <w:pPr>
        <w:jc w:val="both"/>
        <w:ind w:firstLine="656"/>
        <w:spacing w:after="0" w:line="253" w:lineRule="auto"/>
        <w:tabs>
          <w:tab w:leader="none" w:pos="1075" w:val="left"/>
        </w:tabs>
        <w:numPr>
          <w:ilvl w:val="1"/>
          <w:numId w:val="57"/>
        </w:numPr>
        <w:rPr>
          <w:rFonts w:ascii="Arial" w:cs="Arial" w:eastAsia="Arial" w:hAnsi="Arial"/>
          <w:sz w:val="20"/>
          <w:szCs w:val="20"/>
          <w:color w:val="auto"/>
        </w:rPr>
      </w:pPr>
      <w:r>
        <w:rPr>
          <w:rFonts w:ascii="Arial" w:cs="Arial" w:eastAsia="Arial" w:hAnsi="Arial"/>
          <w:sz w:val="20"/>
          <w:szCs w:val="20"/>
          <w:b w:val="1"/>
          <w:bCs w:val="1"/>
          <w:color w:val="auto"/>
        </w:rPr>
        <w:t>No Mitigation</w:t>
      </w:r>
      <w:r>
        <w:rPr>
          <w:rFonts w:ascii="Arial" w:cs="Arial" w:eastAsia="Arial" w:hAnsi="Arial"/>
          <w:sz w:val="20"/>
          <w:szCs w:val="20"/>
          <w:color w:val="auto"/>
        </w:rPr>
        <w:t>. No Participant shall be required to seek other employment or attempt in any way to reduce or mitigate any</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Benefits payable under the Plan and the amount of any such Severance Benefits shall not be reduced by any other compensation paid or provided to any Participant following such Participant’s termination of service.</w:t>
      </w:r>
    </w:p>
    <w:p>
      <w:pPr>
        <w:spacing w:after="0" w:line="204" w:lineRule="exact"/>
        <w:rPr>
          <w:rFonts w:ascii="Arial" w:cs="Arial" w:eastAsia="Arial" w:hAnsi="Arial"/>
          <w:sz w:val="20"/>
          <w:szCs w:val="20"/>
          <w:color w:val="auto"/>
        </w:rPr>
      </w:pPr>
    </w:p>
    <w:p>
      <w:pPr>
        <w:ind w:left="1000" w:hanging="344"/>
        <w:spacing w:after="0"/>
        <w:tabs>
          <w:tab w:leader="none" w:pos="1000" w:val="left"/>
        </w:tabs>
        <w:numPr>
          <w:ilvl w:val="1"/>
          <w:numId w:val="57"/>
        </w:numPr>
        <w:rPr>
          <w:rFonts w:ascii="Arial" w:cs="Arial" w:eastAsia="Arial" w:hAnsi="Arial"/>
          <w:sz w:val="20"/>
          <w:szCs w:val="20"/>
          <w:color w:val="auto"/>
        </w:rPr>
      </w:pPr>
      <w:r>
        <w:rPr>
          <w:rFonts w:ascii="Arial" w:cs="Arial" w:eastAsia="Arial" w:hAnsi="Arial"/>
          <w:sz w:val="20"/>
          <w:szCs w:val="20"/>
          <w:b w:val="1"/>
          <w:bCs w:val="1"/>
          <w:color w:val="auto"/>
        </w:rPr>
        <w:t>Successors</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Company Successors</w:t>
      </w:r>
      <w:r>
        <w:rPr>
          <w:rFonts w:ascii="Arial" w:cs="Arial" w:eastAsia="Arial" w:hAnsi="Arial"/>
          <w:sz w:val="18"/>
          <w:szCs w:val="18"/>
          <w:color w:val="auto"/>
        </w:rPr>
        <w:t>. The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agree to perform the obligations of the Company under the Plan.</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Participant Successors</w:t>
      </w:r>
      <w:r>
        <w:rPr>
          <w:rFonts w:ascii="Arial" w:cs="Arial" w:eastAsia="Arial" w:hAnsi="Arial"/>
          <w:sz w:val="20"/>
          <w:szCs w:val="20"/>
          <w:color w:val="auto"/>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spacing w:after="0" w:line="212" w:lineRule="exact"/>
        <w:rPr>
          <w:sz w:val="20"/>
          <w:szCs w:val="20"/>
          <w:color w:val="auto"/>
        </w:rPr>
      </w:pPr>
    </w:p>
    <w:p>
      <w:pPr>
        <w:jc w:val="both"/>
        <w:ind w:firstLine="656"/>
        <w:spacing w:after="0" w:line="280"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communications relating to matters arising under the Plan shall be in writing and shall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when hand delivered, faxed, emailed or mailed by reputable 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as may be specified from time to time by the Administrator, except that notice of change of address shall be effective only upon actual receipt.</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Claims Procedure; Arbitration</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Claims</w:t>
      </w:r>
      <w:r>
        <w:rPr>
          <w:rFonts w:ascii="Arial" w:cs="Arial" w:eastAsia="Arial" w:hAnsi="Arial"/>
          <w:sz w:val="20"/>
          <w:szCs w:val="20"/>
          <w:color w:val="auto"/>
        </w:rPr>
        <w:t>. Generally, Participants are not required to present a formal claim in order to receive benefits under the Plan. If, however, any person (the “</w:t>
      </w:r>
      <w:r>
        <w:rPr>
          <w:rFonts w:ascii="Arial" w:cs="Arial" w:eastAsia="Arial" w:hAnsi="Arial"/>
          <w:sz w:val="20"/>
          <w:szCs w:val="20"/>
          <w:u w:val="single" w:color="auto"/>
          <w:color w:val="auto"/>
        </w:rPr>
        <w:t>Claimant</w:t>
      </w:r>
      <w:r>
        <w:rPr>
          <w:rFonts w:ascii="Arial" w:cs="Arial" w:eastAsia="Arial" w:hAnsi="Arial"/>
          <w:sz w:val="20"/>
          <w:szCs w:val="20"/>
          <w:color w:val="auto"/>
        </w:rPr>
        <w:t>”) believes that benefits are being denied improperly, that the Plan is not being operated properly, that fiduciaries of the Plan have breached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143" w:name="page144"/>
    <w:bookmarkEnd w:id="143"/>
    <w:p>
      <w:pPr>
        <w:jc w:val="both"/>
        <w:spacing w:after="0" w:line="276" w:lineRule="auto"/>
        <w:rPr>
          <w:sz w:val="20"/>
          <w:szCs w:val="20"/>
          <w:color w:val="auto"/>
        </w:rPr>
      </w:pPr>
      <w:r>
        <w:rPr>
          <w:rFonts w:ascii="Arial" w:cs="Arial" w:eastAsia="Arial" w:hAnsi="Arial"/>
          <w:sz w:val="18"/>
          <w:szCs w:val="18"/>
          <w:color w:val="auto"/>
        </w:rPr>
        <w:t>their duties, or that the Claimant’s legal rights are being violated with respect to the Plan, the Claimant must file a formal claim, in writing, with the Administrator. This requirement applies to all claims that any Claimant has with respect to the Plan, including claims against fiduciaries and former fiduciaries,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The Administrator shall provide a Claimant, on request, with a copy of the claims procedures established under Section 11.2 hereof.</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Claims Procedure</w:t>
      </w:r>
      <w:r>
        <w:rPr>
          <w:rFonts w:ascii="Arial" w:cs="Arial" w:eastAsia="Arial" w:hAnsi="Arial"/>
          <w:sz w:val="18"/>
          <w:szCs w:val="18"/>
          <w:color w:val="auto"/>
        </w:rPr>
        <w:t xml:space="preserve">. The Administrator has adopted procedures for considering claims (which are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 failed to follow the prescribed procedures with respect to the claim). The right to receive benefits under the Plan is contingent on a Claimant using the prescribed claims and arbitration procedures to resolve any claim.</w:t>
      </w:r>
    </w:p>
    <w:p>
      <w:pPr>
        <w:spacing w:after="0" w:line="186" w:lineRule="exact"/>
        <w:rPr>
          <w:sz w:val="20"/>
          <w:szCs w:val="20"/>
          <w:color w:val="auto"/>
        </w:rPr>
      </w:pPr>
    </w:p>
    <w:p>
      <w:pPr>
        <w:ind w:left="1100" w:hanging="444"/>
        <w:spacing w:after="0"/>
        <w:tabs>
          <w:tab w:leader="none" w:pos="1100"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Covenants.</w:t>
      </w:r>
    </w:p>
    <w:p>
      <w:pPr>
        <w:spacing w:after="0" w:line="24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A Participant’s right to receive and/or retain the Severance Benefits payable under this Plan is conditioned upon and subject to the Participant’s continued compliance with any restrictive covenants (e.g., confidentiality, non-solicitation, non-competition, non-disparagement) contained in any other written agreement between the Participant and the Company, as in effect on the date of the Participant’s CIC Termination, as well as the restrictive covenants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Return of Property</w:t>
      </w:r>
      <w:r>
        <w:rPr>
          <w:rFonts w:ascii="Arial" w:cs="Arial" w:eastAsia="Arial" w:hAnsi="Arial"/>
          <w:sz w:val="20"/>
          <w:szCs w:val="20"/>
          <w:color w:val="auto"/>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spacing w:after="0" w:line="207" w:lineRule="exact"/>
        <w:rPr>
          <w:sz w:val="20"/>
          <w:szCs w:val="20"/>
          <w:color w:val="auto"/>
        </w:rPr>
      </w:pPr>
    </w:p>
    <w:p>
      <w:pPr>
        <w:ind w:left="1100" w:hanging="444"/>
        <w:spacing w:after="0"/>
        <w:tabs>
          <w:tab w:leader="none" w:pos="1100"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Entire Plan; Relation to Other Agreements</w:t>
      </w:r>
      <w:r>
        <w:rPr>
          <w:rFonts w:ascii="Arial" w:cs="Arial" w:eastAsia="Arial" w:hAnsi="Arial"/>
          <w:sz w:val="19"/>
          <w:szCs w:val="19"/>
          <w:color w:val="auto"/>
        </w:rPr>
        <w:t>. The Plan, together with any Participation Notice issued in connection with the Plan, contains the entire understanding of the parties relating to the subject matter hereof and supersedes any prior agreement, arrangement and understanding between any Participant, on the one hand, and the Company and/or any subsidiary, on the other hand, with respect to the subject matter hereof. Severance payable under the Plan is not intended to duplicate any other severance benefits payable to a Participant by the Company. By participating in the Plan and accepting the Severance Benefits hereunder, the Participant acknowledges and agrees that any prior agreement, arrangement and understanding between any Participant, on the one hand, and the Company and/or any subsidiary, on the other hand, with respect to the subject matter hereof is hereby revoked and ineffective with respect to the Participant (including with respect to any severance arrangement contained in an effective employment agreement or employment letter agreement by and between the Participant and the Company (and/or any subsidiary)), but only to the extent such prior agreement, arrangement or understanding provides for severance during the CIC Protection Period. For clarity, to the extent such agreement, arrangement or understanding provides severance protection to the Participant outside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CIC Protection Period, such agreement is not superseded by this Plan and any Participation Notice issued in connection with the Plan.</w:t>
      </w:r>
    </w:p>
    <w:p>
      <w:pPr>
        <w:spacing w:after="0" w:line="2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Participation Notices</w:t>
      </w:r>
      <w:r>
        <w:rPr>
          <w:rFonts w:ascii="Arial" w:cs="Arial" w:eastAsia="Arial" w:hAnsi="Arial"/>
          <w:sz w:val="19"/>
          <w:szCs w:val="19"/>
          <w:color w:val="auto"/>
        </w:rPr>
        <w:t>. The Administrator shall have the authority, in its sole discretion, to select Employees to participate in the Plan and to provide written notice to any such Employee that he or she is a Participant in, and eligible to receive Severance Benefits under, the Plan (a “</w:t>
      </w:r>
      <w:r>
        <w:rPr>
          <w:rFonts w:ascii="Arial" w:cs="Arial" w:eastAsia="Arial" w:hAnsi="Arial"/>
          <w:sz w:val="19"/>
          <w:szCs w:val="19"/>
          <w:u w:val="single" w:color="auto"/>
          <w:color w:val="auto"/>
        </w:rPr>
        <w:t>Participation Notice</w:t>
      </w:r>
      <w:r>
        <w:rPr>
          <w:rFonts w:ascii="Arial" w:cs="Arial" w:eastAsia="Arial" w:hAnsi="Arial"/>
          <w:sz w:val="19"/>
          <w:szCs w:val="19"/>
          <w:color w:val="auto"/>
        </w:rPr>
        <w:t>”) at or any time prior to his or her termination of employment.</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No Right to Continued Service</w:t>
      </w:r>
      <w:r>
        <w:rPr>
          <w:rFonts w:ascii="Arial" w:cs="Arial" w:eastAsia="Arial" w:hAnsi="Arial"/>
          <w:sz w:val="20"/>
          <w:szCs w:val="20"/>
          <w:color w:val="auto"/>
        </w:rPr>
        <w:t>. Nothing contained in the Plan shall (a) confer upon any 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Termination and Amendment of Plan</w:t>
      </w:r>
      <w:r>
        <w:rPr>
          <w:rFonts w:ascii="Arial" w:cs="Arial" w:eastAsia="Arial" w:hAnsi="Arial"/>
          <w:sz w:val="19"/>
          <w:szCs w:val="19"/>
          <w:color w:val="auto"/>
        </w:rPr>
        <w:t>. Prior to the consummation of a Change in Control, the Plan may be amended or terminated by the Administrator at any time and from time to time, in its sole discretion. From and after the consummation of a Change in Control, the Plan may not be amended, modified, suspended or terminated except with the express written consent of each Participant who would be adversely affected by any such amendment, modification, suspension or termination.</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Survival</w:t>
      </w:r>
      <w:r>
        <w:rPr>
          <w:rFonts w:ascii="Arial" w:cs="Arial" w:eastAsia="Arial" w:hAnsi="Arial"/>
          <w:sz w:val="20"/>
          <w:szCs w:val="20"/>
          <w:color w:val="auto"/>
        </w:rPr>
        <w:t>. Section 7 (Limitation on Payments), Section 11 (Claims Procedure; Arbitration) and Section 12 (Covenants) hereof shall survive the termination or expiration of the Plan and shall continue in effect.</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Severance Benefit Obligations</w:t>
      </w:r>
      <w:r>
        <w:rPr>
          <w:rFonts w:ascii="Arial" w:cs="Arial" w:eastAsia="Arial" w:hAnsi="Arial"/>
          <w:sz w:val="20"/>
          <w:szCs w:val="20"/>
          <w:color w:val="auto"/>
        </w:rPr>
        <w:t>. Notwithstanding anything contained herein, Severance Benefits paid or provided under the Plan may be paid or provided by the Company or any subsidiary employer, as applicable.</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authority and the right to deduct and withhold an amount sufficient to satisfy federal, state, local and foreign taxes required by law to be withheld with respect to any Severance Benefits payable under the Plan.</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13.8 </w:t>
      </w:r>
      <w:r>
        <w:rPr>
          <w:rFonts w:ascii="Arial" w:cs="Arial" w:eastAsia="Arial" w:hAnsi="Arial"/>
          <w:sz w:val="20"/>
          <w:szCs w:val="20"/>
          <w:u w:val="single" w:color="auto"/>
          <w:color w:val="auto"/>
        </w:rPr>
        <w:t>Benefits Not Assignable</w:t>
      </w:r>
      <w:r>
        <w:rPr>
          <w:rFonts w:ascii="Arial" w:cs="Arial" w:eastAsia="Arial" w:hAnsi="Arial"/>
          <w:sz w:val="20"/>
          <w:szCs w:val="20"/>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13.9 </w:t>
      </w:r>
      <w:r>
        <w:rPr>
          <w:rFonts w:ascii="Arial" w:cs="Arial" w:eastAsia="Arial" w:hAnsi="Arial"/>
          <w:sz w:val="20"/>
          <w:szCs w:val="20"/>
          <w:u w:val="single" w:color="auto"/>
          <w:color w:val="auto"/>
        </w:rPr>
        <w:t>Applicable Law</w:t>
      </w:r>
      <w:r>
        <w:rPr>
          <w:rFonts w:ascii="Arial" w:cs="Arial" w:eastAsia="Arial" w:hAnsi="Arial"/>
          <w:sz w:val="20"/>
          <w:szCs w:val="20"/>
          <w:color w:val="auto"/>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Delaware, excluding any that mandate the use of another jurisdiction’s laws, will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145" w:name="page146"/>
    <w:bookmarkEnd w:id="145"/>
    <w:p>
      <w:pPr>
        <w:jc w:val="both"/>
        <w:ind w:firstLine="648"/>
        <w:spacing w:after="0" w:line="260" w:lineRule="auto"/>
        <w:rPr>
          <w:sz w:val="20"/>
          <w:szCs w:val="20"/>
          <w:color w:val="auto"/>
        </w:rPr>
      </w:pPr>
      <w:r>
        <w:rPr>
          <w:rFonts w:ascii="Arial" w:cs="Arial" w:eastAsia="Arial" w:hAnsi="Arial"/>
          <w:sz w:val="20"/>
          <w:szCs w:val="20"/>
          <w:color w:val="auto"/>
        </w:rPr>
        <w:t xml:space="preserve">13.10 </w:t>
      </w: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of the Plan shall not affect the validity or enforceability of any other provision of the Plan, which shall remain in full force and effect.</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13.11 </w:t>
      </w:r>
      <w:r>
        <w:rPr>
          <w:rFonts w:ascii="Arial" w:cs="Arial" w:eastAsia="Arial" w:hAnsi="Arial"/>
          <w:sz w:val="20"/>
          <w:szCs w:val="20"/>
          <w:u w:val="single" w:color="auto"/>
          <w:color w:val="auto"/>
        </w:rPr>
        <w:t>Captions</w:t>
      </w:r>
      <w:r>
        <w:rPr>
          <w:rFonts w:ascii="Arial" w:cs="Arial" w:eastAsia="Arial" w:hAnsi="Arial"/>
          <w:sz w:val="20"/>
          <w:szCs w:val="20"/>
          <w:color w:val="auto"/>
        </w:rPr>
        <w:t>. The captions contained in the Plan are for convenience only and shall have no bearing on the meaning, construction or interpretation of the Plan’s provisions.</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13.12</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or its successor, as applicable.</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13.13 </w:t>
      </w:r>
      <w:r>
        <w:rPr>
          <w:rFonts w:ascii="Arial" w:cs="Arial" w:eastAsia="Arial" w:hAnsi="Arial"/>
          <w:sz w:val="19"/>
          <w:szCs w:val="19"/>
          <w:u w:val="single" w:color="auto"/>
          <w:color w:val="auto"/>
        </w:rPr>
        <w:t>Unfunded Plan</w:t>
      </w:r>
      <w:r>
        <w:rPr>
          <w:rFonts w:ascii="Arial" w:cs="Arial" w:eastAsia="Arial" w:hAnsi="Arial"/>
          <w:sz w:val="19"/>
          <w:szCs w:val="19"/>
          <w:color w:val="auto"/>
        </w:rPr>
        <w:t>. The Plan shall be maintained in a manner to be considered “unfunded” for purposes of ERISA. The Company shall be required to make payments only as benefits become due and payable. No person shall have any right, other than 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146" w:name="page147"/>
    <w:bookmarkEnd w:id="146"/>
    <w:p>
      <w:pPr>
        <w:jc w:val="center"/>
        <w:ind w:right="312"/>
        <w:spacing w:after="0"/>
        <w:rPr>
          <w:sz w:val="20"/>
          <w:szCs w:val="20"/>
          <w:color w:val="auto"/>
        </w:rPr>
      </w:pPr>
      <w:r>
        <w:rPr>
          <w:rFonts w:ascii="Arial" w:cs="Arial" w:eastAsia="Arial" w:hAnsi="Arial"/>
          <w:sz w:val="20"/>
          <w:szCs w:val="20"/>
          <w:b w:val="1"/>
          <w:bCs w:val="1"/>
          <w:u w:val="single" w:color="auto"/>
          <w:color w:val="auto"/>
        </w:rPr>
        <w:t>Annex A</w:t>
      </w:r>
    </w:p>
    <w:p>
      <w:pPr>
        <w:spacing w:after="0" w:line="216"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RESTRICTIVE COVENANTS</w:t>
      </w:r>
    </w:p>
    <w:p>
      <w:pPr>
        <w:spacing w:after="0" w:line="222" w:lineRule="exact"/>
        <w:rPr>
          <w:sz w:val="20"/>
          <w:szCs w:val="20"/>
          <w:color w:val="auto"/>
        </w:rPr>
      </w:pPr>
    </w:p>
    <w:p>
      <w:pPr>
        <w:jc w:val="both"/>
        <w:ind w:left="328" w:hanging="328"/>
        <w:spacing w:after="0" w:line="242" w:lineRule="auto"/>
        <w:tabs>
          <w:tab w:leader="none" w:pos="4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Participant shall hold in a fiduciary capacity for the benefit of the Company all secret or confidential information, knowledge or data relating to the Company and its subsidiaries and affiliates, which shall have been obtained by the Participant in connection with the Participant’s employment by the Company and which shall not be or become public knowledge (other than by acts by the Participant or representatives of the Participant in violation of this Annex or Plan). After termination of the Participant’s employment with the Company, the Participant shall not, without the prior written consent of the Company or as may otherwise be required by law or legal process, communicate or divulge any such information, knowledge or data, to anyone other than the Company and those designated by it; provided, however, that if the Participant receives actual notice that the Participant is or may be required by law or legal process to communicate or divulge any such information, knowledge or data, the Participant shall promptly so notify the Company.</w:t>
      </w:r>
    </w:p>
    <w:p>
      <w:pPr>
        <w:spacing w:after="0" w:line="194" w:lineRule="exact"/>
        <w:rPr>
          <w:rFonts w:ascii="Arial" w:cs="Arial" w:eastAsia="Arial" w:hAnsi="Arial"/>
          <w:sz w:val="20"/>
          <w:szCs w:val="20"/>
          <w:color w:val="auto"/>
        </w:rPr>
      </w:pPr>
    </w:p>
    <w:p>
      <w:pPr>
        <w:jc w:val="both"/>
        <w:ind w:left="328" w:hanging="328"/>
        <w:spacing w:after="0" w:line="270" w:lineRule="auto"/>
        <w:tabs>
          <w:tab w:leader="none" w:pos="4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While employed by the Company, the Participant shall not be engaged in any other business activity that would be competitive with the business of the Company and its subsidiaries or affiliates. In addition, while employed by the Company and, for a period of 12 months after the Date of Termination, the Participant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the Participant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 During the Participant's employment with the Company and thereafter, the Participant shall not use any trade secret of the Company or its subsidiaries or affiliates to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Participant shall not initiate discussion with any such person for any such purpose or authorize or knowingly cooperate with the taking of any such actions by any other individual or entity.</w:t>
      </w:r>
    </w:p>
    <w:p>
      <w:pPr>
        <w:spacing w:after="0" w:line="172" w:lineRule="exact"/>
        <w:rPr>
          <w:rFonts w:ascii="Arial" w:cs="Arial" w:eastAsia="Arial" w:hAnsi="Arial"/>
          <w:sz w:val="18"/>
          <w:szCs w:val="18"/>
          <w:color w:val="auto"/>
        </w:rPr>
      </w:pPr>
    </w:p>
    <w:p>
      <w:pPr>
        <w:jc w:val="both"/>
        <w:ind w:left="328" w:hanging="328"/>
        <w:spacing w:after="0" w:line="278" w:lineRule="auto"/>
        <w:tabs>
          <w:tab w:leader="none" w:pos="5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Section (d) of this Annex, during the Participant’s service with the Company and thereafter, excepting any litigation between the parties, the Participant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w:t>
      </w:r>
    </w:p>
    <w:p>
      <w:pPr>
        <w:spacing w:after="0" w:line="164" w:lineRule="exact"/>
        <w:rPr>
          <w:rFonts w:ascii="Arial" w:cs="Arial" w:eastAsia="Arial" w:hAnsi="Arial"/>
          <w:sz w:val="18"/>
          <w:szCs w:val="18"/>
          <w:color w:val="auto"/>
        </w:rPr>
      </w:pPr>
    </w:p>
    <w:p>
      <w:pPr>
        <w:jc w:val="both"/>
        <w:ind w:left="328" w:hanging="328"/>
        <w:spacing w:after="0" w:line="269" w:lineRule="auto"/>
        <w:tabs>
          <w:tab w:leader="none" w:pos="441"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Notwithstanding anything in this Annex or the Plan to the contrary, nothing contained in this Annex or the Plan shall prohibit either party (or either party’s attorney(s)) from (i) filing a charge with, reporting possible violations of federal law or regulation to, participating in any investigation by, or cooperating with the U.S. Securities and Exchange Commission,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Annex A-1</w:t>
      </w:r>
    </w:p>
    <w:p>
      <w:pPr>
        <w:sectPr>
          <w:pgSz w:w="11900" w:h="16838" w:orient="portrait"/>
          <w:cols w:equalWidth="0" w:num="1">
            <w:col w:w="10908"/>
          </w:cols>
          <w:pgMar w:left="652" w:top="1413" w:right="339" w:bottom="1440" w:gutter="0" w:footer="0" w:header="0"/>
        </w:sectPr>
      </w:pPr>
    </w:p>
    <w:bookmarkStart w:id="147" w:name="page148"/>
    <w:bookmarkEnd w:id="147"/>
    <w:p>
      <w:pPr>
        <w:jc w:val="both"/>
        <w:spacing w:after="0" w:line="269" w:lineRule="auto"/>
        <w:rPr>
          <w:sz w:val="20"/>
          <w:szCs w:val="20"/>
          <w:color w:val="auto"/>
        </w:rPr>
      </w:pPr>
      <w:r>
        <w:rPr>
          <w:rFonts w:ascii="Arial" w:cs="Arial" w:eastAsia="Arial" w:hAnsi="Arial"/>
          <w:sz w:val="18"/>
          <w:szCs w:val="18"/>
          <w:color w:val="auto"/>
        </w:rPr>
        <w:t>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Arial" w:cs="Arial" w:eastAsia="Arial" w:hAnsi="Arial"/>
          <w:sz w:val="18"/>
          <w:szCs w:val="18"/>
          <w:u w:val="single" w:color="auto"/>
          <w:color w:val="auto"/>
        </w:rPr>
        <w:t>Government Agencies</w:t>
      </w:r>
      <w:r>
        <w:rPr>
          <w:rFonts w:ascii="Arial" w:cs="Arial" w:eastAsia="Arial" w:hAnsi="Arial"/>
          <w:sz w:val="18"/>
          <w:szCs w:val="18"/>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Participant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Annex or the Plan is intended to or shall preclude either party from providing truthful testimony in response to a valid subpoena, court order, regulatory request or other judicial, administrative or legal process or otherwise as required by law. If the Participant is required to provide testimony, then unless otherwise directed or requested by a Government Agency or law enforcement, the Participant shall notify the Company as soon as reasonably practicable after receiving any such request of the anticipated testimony.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Annex A-2</w:t>
      </w:r>
    </w:p>
    <w:p>
      <w:pPr>
        <w:sectPr>
          <w:pgSz w:w="11900" w:h="16838" w:orient="portrait"/>
          <w:cols w:equalWidth="0" w:num="1">
            <w:col w:w="10580"/>
          </w:cols>
          <w:pgMar w:left="980" w:top="1419" w:right="33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Calculation of Change in control Severance Amounts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Tier</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Cash Salary Severance</w:t>
            </w:r>
          </w:p>
        </w:tc>
        <w:tc>
          <w:tcPr>
            <w:tcW w:w="40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20"/>
                <w:szCs w:val="20"/>
                <w:b w:val="1"/>
                <w:bCs w:val="1"/>
                <w:color w:val="auto"/>
              </w:rPr>
              <w:t>Incentive Compensation Severance</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COBRA Period</w:t>
            </w:r>
          </w:p>
        </w:tc>
        <w:tc>
          <w:tcPr>
            <w:tcW w:w="0" w:type="dxa"/>
            <w:vAlign w:val="bottom"/>
          </w:tcPr>
          <w:p>
            <w:pPr>
              <w:spacing w:after="0"/>
              <w:rPr>
                <w:sz w:val="1"/>
                <w:szCs w:val="1"/>
                <w:color w:val="auto"/>
              </w:rPr>
            </w:pP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2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125% Base Compensation plus Target</w:t>
            </w: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Pro-rata Actual Incentive Compensation (pro-</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w:t>
            </w:r>
          </w:p>
        </w:tc>
        <w:tc>
          <w:tcPr>
            <w:tcW w:w="3580" w:type="dxa"/>
            <w:vAlign w:val="bottom"/>
            <w:tcBorders>
              <w:right w:val="single" w:sz="8" w:color="auto"/>
            </w:tcBorders>
            <w:vMerge w:val="continue"/>
          </w:tcPr>
          <w:p>
            <w:pPr>
              <w:spacing w:after="0"/>
              <w:rPr>
                <w:sz w:val="17"/>
                <w:szCs w:val="17"/>
                <w:color w:val="auto"/>
              </w:rPr>
            </w:pPr>
          </w:p>
        </w:tc>
        <w:tc>
          <w:tcPr>
            <w:tcW w:w="404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0"/>
                <w:szCs w:val="20"/>
                <w:color w:val="auto"/>
                <w:w w:val="90"/>
              </w:rPr>
              <w:t>rated based on the number of days worked during</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15 months</w:t>
            </w: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vMerge w:val="continue"/>
          </w:tcPr>
          <w:p>
            <w:pPr>
              <w:spacing w:after="0"/>
              <w:rPr>
                <w:sz w:val="11"/>
                <w:szCs w:val="11"/>
                <w:color w:val="auto"/>
              </w:rPr>
            </w:pPr>
          </w:p>
        </w:tc>
        <w:tc>
          <w:tcPr>
            <w:tcW w:w="3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Incentive Compensation</w:t>
            </w:r>
          </w:p>
        </w:tc>
        <w:tc>
          <w:tcPr>
            <w:tcW w:w="40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w w:val="91"/>
              </w:rPr>
              <w:t>the year in which the Date of Termination occurs,</w:t>
            </w: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tcBorders>
              <w:left w:val="single" w:sz="8" w:color="auto"/>
              <w:right w:val="single" w:sz="8" w:color="auto"/>
            </w:tcBorders>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4040" w:type="dxa"/>
            <w:vAlign w:val="bottom"/>
            <w:tcBorders>
              <w:right w:val="single" w:sz="8" w:color="auto"/>
            </w:tcBorders>
            <w:vMerge w:val="continue"/>
          </w:tcPr>
          <w:p>
            <w:pPr>
              <w:spacing w:after="0"/>
              <w:rPr>
                <w:sz w:val="11"/>
                <w:szCs w:val="11"/>
                <w:color w:val="auto"/>
              </w:rPr>
            </w:pPr>
          </w:p>
        </w:tc>
        <w:tc>
          <w:tcPr>
            <w:tcW w:w="2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020" w:type="dxa"/>
            <w:vAlign w:val="bottom"/>
            <w:tcBorders>
              <w:left w:val="single" w:sz="8" w:color="auto"/>
              <w:bottom w:val="single" w:sz="8" w:color="auto"/>
              <w:right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spacing w:after="0"/>
              <w:rPr>
                <w:sz w:val="19"/>
                <w:szCs w:val="19"/>
                <w:color w:val="auto"/>
              </w:rPr>
            </w:pPr>
          </w:p>
        </w:tc>
        <w:tc>
          <w:tcPr>
            <w:tcW w:w="4040" w:type="dxa"/>
            <w:vAlign w:val="bottom"/>
            <w:tcBorders>
              <w:right w:val="single" w:sz="8" w:color="auto"/>
            </w:tcBorders>
          </w:tcPr>
          <w:p>
            <w:pPr>
              <w:ind w:left="20"/>
              <w:spacing w:after="0" w:line="219" w:lineRule="exact"/>
              <w:rPr>
                <w:sz w:val="20"/>
                <w:szCs w:val="20"/>
                <w:color w:val="auto"/>
              </w:rPr>
            </w:pPr>
            <w:r>
              <w:rPr>
                <w:rFonts w:ascii="Arial" w:cs="Arial" w:eastAsia="Arial" w:hAnsi="Arial"/>
                <w:sz w:val="20"/>
                <w:szCs w:val="20"/>
                <w:color w:val="auto"/>
                <w:w w:val="90"/>
              </w:rPr>
              <w:t>divided by the total number of days in such year)*</w:t>
            </w: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 Base Compensation plus Target</w:t>
            </w:r>
          </w:p>
        </w:tc>
        <w:tc>
          <w:tcPr>
            <w:tcW w:w="4040" w:type="dxa"/>
            <w:vAlign w:val="bottom"/>
            <w:tcBorders>
              <w:right w:val="single" w:sz="8" w:color="auto"/>
            </w:tcBorders>
          </w:tcPr>
          <w:p>
            <w:pPr>
              <w:spacing w:after="0"/>
              <w:rPr>
                <w:sz w:val="20"/>
                <w:szCs w:val="20"/>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12 months</w:t>
            </w:r>
          </w:p>
        </w:tc>
        <w:tc>
          <w:tcPr>
            <w:tcW w:w="0" w:type="dxa"/>
            <w:vAlign w:val="bottom"/>
          </w:tcPr>
          <w:p>
            <w:pPr>
              <w:spacing w:after="0"/>
              <w:rPr>
                <w:sz w:val="1"/>
                <w:szCs w:val="1"/>
                <w:color w:val="auto"/>
              </w:rPr>
            </w:pPr>
          </w:p>
        </w:tc>
      </w:tr>
      <w:tr>
        <w:trPr>
          <w:trHeight w:val="129"/>
        </w:trPr>
        <w:tc>
          <w:tcPr>
            <w:tcW w:w="1020" w:type="dxa"/>
            <w:vAlign w:val="bottom"/>
            <w:tcBorders>
              <w:left w:val="single" w:sz="8" w:color="auto"/>
              <w:right w:val="single" w:sz="8" w:color="auto"/>
            </w:tcBorders>
            <w:vMerge w:val="continue"/>
          </w:tcPr>
          <w:p>
            <w:pPr>
              <w:spacing w:after="0"/>
              <w:rPr>
                <w:sz w:val="11"/>
                <w:szCs w:val="11"/>
                <w:color w:val="auto"/>
              </w:rPr>
            </w:pPr>
          </w:p>
        </w:tc>
        <w:tc>
          <w:tcPr>
            <w:tcW w:w="3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Incentive Compensation</w:t>
            </w:r>
          </w:p>
        </w:tc>
        <w:tc>
          <w:tcPr>
            <w:tcW w:w="4040" w:type="dxa"/>
            <w:vAlign w:val="bottom"/>
            <w:tcBorders>
              <w:right w:val="single" w:sz="8" w:color="auto"/>
            </w:tcBorders>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3580" w:type="dxa"/>
            <w:vAlign w:val="bottom"/>
            <w:tcBorders>
              <w:right w:val="single" w:sz="8" w:color="auto"/>
            </w:tcBorders>
            <w:vMerge w:val="continue"/>
          </w:tcPr>
          <w:p>
            <w:pPr>
              <w:spacing w:after="0"/>
              <w:rPr>
                <w:sz w:val="10"/>
                <w:szCs w:val="10"/>
                <w:color w:val="auto"/>
              </w:rPr>
            </w:pPr>
          </w:p>
        </w:tc>
        <w:tc>
          <w:tcPr>
            <w:tcW w:w="4040" w:type="dxa"/>
            <w:vAlign w:val="bottom"/>
            <w:tcBorders>
              <w:right w:val="single" w:sz="8" w:color="auto"/>
            </w:tcBorders>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8"/>
        <w:spacing w:after="0" w:line="260" w:lineRule="auto"/>
        <w:tabs>
          <w:tab w:leader="none" w:pos="148" w:val="left"/>
        </w:tabs>
        <w:numPr>
          <w:ilvl w:val="0"/>
          <w:numId w:val="62"/>
        </w:numPr>
        <w:rPr>
          <w:rFonts w:ascii="Arial" w:cs="Arial" w:eastAsia="Arial" w:hAnsi="Arial"/>
          <w:sz w:val="20"/>
          <w:szCs w:val="20"/>
          <w:color w:val="auto"/>
        </w:rPr>
      </w:pPr>
      <w:r>
        <w:rPr>
          <w:rFonts w:ascii="Arial" w:cs="Arial" w:eastAsia="Arial" w:hAnsi="Arial"/>
          <w:sz w:val="20"/>
          <w:szCs w:val="20"/>
          <w:color w:val="auto"/>
        </w:rPr>
        <w:t>Payable on the date on which annual bonuses are generally paid (but no later than March 15 of the year following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 A-1</w:t>
      </w:r>
    </w:p>
    <w:p>
      <w:pPr>
        <w:sectPr>
          <w:pgSz w:w="11900" w:h="16838" w:orient="portrait"/>
          <w:cols w:equalWidth="0" w:num="1">
            <w:col w:w="11200"/>
          </w:cols>
          <w:pgMar w:left="320" w:top="1413" w:right="37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RELEASE</w:t>
      </w:r>
    </w:p>
    <w:p>
      <w:pPr>
        <w:spacing w:after="0" w:line="249" w:lineRule="exact"/>
        <w:rPr>
          <w:sz w:val="20"/>
          <w:szCs w:val="20"/>
          <w:color w:val="auto"/>
        </w:rPr>
      </w:pPr>
    </w:p>
    <w:p>
      <w:pPr>
        <w:jc w:val="both"/>
        <w:ind w:firstLine="656"/>
        <w:spacing w:after="0" w:line="269" w:lineRule="auto"/>
        <w:tabs>
          <w:tab w:leader="none" w:pos="10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For valuable consideration, including the payments or benefits under Section 4 of the Exagen Inc. Executive Change in Control Severance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the receipt and adequacy of which are hereby acknowledged, the undersigned does hereby release and forever discharge the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hereunder, consisting of Exagen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w:t>
      </w:r>
    </w:p>
    <w:p>
      <w:pPr>
        <w:spacing w:after="0" w:line="181" w:lineRule="exact"/>
        <w:rPr>
          <w:rFonts w:ascii="Arial" w:cs="Arial" w:eastAsia="Arial" w:hAnsi="Arial"/>
          <w:sz w:val="18"/>
          <w:szCs w:val="18"/>
          <w:color w:val="auto"/>
        </w:rPr>
      </w:pPr>
    </w:p>
    <w:p>
      <w:pPr>
        <w:jc w:val="both"/>
        <w:ind w:firstLine="656"/>
        <w:spacing w:after="0" w:line="256" w:lineRule="auto"/>
        <w:tabs>
          <w:tab w:leader="none" w:pos="102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Claims Not Released</w:t>
      </w:r>
      <w:r>
        <w:rPr>
          <w:rFonts w:ascii="Arial" w:cs="Arial" w:eastAsia="Arial" w:hAnsi="Arial"/>
          <w:sz w:val="19"/>
          <w:szCs w:val="19"/>
          <w:color w:val="auto"/>
        </w:rPr>
        <w:t>. Notwithstanding the foregoing, this general release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shall not operate to release any rights or claims of the undersigned (i) to payments or benefits under Section 4 of the Severance Plan, with respect to the payments and benefits provided in exchange for this Release, (ii) to payments or benefits under any equity award agreement between the undersigned and the Company, (iii) to accrued or vested benefits the undersigned may have, if any, as of the date hereof under any applicable plan, policy, practice, program, contract or agreement with the Company, (iv) to any Claims, including claims for indemnification and/or advancement of expenses arising under any indemnification agreement between the undersigned and the Company or under the bylaws, certificate of incorporation or other similar governing document of the Company, (v) to any Claims which cannot be waived by an employee under applicable law or (vi) with respect to the undersigned’s right to communicate directly with, cooperate with, or provide information to, any federal, state or local government regulator.</w:t>
      </w:r>
    </w:p>
    <w:p>
      <w:pPr>
        <w:spacing w:after="0" w:line="184" w:lineRule="exact"/>
        <w:rPr>
          <w:rFonts w:ascii="Arial" w:cs="Arial" w:eastAsia="Arial" w:hAnsi="Arial"/>
          <w:sz w:val="19"/>
          <w:szCs w:val="19"/>
          <w:color w:val="auto"/>
        </w:rPr>
      </w:pPr>
    </w:p>
    <w:p>
      <w:pPr>
        <w:ind w:left="1000" w:hanging="344"/>
        <w:spacing w:after="0"/>
        <w:tabs>
          <w:tab w:leader="none" w:pos="100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Unknown Claims</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UNDERSIGNED ACKNOWLEDGES THAT THE UNDERSIGNED HAS BEEN ADVISED BY LEGAL COUNSEL AND IS FAMILIAR WITH THE PROVISIONS OF CALIFORNIA CIVIL CODE SECTION 1542, WHICH PROVIDES AS FOLLOWS:</w:t>
      </w:r>
    </w:p>
    <w:p>
      <w:pPr>
        <w:spacing w:after="0" w:line="152" w:lineRule="exact"/>
        <w:rPr>
          <w:sz w:val="20"/>
          <w:szCs w:val="20"/>
          <w:color w:val="auto"/>
        </w:rPr>
      </w:pPr>
    </w:p>
    <w:p>
      <w:pPr>
        <w:jc w:val="both"/>
        <w:ind w:left="660" w:right="640" w:firstLine="648"/>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B-1</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0"/>
          <w:szCs w:val="20"/>
          <w:color w:val="auto"/>
        </w:rPr>
        <w:t>THE UNDERSIGNED, BEING AWARE OF SAID CODE SECTION, HEREBY EXPRESSLY WAIVES ANY RIGHTS THE UNDERSIGNED MAY HAVE THEREUNDER, AS WELL AS UNDER ANY OTHER STATUTES OR COMMON LAW PRINCIPLES OF SIMILAR EFFECT.</w:t>
      </w:r>
    </w:p>
    <w:p>
      <w:pPr>
        <w:spacing w:after="0" w:line="186" w:lineRule="exact"/>
        <w:rPr>
          <w:sz w:val="20"/>
          <w:szCs w:val="20"/>
          <w:color w:val="auto"/>
        </w:rPr>
      </w:pPr>
    </w:p>
    <w:p>
      <w:pPr>
        <w:jc w:val="both"/>
        <w:ind w:firstLine="656"/>
        <w:spacing w:after="0" w:line="271" w:lineRule="auto"/>
        <w:tabs>
          <w:tab w:leader="none" w:pos="112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undersigned’s attorney or in a sealed complaint or other document filed in a lawsuit or other governmental proceeding. Pursuant to 18 USC Section 1833(b),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69" w:lineRule="exact"/>
        <w:rPr>
          <w:rFonts w:ascii="Arial" w:cs="Arial" w:eastAsia="Arial" w:hAnsi="Arial"/>
          <w:sz w:val="18"/>
          <w:szCs w:val="18"/>
          <w:color w:val="auto"/>
        </w:rPr>
      </w:pPr>
    </w:p>
    <w:p>
      <w:pPr>
        <w:jc w:val="both"/>
        <w:ind w:firstLine="656"/>
        <w:spacing w:after="0" w:line="243" w:lineRule="auto"/>
        <w:tabs>
          <w:tab w:leader="none" w:pos="102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95" w:lineRule="exact"/>
        <w:rPr>
          <w:rFonts w:ascii="Arial" w:cs="Arial" w:eastAsia="Arial" w:hAnsi="Arial"/>
          <w:sz w:val="20"/>
          <w:szCs w:val="20"/>
          <w:color w:val="auto"/>
        </w:rPr>
      </w:pPr>
    </w:p>
    <w:p>
      <w:pPr>
        <w:jc w:val="both"/>
        <w:ind w:firstLine="656"/>
        <w:spacing w:after="0" w:line="263" w:lineRule="auto"/>
        <w:tabs>
          <w:tab w:leader="none" w:pos="102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76" w:lineRule="exact"/>
        <w:rPr>
          <w:rFonts w:ascii="Arial" w:cs="Arial" w:eastAsia="Arial" w:hAnsi="Arial"/>
          <w:sz w:val="19"/>
          <w:szCs w:val="19"/>
          <w:color w:val="auto"/>
        </w:rPr>
      </w:pPr>
    </w:p>
    <w:p>
      <w:pPr>
        <w:jc w:val="both"/>
        <w:ind w:firstLine="656"/>
        <w:spacing w:after="0" w:line="250" w:lineRule="auto"/>
        <w:tabs>
          <w:tab w:leader="none" w:pos="994"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 Admission</w:t>
      </w:r>
      <w:r>
        <w:rPr>
          <w:rFonts w:ascii="Arial" w:cs="Arial" w:eastAsia="Arial" w:hAnsi="Arial"/>
          <w:sz w:val="20"/>
          <w:szCs w:val="20"/>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85" w:lineRule="exact"/>
        <w:rPr>
          <w:rFonts w:ascii="Arial" w:cs="Arial" w:eastAsia="Arial" w:hAnsi="Arial"/>
          <w:sz w:val="20"/>
          <w:szCs w:val="20"/>
          <w:color w:val="auto"/>
        </w:rPr>
      </w:pPr>
    </w:p>
    <w:p>
      <w:pPr>
        <w:jc w:val="both"/>
        <w:ind w:firstLine="656"/>
        <w:spacing w:after="0" w:line="263" w:lineRule="auto"/>
        <w:tabs>
          <w:tab w:leader="none" w:pos="99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OWBPA</w:t>
      </w:r>
      <w:r>
        <w:rPr>
          <w:rFonts w:ascii="Arial" w:cs="Arial" w:eastAsia="Arial" w:hAnsi="Arial"/>
          <w:sz w:val="19"/>
          <w:szCs w:val="19"/>
          <w:color w:val="auto"/>
        </w:rPr>
        <w:t>. The undersigned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B-2</w:t>
      </w:r>
    </w:p>
    <w:p>
      <w:pPr>
        <w:sectPr>
          <w:pgSz w:w="11900" w:h="16838" w:orient="portrait"/>
          <w:cols w:equalWidth="0" w:num="1">
            <w:col w:w="11240"/>
          </w:cols>
          <w:pgMar w:left="320" w:top="1419" w:right="339" w:bottom="1440" w:gutter="0" w:footer="0" w:header="0"/>
        </w:sectPr>
      </w:pPr>
    </w:p>
    <w:bookmarkStart w:id="151" w:name="page152"/>
    <w:bookmarkEnd w:id="151"/>
    <w:p>
      <w:pPr>
        <w:jc w:val="both"/>
        <w:ind w:left="1292" w:hanging="320"/>
        <w:spacing w:after="0" w:line="250" w:lineRule="auto"/>
        <w:tabs>
          <w:tab w:leader="none" w:pos="148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185" w:lineRule="exact"/>
        <w:rPr>
          <w:rFonts w:ascii="Arial" w:cs="Arial" w:eastAsia="Arial" w:hAnsi="Arial"/>
          <w:sz w:val="20"/>
          <w:szCs w:val="20"/>
          <w:color w:val="auto"/>
        </w:rPr>
      </w:pPr>
    </w:p>
    <w:p>
      <w:pPr>
        <w:jc w:val="both"/>
        <w:ind w:left="1292" w:hanging="320"/>
        <w:spacing w:after="0" w:line="269" w:lineRule="auto"/>
        <w:tabs>
          <w:tab w:leader="none" w:pos="1437"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169" w:lineRule="exact"/>
        <w:rPr>
          <w:rFonts w:ascii="Arial" w:cs="Arial" w:eastAsia="Arial" w:hAnsi="Arial"/>
          <w:sz w:val="19"/>
          <w:szCs w:val="19"/>
          <w:color w:val="auto"/>
        </w:rPr>
      </w:pPr>
    </w:p>
    <w:p>
      <w:pPr>
        <w:jc w:val="both"/>
        <w:ind w:left="1292" w:hanging="320"/>
        <w:spacing w:after="0" w:line="269" w:lineRule="auto"/>
        <w:tabs>
          <w:tab w:leader="none" w:pos="1552"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69" w:lineRule="exact"/>
        <w:rPr>
          <w:rFonts w:ascii="Arial" w:cs="Arial" w:eastAsia="Arial" w:hAnsi="Arial"/>
          <w:sz w:val="19"/>
          <w:szCs w:val="19"/>
          <w:color w:val="auto"/>
        </w:rPr>
      </w:pPr>
    </w:p>
    <w:p>
      <w:pPr>
        <w:ind w:left="1452" w:hanging="480"/>
        <w:spacing w:after="0"/>
        <w:tabs>
          <w:tab w:leader="none" w:pos="145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Company advises the undersigned to consult with an attorney prior to executing this Release;</w:t>
      </w:r>
    </w:p>
    <w:p>
      <w:pPr>
        <w:spacing w:after="0" w:line="215" w:lineRule="exact"/>
        <w:rPr>
          <w:rFonts w:ascii="Arial" w:cs="Arial" w:eastAsia="Arial" w:hAnsi="Arial"/>
          <w:sz w:val="20"/>
          <w:szCs w:val="20"/>
          <w:color w:val="auto"/>
        </w:rPr>
      </w:pPr>
    </w:p>
    <w:p>
      <w:pPr>
        <w:jc w:val="both"/>
        <w:ind w:left="1292" w:hanging="320"/>
        <w:spacing w:after="0" w:line="263" w:lineRule="auto"/>
        <w:tabs>
          <w:tab w:leader="none" w:pos="1485"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undersigned has been given at least [21]</w:t>
      </w:r>
      <w:r>
        <w:rPr>
          <w:rFonts w:ascii="Arial" w:cs="Arial" w:eastAsia="Arial" w:hAnsi="Arial"/>
          <w:sz w:val="9"/>
          <w:szCs w:val="9"/>
          <w:color w:val="auto"/>
        </w:rPr>
        <w:t>1</w:t>
      </w:r>
      <w:r>
        <w:rPr>
          <w:rFonts w:ascii="Arial" w:cs="Arial" w:eastAsia="Arial" w:hAnsi="Arial"/>
          <w:sz w:val="19"/>
          <w:szCs w:val="19"/>
          <w:color w:val="auto"/>
        </w:rPr>
        <w:t xml:space="preserve">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176" w:lineRule="exact"/>
        <w:rPr>
          <w:rFonts w:ascii="Arial" w:cs="Arial" w:eastAsia="Arial" w:hAnsi="Arial"/>
          <w:sz w:val="19"/>
          <w:szCs w:val="19"/>
          <w:color w:val="auto"/>
        </w:rPr>
      </w:pPr>
    </w:p>
    <w:p>
      <w:pPr>
        <w:jc w:val="both"/>
        <w:ind w:left="1292" w:hanging="320"/>
        <w:spacing w:after="0" w:line="257" w:lineRule="auto"/>
        <w:tabs>
          <w:tab w:leader="none" w:pos="1547"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undersigned may revoke this Release within seven days from the date the undersigned signs this Release and this Release will become effective upon the expiration of that revocation period if the undersigned has not revoked this Release during such seven-day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w:t>
      </w:r>
      <w:r>
        <w:rPr>
          <w:rFonts w:ascii="Arial" w:cs="Arial" w:eastAsia="Arial" w:hAnsi="Arial"/>
          <w:sz w:val="19"/>
          <w:szCs w:val="19"/>
          <w:i w:val="1"/>
          <w:iCs w:val="1"/>
          <w:color w:val="auto"/>
        </w:rPr>
        <w:t>name</w:t>
      </w:r>
      <w:r>
        <w:rPr>
          <w:rFonts w:ascii="Arial" w:cs="Arial" w:eastAsia="Arial" w:hAnsi="Arial"/>
          <w:sz w:val="19"/>
          <w:szCs w:val="19"/>
          <w:color w:val="auto"/>
        </w:rPr>
        <w:t>], via electronic mail at [</w:t>
      </w:r>
      <w:r>
        <w:rPr>
          <w:rFonts w:ascii="Arial" w:cs="Arial" w:eastAsia="Arial" w:hAnsi="Arial"/>
          <w:sz w:val="19"/>
          <w:szCs w:val="19"/>
          <w:i w:val="1"/>
          <w:iCs w:val="1"/>
          <w:color w:val="auto"/>
        </w:rPr>
        <w:t>email address</w:t>
      </w:r>
      <w:r>
        <w:rPr>
          <w:rFonts w:ascii="Arial" w:cs="Arial" w:eastAsia="Arial" w:hAnsi="Arial"/>
          <w:sz w:val="19"/>
          <w:szCs w:val="19"/>
          <w:color w:val="auto"/>
        </w:rPr>
        <w:t>], on or before [5:00 p.m. Pacific time] on the seventh day after this Release is executed by the undersigned.</w:t>
      </w:r>
    </w:p>
    <w:p>
      <w:pPr>
        <w:spacing w:after="0" w:line="185" w:lineRule="exact"/>
        <w:rPr>
          <w:sz w:val="20"/>
          <w:szCs w:val="20"/>
          <w:color w:val="auto"/>
        </w:rPr>
      </w:pPr>
    </w:p>
    <w:p>
      <w:pPr>
        <w:ind w:left="-8" w:firstLine="656"/>
        <w:spacing w:after="0" w:line="287" w:lineRule="auto"/>
        <w:tabs>
          <w:tab w:leader="none" w:pos="100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Release is deemed made and entered into in the State of California, and in all respects shall be interpreted, enforced and governed under the internal laws of the State of California, to the extent not preempted by federal law.</w:t>
      </w:r>
    </w:p>
    <w:p>
      <w:pPr>
        <w:spacing w:after="0" w:line="152"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IN WITNESS WHEREOF, the undersigned has executed this Release this ____ day of ___________,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421640</wp:posOffset>
            </wp:positionV>
            <wp:extent cx="7854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2"/>
        <w:spacing w:after="0"/>
        <w:rPr>
          <w:sz w:val="20"/>
          <w:szCs w:val="20"/>
          <w:color w:val="auto"/>
        </w:rPr>
      </w:pPr>
      <w:r>
        <w:rPr>
          <w:rFonts w:ascii="Arial" w:cs="Arial" w:eastAsia="Arial" w:hAnsi="Arial"/>
          <w:sz w:val="20"/>
          <w:szCs w:val="20"/>
          <w:color w:val="auto"/>
        </w:rPr>
        <w:t>[______]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1714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2" w:hanging="112"/>
        <w:spacing w:after="0"/>
        <w:tabs>
          <w:tab w:leader="none" w:pos="112"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NTD: Use 45 days in a group termination, and include information regarding terminated positions.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06" w:lineRule="exact"/>
        <w:rPr>
          <w:rFonts w:ascii="Arial" w:cs="Arial" w:eastAsia="Arial" w:hAnsi="Arial"/>
          <w:sz w:val="23"/>
          <w:szCs w:val="23"/>
          <w:color w:val="auto"/>
          <w:vertAlign w:val="superscript"/>
        </w:rPr>
      </w:pPr>
    </w:p>
    <w:p>
      <w:pPr>
        <w:ind w:left="5252"/>
        <w:spacing w:after="0"/>
        <w:rPr>
          <w:rFonts w:ascii="Arial" w:cs="Arial" w:eastAsia="Arial" w:hAnsi="Arial"/>
          <w:sz w:val="23"/>
          <w:szCs w:val="23"/>
          <w:color w:val="auto"/>
          <w:vertAlign w:val="superscript"/>
        </w:rPr>
      </w:pPr>
      <w:r>
        <w:rPr>
          <w:rFonts w:ascii="Arial" w:cs="Arial" w:eastAsia="Arial" w:hAnsi="Arial"/>
          <w:sz w:val="20"/>
          <w:szCs w:val="20"/>
          <w:color w:val="auto"/>
        </w:rPr>
        <w:t>Exh. B-3</w:t>
      </w:r>
    </w:p>
    <w:p>
      <w:pPr>
        <w:sectPr>
          <w:pgSz w:w="11900" w:h="16838" w:orient="portrait"/>
          <w:cols w:equalWidth="0" w:num="1">
            <w:col w:w="11232"/>
          </w:cols>
          <w:pgMar w:left="328" w:top="1419" w:right="3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Detailed Claims Procedures</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Claim Procedure</w:t>
      </w:r>
      <w:r>
        <w:rPr>
          <w:rFonts w:ascii="Arial" w:cs="Arial" w:eastAsia="Arial" w:hAnsi="Arial"/>
          <w:sz w:val="20"/>
          <w:szCs w:val="20"/>
          <w:color w:val="auto"/>
        </w:rPr>
        <w:t>. Claims for benefits under the Plan shall be administered in accordance with Section 503 of ERISA and the Department of Labor Regulations thereunder. The Administrator shall have the right to delegate its duties under this Exhibit and all references to the Administrator shall be a reference to any such delegate, as well. The Administrator shall make all determinations as to the rights of any Participant, beneficiary, alternate payee or other person who makes a claim for benefits under the Plan (each, a “</w:t>
      </w:r>
      <w:r>
        <w:rPr>
          <w:rFonts w:ascii="Arial" w:cs="Arial" w:eastAsia="Arial" w:hAnsi="Arial"/>
          <w:sz w:val="20"/>
          <w:szCs w:val="20"/>
          <w:u w:val="single" w:color="auto"/>
          <w:color w:val="auto"/>
        </w:rPr>
        <w:t>Claimant</w:t>
      </w:r>
      <w:r>
        <w:rPr>
          <w:rFonts w:ascii="Arial" w:cs="Arial" w:eastAsia="Arial" w:hAnsi="Arial"/>
          <w:sz w:val="20"/>
          <w:szCs w:val="20"/>
          <w:color w:val="auto"/>
        </w:rPr>
        <w:t>”). A Claimant may authorize a representative to act on his or her behalf with respect to any claim under the Plan. A Claimant who asserts a right to any benefit under the Plan he or she has not received, in whole or in part, must file a written claim with the Administrator. All written claims shall be submitted to [____].</w:t>
      </w:r>
    </w:p>
    <w:p>
      <w:pPr>
        <w:spacing w:after="0" w:line="220"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Regular Claims Procedure</w:t>
      </w:r>
      <w:r>
        <w:rPr>
          <w:rFonts w:ascii="Arial" w:cs="Arial" w:eastAsia="Arial" w:hAnsi="Arial"/>
          <w:sz w:val="20"/>
          <w:szCs w:val="20"/>
          <w:color w:val="auto"/>
        </w:rPr>
        <w:t>. The claims procedure in this subsection (a) shall apply to all claims for Plan benefits.</w:t>
      </w:r>
    </w:p>
    <w:p>
      <w:pPr>
        <w:spacing w:after="0" w:line="242" w:lineRule="exact"/>
        <w:rPr>
          <w:rFonts w:ascii="Arial" w:cs="Arial" w:eastAsia="Arial" w:hAnsi="Arial"/>
          <w:sz w:val="20"/>
          <w:szCs w:val="20"/>
          <w:color w:val="auto"/>
        </w:rPr>
      </w:pPr>
    </w:p>
    <w:p>
      <w:pPr>
        <w:jc w:val="both"/>
        <w:ind w:firstLine="1304"/>
        <w:spacing w:after="0" w:line="243" w:lineRule="auto"/>
        <w:tabs>
          <w:tab w:leader="none" w:pos="1738"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Timing of Denial</w:t>
      </w:r>
      <w:r>
        <w:rPr>
          <w:rFonts w:ascii="Arial" w:cs="Arial" w:eastAsia="Arial" w:hAnsi="Arial"/>
          <w:sz w:val="20"/>
          <w:szCs w:val="20"/>
          <w:color w:val="auto"/>
        </w:rPr>
        <w:t>. If the Administrator denies a claim in whole or in part (an “</w:t>
      </w:r>
      <w:r>
        <w:rPr>
          <w:rFonts w:ascii="Arial" w:cs="Arial" w:eastAsia="Arial" w:hAnsi="Arial"/>
          <w:sz w:val="20"/>
          <w:szCs w:val="20"/>
          <w:u w:val="single" w:color="auto"/>
          <w:color w:val="auto"/>
        </w:rPr>
        <w:t>adverse benefit determination</w:t>
      </w:r>
      <w:r>
        <w:rPr>
          <w:rFonts w:ascii="Arial" w:cs="Arial" w:eastAsia="Arial" w:hAnsi="Arial"/>
          <w:sz w:val="20"/>
          <w:szCs w:val="20"/>
          <w:color w:val="auto"/>
        </w:rPr>
        <w:t>”), then the Administrator will provide notice of the decision to the Claimant within a reasonable period of time, not to exceed 90 days after the Administrator receives the claim, unless the Administrator determines that an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spacing w:after="0" w:line="219" w:lineRule="exact"/>
        <w:rPr>
          <w:rFonts w:ascii="Arial" w:cs="Arial" w:eastAsia="Arial" w:hAnsi="Arial"/>
          <w:sz w:val="20"/>
          <w:szCs w:val="20"/>
          <w:color w:val="auto"/>
        </w:rPr>
      </w:pPr>
    </w:p>
    <w:p>
      <w:pPr>
        <w:ind w:right="20" w:firstLine="1304"/>
        <w:spacing w:after="0" w:line="260" w:lineRule="auto"/>
        <w:tabs>
          <w:tab w:leader="none" w:pos="1792"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Denial Notice</w:t>
      </w:r>
      <w:r>
        <w:rPr>
          <w:rFonts w:ascii="Arial" w:cs="Arial" w:eastAsia="Arial" w:hAnsi="Arial"/>
          <w:sz w:val="20"/>
          <w:szCs w:val="20"/>
          <w:color w:val="auto"/>
        </w:rPr>
        <w:t>. The Administrator shall provide every Claimant who is denied a claim for benefits with a written or electronic notice of its decision. The notice will set forth, in a manner to be understood by the Claimant:</w:t>
      </w:r>
    </w:p>
    <w:p>
      <w:pPr>
        <w:spacing w:after="0" w:line="203" w:lineRule="exact"/>
        <w:rPr>
          <w:rFonts w:ascii="Arial" w:cs="Arial" w:eastAsia="Arial" w:hAnsi="Arial"/>
          <w:sz w:val="20"/>
          <w:szCs w:val="20"/>
          <w:color w:val="auto"/>
        </w:rPr>
      </w:pPr>
    </w:p>
    <w:p>
      <w:pPr>
        <w:ind w:left="2340" w:hanging="388"/>
        <w:spacing w:after="0"/>
        <w:tabs>
          <w:tab w:leader="none" w:pos="2340" w:val="left"/>
        </w:tabs>
        <w:numPr>
          <w:ilvl w:val="2"/>
          <w:numId w:val="68"/>
        </w:numPr>
        <w:rPr>
          <w:rFonts w:ascii="Arial" w:cs="Arial" w:eastAsia="Arial" w:hAnsi="Arial"/>
          <w:sz w:val="20"/>
          <w:szCs w:val="20"/>
          <w:color w:val="auto"/>
        </w:rPr>
      </w:pPr>
      <w:r>
        <w:rPr>
          <w:rFonts w:ascii="Arial" w:cs="Arial" w:eastAsia="Arial" w:hAnsi="Arial"/>
          <w:sz w:val="20"/>
          <w:szCs w:val="20"/>
          <w:color w:val="auto"/>
        </w:rPr>
        <w:t>the specific reason or reasons for the adverse benefit determination;</w:t>
      </w:r>
    </w:p>
    <w:p>
      <w:pPr>
        <w:spacing w:after="0" w:line="242" w:lineRule="exact"/>
        <w:rPr>
          <w:rFonts w:ascii="Arial" w:cs="Arial" w:eastAsia="Arial" w:hAnsi="Arial"/>
          <w:sz w:val="20"/>
          <w:szCs w:val="20"/>
          <w:color w:val="auto"/>
        </w:rPr>
      </w:pPr>
    </w:p>
    <w:p>
      <w:pPr>
        <w:ind w:left="2400" w:hanging="448"/>
        <w:spacing w:after="0"/>
        <w:tabs>
          <w:tab w:leader="none" w:pos="2400" w:val="left"/>
        </w:tabs>
        <w:numPr>
          <w:ilvl w:val="2"/>
          <w:numId w:val="68"/>
        </w:numPr>
        <w:rPr>
          <w:rFonts w:ascii="Arial" w:cs="Arial" w:eastAsia="Arial" w:hAnsi="Arial"/>
          <w:sz w:val="20"/>
          <w:szCs w:val="20"/>
          <w:color w:val="auto"/>
        </w:rPr>
      </w:pPr>
      <w:r>
        <w:rPr>
          <w:rFonts w:ascii="Arial" w:cs="Arial" w:eastAsia="Arial" w:hAnsi="Arial"/>
          <w:sz w:val="20"/>
          <w:szCs w:val="20"/>
          <w:color w:val="auto"/>
        </w:rPr>
        <w:t>reference to the specific Plan provisions on which the determination is based;</w:t>
      </w:r>
    </w:p>
    <w:p>
      <w:pPr>
        <w:spacing w:after="0" w:line="242" w:lineRule="exact"/>
        <w:rPr>
          <w:rFonts w:ascii="Arial" w:cs="Arial" w:eastAsia="Arial" w:hAnsi="Arial"/>
          <w:sz w:val="20"/>
          <w:szCs w:val="20"/>
          <w:color w:val="auto"/>
        </w:rPr>
      </w:pPr>
    </w:p>
    <w:p>
      <w:pPr>
        <w:ind w:left="2600" w:right="20" w:hanging="648"/>
        <w:spacing w:after="0" w:line="260" w:lineRule="auto"/>
        <w:tabs>
          <w:tab w:leader="none" w:pos="2477" w:val="left"/>
        </w:tabs>
        <w:numPr>
          <w:ilvl w:val="2"/>
          <w:numId w:val="68"/>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necessary for the Claimant to perfect the claim and an explanation as to why such information is necessary; and</w:t>
      </w:r>
    </w:p>
    <w:p>
      <w:pPr>
        <w:spacing w:after="0" w:line="203" w:lineRule="exact"/>
        <w:rPr>
          <w:rFonts w:ascii="Arial" w:cs="Arial" w:eastAsia="Arial" w:hAnsi="Arial"/>
          <w:sz w:val="20"/>
          <w:szCs w:val="20"/>
          <w:color w:val="auto"/>
        </w:rPr>
      </w:pPr>
    </w:p>
    <w:p>
      <w:pPr>
        <w:ind w:left="2600" w:hanging="648"/>
        <w:spacing w:after="0" w:line="250" w:lineRule="auto"/>
        <w:tabs>
          <w:tab w:leader="none" w:pos="2492" w:val="left"/>
        </w:tabs>
        <w:numPr>
          <w:ilvl w:val="2"/>
          <w:numId w:val="68"/>
        </w:numPr>
        <w:rPr>
          <w:rFonts w:ascii="Arial" w:cs="Arial" w:eastAsia="Arial" w:hAnsi="Arial"/>
          <w:sz w:val="20"/>
          <w:szCs w:val="20"/>
          <w:color w:val="auto"/>
        </w:rPr>
      </w:pPr>
      <w:r>
        <w:rPr>
          <w:rFonts w:ascii="Arial" w:cs="Arial" w:eastAsia="Arial" w:hAnsi="Arial"/>
          <w:sz w:val="20"/>
          <w:szCs w:val="20"/>
          <w:color w:val="auto"/>
        </w:rPr>
        <w:t>an explanation of the Plan’s appeal procedure and the time limits applicable to such procedures, including a statement of the Claimant’s right to bring an action under Section 502(a) of ERISA after receiving a final adverse benefit determination upon appeal.</w:t>
      </w:r>
    </w:p>
    <w:p>
      <w:pPr>
        <w:spacing w:after="0" w:line="213" w:lineRule="exact"/>
        <w:rPr>
          <w:sz w:val="20"/>
          <w:szCs w:val="20"/>
          <w:color w:val="auto"/>
        </w:rPr>
      </w:pPr>
    </w:p>
    <w:p>
      <w:pPr>
        <w:ind w:left="2600" w:right="20" w:hanging="648"/>
        <w:spacing w:after="0" w:line="316" w:lineRule="auto"/>
        <w:tabs>
          <w:tab w:leader="none" w:pos="244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Appeal of Denial</w:t>
      </w:r>
      <w:r>
        <w:rPr>
          <w:rFonts w:ascii="Arial" w:cs="Arial" w:eastAsia="Arial" w:hAnsi="Arial"/>
          <w:sz w:val="18"/>
          <w:szCs w:val="18"/>
          <w:color w:val="auto"/>
        </w:rPr>
        <w:t>. The Claimant may appeal an initial adverse benefit determination by submitting a written appeal to the Administrator within 60 days of receiving notice of the denial of the claim. The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 C-1</w:t>
      </w:r>
    </w:p>
    <w:p>
      <w:pPr>
        <w:sectPr>
          <w:pgSz w:w="11900" w:h="16838" w:orient="portrait"/>
          <w:cols w:equalWidth="0" w:num="1">
            <w:col w:w="11240"/>
          </w:cols>
          <w:pgMar w:left="320" w:top="1413" w:right="339" w:bottom="1440" w:gutter="0" w:footer="0" w:header="0"/>
        </w:sectPr>
      </w:pPr>
    </w:p>
    <w:bookmarkStart w:id="153" w:name="page154"/>
    <w:bookmarkEnd w:id="153"/>
    <w:p>
      <w:pPr>
        <w:spacing w:after="0" w:line="222" w:lineRule="exact"/>
        <w:rPr>
          <w:sz w:val="20"/>
          <w:szCs w:val="20"/>
          <w:color w:val="auto"/>
        </w:rPr>
      </w:pPr>
    </w:p>
    <w:p>
      <w:pPr>
        <w:ind w:left="2340" w:hanging="388"/>
        <w:spacing w:after="0"/>
        <w:tabs>
          <w:tab w:leader="none" w:pos="23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may submit written comments, documents, records and other information relating to the claim for benefits;</w:t>
      </w:r>
    </w:p>
    <w:p>
      <w:pPr>
        <w:spacing w:after="0" w:line="254" w:lineRule="exact"/>
        <w:rPr>
          <w:rFonts w:ascii="Arial" w:cs="Arial" w:eastAsia="Arial" w:hAnsi="Arial"/>
          <w:sz w:val="19"/>
          <w:szCs w:val="19"/>
          <w:color w:val="auto"/>
        </w:rPr>
      </w:pPr>
    </w:p>
    <w:p>
      <w:pPr>
        <w:ind w:left="2600" w:hanging="648"/>
        <w:spacing w:after="0" w:line="260" w:lineRule="auto"/>
        <w:tabs>
          <w:tab w:leader="none" w:pos="2437" w:val="left"/>
        </w:tabs>
        <w:numPr>
          <w:ilvl w:val="1"/>
          <w:numId w:val="70"/>
        </w:numPr>
        <w:rPr>
          <w:rFonts w:ascii="Arial" w:cs="Arial" w:eastAsia="Arial" w:hAnsi="Arial"/>
          <w:sz w:val="20"/>
          <w:szCs w:val="20"/>
          <w:color w:val="auto"/>
        </w:rPr>
      </w:pPr>
      <w:r>
        <w:rPr>
          <w:rFonts w:ascii="Arial" w:cs="Arial" w:eastAsia="Arial" w:hAnsi="Arial"/>
          <w:sz w:val="20"/>
          <w:szCs w:val="20"/>
          <w:color w:val="auto"/>
        </w:rPr>
        <w:t>will be provided, upon request and without charge, reasonable access to and copies of all documents, records and other information relevant to the Claimant’s claim for benefits; and</w:t>
      </w:r>
    </w:p>
    <w:p>
      <w:pPr>
        <w:spacing w:after="0" w:line="203" w:lineRule="exact"/>
        <w:rPr>
          <w:rFonts w:ascii="Arial" w:cs="Arial" w:eastAsia="Arial" w:hAnsi="Arial"/>
          <w:sz w:val="20"/>
          <w:szCs w:val="20"/>
          <w:color w:val="auto"/>
        </w:rPr>
      </w:pPr>
    </w:p>
    <w:p>
      <w:pPr>
        <w:jc w:val="both"/>
        <w:ind w:left="2600" w:hanging="648"/>
        <w:spacing w:after="0" w:line="250" w:lineRule="auto"/>
        <w:tabs>
          <w:tab w:leader="none" w:pos="2621" w:val="left"/>
        </w:tabs>
        <w:numPr>
          <w:ilvl w:val="1"/>
          <w:numId w:val="70"/>
        </w:numPr>
        <w:rPr>
          <w:rFonts w:ascii="Arial" w:cs="Arial" w:eastAsia="Arial" w:hAnsi="Arial"/>
          <w:sz w:val="20"/>
          <w:szCs w:val="20"/>
          <w:color w:val="auto"/>
        </w:rPr>
      </w:pPr>
      <w:r>
        <w:rPr>
          <w:rFonts w:ascii="Arial" w:cs="Arial" w:eastAsia="Arial" w:hAnsi="Arial"/>
          <w:sz w:val="20"/>
          <w:szCs w:val="20"/>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212" w:lineRule="exact"/>
        <w:rPr>
          <w:rFonts w:ascii="Arial" w:cs="Arial" w:eastAsia="Arial" w:hAnsi="Arial"/>
          <w:sz w:val="20"/>
          <w:szCs w:val="20"/>
          <w:color w:val="auto"/>
        </w:rPr>
      </w:pPr>
    </w:p>
    <w:p>
      <w:pPr>
        <w:jc w:val="both"/>
        <w:ind w:firstLine="1304"/>
        <w:spacing w:after="0" w:line="271" w:lineRule="auto"/>
        <w:tabs>
          <w:tab w:leader="none" w:pos="176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Decision on Appeal</w:t>
      </w:r>
      <w:r>
        <w:rPr>
          <w:rFonts w:ascii="Arial" w:cs="Arial" w:eastAsia="Arial" w:hAnsi="Arial"/>
          <w:sz w:val="18"/>
          <w:szCs w:val="18"/>
          <w:color w:val="auto"/>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Plan’s receipt of an appeal request, unless the appeal request is filed within 30 days preceding the date of such meeting. In such case, a benefit determination may be made by no later than the date of the second regularly scheduled meeting following the Plan’s receipt of the appeal request. If special circumstances require a further extension of time for processing, a benefit determination shall be rendered no later than the third regularly scheduled meeting of the Administrator following the Plan’s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spacing w:after="0" w:line="196" w:lineRule="exact"/>
        <w:rPr>
          <w:rFonts w:ascii="Arial" w:cs="Arial" w:eastAsia="Arial" w:hAnsi="Arial"/>
          <w:sz w:val="18"/>
          <w:szCs w:val="18"/>
          <w:color w:val="auto"/>
        </w:rPr>
      </w:pPr>
    </w:p>
    <w:p>
      <w:pPr>
        <w:jc w:val="both"/>
        <w:ind w:firstLine="1304"/>
        <w:spacing w:after="0" w:line="250" w:lineRule="auto"/>
        <w:tabs>
          <w:tab w:leader="none" w:pos="192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Notice of Determination on Appeal</w:t>
      </w:r>
      <w:r>
        <w:rPr>
          <w:rFonts w:ascii="Arial" w:cs="Arial" w:eastAsia="Arial" w:hAnsi="Arial"/>
          <w:sz w:val="20"/>
          <w:szCs w:val="20"/>
          <w:color w:val="auto"/>
        </w:rPr>
        <w:t>. The Administrator shall provide the Claimant with written or electronic notification of its benefit determination on review. In the case of an adverse benefit determination, the notice shall set forth, in a manner intended to be understood by the Claimant:</w:t>
      </w:r>
    </w:p>
    <w:p>
      <w:pPr>
        <w:spacing w:after="0" w:line="212" w:lineRule="exact"/>
        <w:rPr>
          <w:rFonts w:ascii="Arial" w:cs="Arial" w:eastAsia="Arial" w:hAnsi="Arial"/>
          <w:sz w:val="20"/>
          <w:szCs w:val="20"/>
          <w:color w:val="auto"/>
        </w:rPr>
      </w:pPr>
    </w:p>
    <w:p>
      <w:pPr>
        <w:ind w:left="2340" w:hanging="388"/>
        <w:spacing w:after="0"/>
        <w:tabs>
          <w:tab w:leader="none" w:pos="234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specific reason or reasons for the adverse benefit determination;</w:t>
      </w:r>
    </w:p>
    <w:p>
      <w:pPr>
        <w:spacing w:after="0" w:line="242" w:lineRule="exact"/>
        <w:rPr>
          <w:rFonts w:ascii="Arial" w:cs="Arial" w:eastAsia="Arial" w:hAnsi="Arial"/>
          <w:sz w:val="20"/>
          <w:szCs w:val="20"/>
          <w:color w:val="auto"/>
        </w:rPr>
      </w:pPr>
    </w:p>
    <w:p>
      <w:pPr>
        <w:ind w:left="2400" w:hanging="448"/>
        <w:spacing w:after="0"/>
        <w:tabs>
          <w:tab w:leader="none" w:pos="24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reference to the specific Plan provisions on which the adverse benefit determination is based;</w:t>
      </w:r>
    </w:p>
    <w:p>
      <w:pPr>
        <w:spacing w:after="0" w:line="242" w:lineRule="exact"/>
        <w:rPr>
          <w:rFonts w:ascii="Arial" w:cs="Arial" w:eastAsia="Arial" w:hAnsi="Arial"/>
          <w:sz w:val="20"/>
          <w:szCs w:val="20"/>
          <w:color w:val="auto"/>
        </w:rPr>
      </w:pPr>
    </w:p>
    <w:p>
      <w:pPr>
        <w:ind w:left="2600" w:hanging="648"/>
        <w:spacing w:after="0" w:line="287" w:lineRule="auto"/>
        <w:tabs>
          <w:tab w:leader="none" w:pos="2459"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statement that the Claimant is entitled to receive, upon request and without charge, reasonable access to, and copies of, all documents, records and other information relevant to the claim for benefits;</w:t>
      </w:r>
    </w:p>
    <w:p>
      <w:pPr>
        <w:spacing w:after="0" w:line="179" w:lineRule="exact"/>
        <w:rPr>
          <w:rFonts w:ascii="Arial" w:cs="Arial" w:eastAsia="Arial" w:hAnsi="Arial"/>
          <w:sz w:val="19"/>
          <w:szCs w:val="19"/>
          <w:color w:val="auto"/>
        </w:rPr>
      </w:pPr>
    </w:p>
    <w:p>
      <w:pPr>
        <w:ind w:left="2600" w:hanging="648"/>
        <w:spacing w:after="0" w:line="260" w:lineRule="auto"/>
        <w:tabs>
          <w:tab w:leader="none" w:pos="2465" w:val="left"/>
        </w:tabs>
        <w:numPr>
          <w:ilvl w:val="1"/>
          <w:numId w:val="71"/>
        </w:numPr>
        <w:rPr>
          <w:rFonts w:ascii="Arial" w:cs="Arial" w:eastAsia="Arial" w:hAnsi="Arial"/>
          <w:sz w:val="20"/>
          <w:szCs w:val="20"/>
          <w:color w:val="auto"/>
        </w:rPr>
      </w:pPr>
      <w:r>
        <w:rPr>
          <w:rFonts w:ascii="Arial" w:cs="Arial" w:eastAsia="Arial" w:hAnsi="Arial"/>
          <w:sz w:val="20"/>
          <w:szCs w:val="20"/>
          <w:color w:val="auto"/>
        </w:rPr>
        <w:t>a statement describing any voluntary appeal procedures offered by the Plan and the Claimant’s right to obtain the information about such procedures;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C-2</w:t>
      </w:r>
    </w:p>
    <w:p>
      <w:pPr>
        <w:sectPr>
          <w:pgSz w:w="11900" w:h="16838" w:orient="portrait"/>
          <w:cols w:equalWidth="0" w:num="1">
            <w:col w:w="11240"/>
          </w:cols>
          <w:pgMar w:left="320" w:top="1440" w:right="339" w:bottom="1440" w:gutter="0" w:footer="0" w:header="0"/>
        </w:sectPr>
      </w:pPr>
    </w:p>
    <w:bookmarkStart w:id="154" w:name="page155"/>
    <w:bookmarkEnd w:id="154"/>
    <w:p>
      <w:pPr>
        <w:ind w:left="2380" w:hanging="428"/>
        <w:spacing w:after="0"/>
        <w:tabs>
          <w:tab w:leader="none" w:pos="238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 statement of the Claimant’s right to bring an action under Section 502(a) of ERISA.</w:t>
      </w:r>
    </w:p>
    <w:p>
      <w:pPr>
        <w:spacing w:after="0" w:line="242" w:lineRule="exact"/>
        <w:rPr>
          <w:rFonts w:ascii="Arial" w:cs="Arial" w:eastAsia="Arial" w:hAnsi="Arial"/>
          <w:sz w:val="20"/>
          <w:szCs w:val="20"/>
          <w:color w:val="auto"/>
        </w:rPr>
      </w:pPr>
    </w:p>
    <w:p>
      <w:pPr>
        <w:jc w:val="both"/>
        <w:ind w:firstLine="656"/>
        <w:spacing w:after="0" w:line="242" w:lineRule="auto"/>
        <w:tabs>
          <w:tab w:leader="none" w:pos="1193"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Exhaustion; Judicial Proceedings</w:t>
      </w:r>
      <w:r>
        <w:rPr>
          <w:rFonts w:ascii="Arial" w:cs="Arial" w:eastAsia="Arial" w:hAnsi="Arial"/>
          <w:sz w:val="20"/>
          <w:szCs w:val="20"/>
          <w:color w:val="auto"/>
        </w:rPr>
        <w:t>. No action at law or in equity shall be brought to recover benefits under the Plan until the claim and appeal rights described in the Plan have been exercised and the Plan benefits requested in such appeal have been denied in whole or in part. If any judicial proceeding is undertaken to appeal the denial of a claim or bring any other action under ERISA other than a breach of fiduciary claim, the evidence presented may be strictly limited to the evidence timely presented to the Administrator. Any such judicial proceeding must be filed by the earlier of: (a) one year after the Administrator’s final decision regarding the claim appeal or (b) one year after the Participant or other Claimant commenced payment of the Plan benefits at issue in the judicial proceeding. The jurisdiction and venue for any judicial proceedings arising under or relating to the Plan will be exclusively in the courts in California, including the federal courts located there should federal jurisdiction exist. This paragraph (c) shall not be construed to prohibit the enforcement of any arbitration agreements.</w:t>
      </w:r>
    </w:p>
    <w:p>
      <w:pPr>
        <w:spacing w:after="0" w:line="221" w:lineRule="exact"/>
        <w:rPr>
          <w:rFonts w:ascii="Arial" w:cs="Arial" w:eastAsia="Arial" w:hAnsi="Arial"/>
          <w:sz w:val="20"/>
          <w:szCs w:val="20"/>
          <w:color w:val="auto"/>
        </w:rPr>
      </w:pPr>
    </w:p>
    <w:p>
      <w:pPr>
        <w:jc w:val="both"/>
        <w:ind w:firstLine="656"/>
        <w:spacing w:after="0" w:line="259" w:lineRule="auto"/>
        <w:tabs>
          <w:tab w:leader="none" w:pos="121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Administrator’s Decision is Binding</w:t>
      </w:r>
      <w:r>
        <w:rPr>
          <w:rFonts w:ascii="Arial" w:cs="Arial" w:eastAsia="Arial" w:hAnsi="Arial"/>
          <w:sz w:val="19"/>
          <w:szCs w:val="19"/>
          <w:color w:val="auto"/>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C-3</w:t>
      </w:r>
    </w:p>
    <w:p>
      <w:pPr>
        <w:sectPr>
          <w:pgSz w:w="11900" w:h="16838" w:orient="portrait"/>
          <w:cols w:equalWidth="0" w:num="1">
            <w:col w:w="11240"/>
          </w:cols>
          <w:pgMar w:left="320" w:top="1419" w:right="339" w:bottom="1440" w:gutter="0" w:footer="0" w:header="0"/>
        </w:sectPr>
      </w:pPr>
    </w:p>
    <w:bookmarkStart w:id="155" w:name="page156"/>
    <w:bookmarkEnd w:id="155"/>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Form S-3 (No. 333-250015) and Form S-8 (No. 333-233878) of Exagen Inc. of our report dated March 16, 2021, relating to the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right="120" w:firstLine="332"/>
        <w:spacing w:after="0" w:line="355" w:lineRule="auto"/>
        <w:tabs>
          <w:tab w:leader="none" w:pos="7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157" w:name="page158"/>
    <w:bookmarkEnd w:id="157"/>
    <w:p>
      <w:pPr>
        <w:ind w:left="-20" w:firstLine="332"/>
        <w:spacing w:after="0" w:line="355" w:lineRule="auto"/>
        <w:tabs>
          <w:tab w:leader="none" w:pos="7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March 16,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340" w:top="1111" w:right="6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right="120" w:firstLine="332"/>
        <w:spacing w:after="0" w:line="355" w:lineRule="auto"/>
        <w:tabs>
          <w:tab w:leader="none" w:pos="78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159" w:name="page160"/>
    <w:bookmarkEnd w:id="159"/>
    <w:p>
      <w:pPr>
        <w:ind w:left="-20" w:firstLine="332"/>
        <w:spacing w:after="0" w:line="355" w:lineRule="auto"/>
        <w:tabs>
          <w:tab w:leader="none" w:pos="7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March 16,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0860"/>
          </w:cols>
          <w:pgMar w:left="340" w:top="1111" w:right="6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2020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2021</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2020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2021</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1"/>
    </w:lvl>
    <w:lvl w:ilvl="1">
      <w:lvlJc w:val="left"/>
      <w:lvlText w:val="%2)"/>
      <w:numFmt w:val="lowerRoman"/>
      <w:start w:val="1"/>
    </w:lvl>
  </w:abstractNum>
  <w:abstractNum w:abstractNumId="45">
    <w:nsid w:val="7E0C57B1"/>
    <w:multiLevelType w:val="hybridMultilevel"/>
    <w:lvl w:ilvl="0">
      <w:lvlJc w:val="left"/>
      <w:lvlText w:val="1"/>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1"/>
    </w:lvl>
    <w:lvl w:ilvl="1">
      <w:lvlJc w:val="left"/>
      <w:lvlText w:val="%2."/>
      <w:numFmt w:val="lowerLetter"/>
      <w:start w:val="1"/>
    </w:lvl>
  </w:abstractNum>
  <w:abstractNum w:abstractNumId="49">
    <w:nsid w:val="5FF87E05"/>
    <w:multiLevelType w:val="hybridMultilevel"/>
    <w:lvl w:ilvl="0">
      <w:lvlJc w:val="left"/>
      <w:lvlText w:val="%1."/>
      <w:numFmt w:val="decimal"/>
      <w:start w:val="4"/>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decimal"/>
      <w:start w:val="2"/>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3"/>
    </w:lvl>
  </w:abstractNum>
  <w:abstractNum w:abstractNumId="54">
    <w:nsid w:val="1F48EAA1"/>
    <w:multiLevelType w:val="hybridMultilevel"/>
    <w:lvl w:ilvl="0">
      <w:lvlJc w:val="left"/>
      <w:lvlText w:val="%1."/>
      <w:numFmt w:val="decimal"/>
      <w:start w:val="5"/>
    </w:lvl>
  </w:abstractNum>
  <w:abstractNum w:abstractNumId="55">
    <w:nsid w:val="1381823A"/>
    <w:multiLevelType w:val="hybridMultilevel"/>
    <w:lvl w:ilvl="0">
      <w:lvlJc w:val="left"/>
      <w:lvlText w:val="%1."/>
      <w:numFmt w:val="decimal"/>
      <w:start w:val="7"/>
    </w:lvl>
  </w:abstractNum>
  <w:abstractNum w:abstractNumId="56">
    <w:nsid w:val="5DB70AE5"/>
    <w:multiLevelType w:val="hybridMultilevel"/>
    <w:lvl w:ilvl="0">
      <w:lvlJc w:val="left"/>
      <w:lvlText w:val="(%1)"/>
      <w:numFmt w:val="decimal"/>
      <w:start w:val="2"/>
    </w:lvl>
    <w:lvl w:ilvl="1">
      <w:lvlJc w:val="left"/>
      <w:lvlText w:val="%2."/>
      <w:numFmt w:val="decimal"/>
      <w:start w:val="8"/>
    </w:lvl>
  </w:abstractNum>
  <w:abstractNum w:abstractNumId="57">
    <w:nsid w:val="100F8FCA"/>
    <w:multiLevelType w:val="hybridMultilevel"/>
    <w:lvl w:ilvl="0">
      <w:lvlJc w:val="left"/>
      <w:lvlText w:val="%1."/>
      <w:numFmt w:val="decimal"/>
      <w:start w:val="10"/>
    </w:lvl>
  </w:abstractNum>
  <w:abstractNum w:abstractNumId="58">
    <w:nsid w:val="6590700B"/>
    <w:multiLevelType w:val="hybridMultilevel"/>
    <w:lvl w:ilvl="0">
      <w:lvlJc w:val="left"/>
      <w:lvlText w:val="%1."/>
      <w:numFmt w:val="decimal"/>
      <w:start w:val="12"/>
    </w:lvl>
  </w:abstractNum>
  <w:abstractNum w:abstractNumId="59">
    <w:nsid w:val="15014ACB"/>
    <w:multiLevelType w:val="hybridMultilevel"/>
    <w:lvl w:ilvl="0">
      <w:lvlJc w:val="left"/>
      <w:lvlText w:val="%1."/>
      <w:numFmt w:val="decimal"/>
      <w:start w:val="13"/>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4"/>
    </w:lvl>
  </w:abstractNum>
  <w:abstractNum w:abstractNumId="64">
    <w:nsid w:val="42C296BD"/>
    <w:multiLevelType w:val="hybridMultilevel"/>
    <w:lvl w:ilvl="0">
      <w:lvlJc w:val="left"/>
      <w:lvlText w:val="(%1)"/>
      <w:numFmt w:val="lowerRoman"/>
      <w:start w:val="1"/>
    </w:lvl>
  </w:abstractNum>
  <w:abstractNum w:abstractNumId="65">
    <w:nsid w:val="168E121F"/>
    <w:multiLevelType w:val="hybridMultilevel"/>
    <w:lvl w:ilvl="0">
      <w:lvlJc w:val="left"/>
      <w:lvlText w:val="%1."/>
      <w:numFmt w:val="decimal"/>
      <w:start w:val="9"/>
    </w:lvl>
  </w:abstractNum>
  <w:abstractNum w:abstractNumId="66">
    <w:nsid w:val="1EBA5D23"/>
    <w:multiLevelType w:val="hybridMultilevel"/>
    <w:lvl w:ilvl="0">
      <w:lvlJc w:val="left"/>
      <w:lvlText w:val="1"/>
      <w:numFmt w:val="bullet"/>
      <w:start w:val="1"/>
    </w:lvl>
  </w:abstractNum>
  <w:abstractNum w:abstractNumId="67">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8">
    <w:nsid w:val="5DC79EA8"/>
    <w:multiLevelType w:val="hybridMultilevel"/>
    <w:lvl w:ilvl="0">
      <w:lvlJc w:val="left"/>
      <w:lvlText w:val="(%1)"/>
      <w:numFmt w:val="decimal"/>
      <w:start w:val="3"/>
    </w:lvl>
  </w:abstractNum>
  <w:abstractNum w:abstractNumId="69">
    <w:nsid w:val="540A471C"/>
    <w:multiLevelType w:val="hybridMultilevel"/>
    <w:lvl w:ilvl="0">
      <w:lvlJc w:val="left"/>
      <w:lvlText w:val="%1"/>
      <w:numFmt w:val="decimal"/>
      <w:start w:val="1"/>
    </w:lvl>
    <w:lvl w:ilvl="1">
      <w:lvlJc w:val="left"/>
      <w:lvlText w:val="(%2)"/>
      <w:numFmt w:val="lowerRoman"/>
      <w:start w:val="1"/>
    </w:lvl>
  </w:abstractNum>
  <w:abstractNum w:abstractNumId="70">
    <w:nsid w:val="7BD3EE7B"/>
    <w:multiLevelType w:val="hybridMultilevel"/>
    <w:lvl w:ilvl="0">
      <w:lvlJc w:val="left"/>
      <w:lvlText w:val="(%1)"/>
      <w:numFmt w:val="decimal"/>
      <w:start w:val="4"/>
    </w:lvl>
    <w:lvl w:ilvl="1">
      <w:lvlJc w:val="left"/>
      <w:lvlText w:val="(%2)"/>
      <w:numFmt w:val="lowerRoman"/>
      <w:start w:val="1"/>
    </w:lvl>
  </w:abstractNum>
  <w:abstractNum w:abstractNumId="71">
    <w:nsid w:val="51D9C564"/>
    <w:multiLevelType w:val="hybridMultilevel"/>
    <w:lvl w:ilvl="0">
      <w:lvlJc w:val="left"/>
      <w:lvlText w:val="%1"/>
      <w:numFmt w:val="lowerLetter"/>
      <w:start w:val="1"/>
    </w:lvl>
    <w:lvl w:ilvl="1">
      <w:lvlJc w:val="left"/>
      <w:lvlText w:val="(%2)"/>
      <w:numFmt w:val="lowerLetter"/>
      <w:start w:val="22"/>
    </w:lvl>
  </w:abstractNum>
  <w:abstractNum w:abstractNumId="72">
    <w:nsid w:val="613EFDC5"/>
    <w:multiLevelType w:val="hybridMultilevel"/>
    <w:lvl w:ilvl="0">
      <w:lvlJc w:val="left"/>
      <w:lvlText w:val="(%1)"/>
      <w:numFmt w:val="lowerLetter"/>
      <w:start w:val="2"/>
    </w:lvl>
    <w:lvl w:ilvl="1">
      <w:lvlJc w:val="left"/>
      <w:lvlText w:val="%2"/>
      <w:numFmt w:val="lowerLetter"/>
      <w:start w:val="1"/>
    </w:lvl>
  </w:abstractNum>
  <w:abstractNum w:abstractNumId="73">
    <w:nsid w:val="BF72B14"/>
    <w:multiLevelType w:val="hybridMultilevel"/>
    <w:lvl w:ilvl="0">
      <w:lvlJc w:val="left"/>
      <w:lvlText w:val="%1."/>
      <w:numFmt w:val="decimal"/>
      <w:start w:val="1"/>
    </w:lvl>
    <w:lvl w:ilvl="1">
      <w:lvlJc w:val="left"/>
      <w:lvlText w:val="(%2)"/>
      <w:numFmt w:val="lowerLetter"/>
      <w:start w:val="1"/>
    </w:lvl>
  </w:abstractNum>
  <w:abstractNum w:abstractNumId="74">
    <w:nsid w:val="11447B73"/>
    <w:multiLevelType w:val="hybridMultilevel"/>
    <w:lvl w:ilvl="0">
      <w:lvlJc w:val="left"/>
      <w:lvlText w:val="(%1)"/>
      <w:numFmt w:val="lowerLetter"/>
      <w:start w:val="2"/>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lowerLetter"/>
      <w:start w:val="2"/>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4" Type="http://schemas.openxmlformats.org/officeDocument/2006/relationships/image" Target="media/image139.png"/><Relationship Id="rId180"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146" Type="http://schemas.openxmlformats.org/officeDocument/2006/relationships/hyperlink" Target="http://www.sec.gov/Archives/edgar/data/1274737/000119312519252366/d769261dex31.htm" TargetMode="External"/><Relationship Id="rId147" Type="http://schemas.openxmlformats.org/officeDocument/2006/relationships/hyperlink" Target="http://www.sec.gov/Archives/edgar/data/1274737/000119312519252366/d769261dex32.htm" TargetMode="External"/><Relationship Id="rId148" Type="http://schemas.openxmlformats.org/officeDocument/2006/relationships/hyperlink" Target="http://www.sec.gov/Archives/edgar/data/1274737/000119312519240403/d692844dex41.htm" TargetMode="External"/><Relationship Id="rId149" Type="http://schemas.openxmlformats.org/officeDocument/2006/relationships/hyperlink" Target="http://www.sec.gov/Archives/edgar/data/1274737/000119312519228011/d692844dex42.htm" TargetMode="External"/><Relationship Id="rId150" Type="http://schemas.openxmlformats.org/officeDocument/2006/relationships/hyperlink" Target="http://www.sec.gov/Archives/edgar/data/1274737/000119312519228011/d692844dex47.htm" TargetMode="External"/><Relationship Id="rId151" Type="http://schemas.openxmlformats.org/officeDocument/2006/relationships/hyperlink" Target="http://www.sec.gov/Archives/edgar/data/1274737/000119312519228011/d692844dex49.htm" TargetMode="External"/><Relationship Id="rId152" Type="http://schemas.openxmlformats.org/officeDocument/2006/relationships/hyperlink" Target="http://www.sec.gov/Archives/edgar/data/1274737/000119312519228011/d692844dex101.htm" TargetMode="External"/><Relationship Id="rId153" Type="http://schemas.openxmlformats.org/officeDocument/2006/relationships/hyperlink" Target="http://www.sec.gov/Archives/edgar/data/1274737/000119312519228011/d692844dex102.htm" TargetMode="External"/><Relationship Id="rId154" Type="http://schemas.openxmlformats.org/officeDocument/2006/relationships/hyperlink" Target="http://www.sec.gov/Archives/edgar/data/1274737/000119312519240403/d692844dex103.htm" TargetMode="External"/><Relationship Id="rId155" Type="http://schemas.openxmlformats.org/officeDocument/2006/relationships/hyperlink" Target="http://www.sec.gov/Archives/edgar/data/1274737/000119312519240403/d692844dex104.htm" TargetMode="External"/><Relationship Id="rId156" Type="http://schemas.openxmlformats.org/officeDocument/2006/relationships/hyperlink" Target="http://www.sec.gov/Archives/edgar/data/1274737/000119312519240403/d692844dex105.htm" TargetMode="External"/><Relationship Id="rId157" Type="http://schemas.openxmlformats.org/officeDocument/2006/relationships/hyperlink" Target="http://www.sec.gov/Archives/edgar/data/1274737/000119312519228011/d692844dex105.htm" TargetMode="External"/><Relationship Id="rId158" Type="http://schemas.openxmlformats.org/officeDocument/2006/relationships/hyperlink" Target="http://www.sec.gov/Archives/edgar/data/1274737/000119312519228011/d692844dex106.htm" TargetMode="External"/><Relationship Id="rId159" Type="http://schemas.openxmlformats.org/officeDocument/2006/relationships/hyperlink" Target="http://www.sec.gov/Archives/edgar/data/1274737/000119312519228011/d692844dex1010.htm" TargetMode="External"/><Relationship Id="rId160" Type="http://schemas.openxmlformats.org/officeDocument/2006/relationships/hyperlink" Target="http://www.sec.gov/Archives/edgar/data/1274737/000119312519228011/d692844dex1011.htm" TargetMode="External"/><Relationship Id="rId161" Type="http://schemas.openxmlformats.org/officeDocument/2006/relationships/hyperlink" Target="http://www.sec.gov/Archives/edgar/data/1274737/000119312519228011/d692844dex1012.htm" TargetMode="External"/><Relationship Id="rId162" Type="http://schemas.openxmlformats.org/officeDocument/2006/relationships/hyperlink" Target="http://www.sec.gov/Archives/edgar/data/1274737/000119312519228011/d692844dex1013.htm" TargetMode="External"/><Relationship Id="rId163" Type="http://schemas.openxmlformats.org/officeDocument/2006/relationships/hyperlink" Target="http://www.sec.gov/Archives/edgar/data/1274737/000119312519228011/d692844dex1014.htm" TargetMode="External"/><Relationship Id="rId165" Type="http://schemas.openxmlformats.org/officeDocument/2006/relationships/hyperlink" Target="http://www.sec.gov/Archives/edgar/data/1274737/000119312519228011/d692844dex1015.htm" TargetMode="External"/><Relationship Id="rId166" Type="http://schemas.openxmlformats.org/officeDocument/2006/relationships/hyperlink" Target="http://www.sec.gov/Archives/edgar/data/1274737/000119312519228011/d692844dex1016.htm" TargetMode="External"/><Relationship Id="rId167" Type="http://schemas.openxmlformats.org/officeDocument/2006/relationships/hyperlink" Target="http://www.sec.gov/Archives/edgar/data/1274737/000119312519228011/d692844dex1017.htm" TargetMode="External"/><Relationship Id="rId168" Type="http://schemas.openxmlformats.org/officeDocument/2006/relationships/hyperlink" Target="http://www.sec.gov/Archives/edgar/data/1274737/000119312519228011/d692844dex1018.htm" TargetMode="External"/><Relationship Id="rId169" Type="http://schemas.openxmlformats.org/officeDocument/2006/relationships/hyperlink" Target="http://www.sec.gov/Archives/edgar/data/1274737/000119312519228011/d692844dex1019.htm" TargetMode="External"/><Relationship Id="rId170" Type="http://schemas.openxmlformats.org/officeDocument/2006/relationships/hyperlink" Target="http://www.sec.gov/Archives/edgar/data/1274737/000119312519228011/d692844dex1020.htm" TargetMode="External"/><Relationship Id="rId171" Type="http://schemas.openxmlformats.org/officeDocument/2006/relationships/hyperlink" Target="http://www.sec.gov/Archives/edgar/data/1274737/000119312519228011/d692844dex1021.htm" TargetMode="External"/><Relationship Id="rId172" Type="http://schemas.openxmlformats.org/officeDocument/2006/relationships/hyperlink" Target="http://www.sec.gov/Archives/edgar/data/1274737/000119312519228011/d692844dex1022.htm" TargetMode="External"/><Relationship Id="rId173" Type="http://schemas.openxmlformats.org/officeDocument/2006/relationships/hyperlink" Target="http://www.sec.gov/Archives/edgar/data/1274737/000119312519228011/d692844dex1023.htm" TargetMode="External"/><Relationship Id="rId174" Type="http://schemas.openxmlformats.org/officeDocument/2006/relationships/hyperlink" Target="http://www.sec.gov/Archives/edgar/data/1274737/000127473720000077/ex101-amend1tocoxpromo.htm" TargetMode="External"/><Relationship Id="rId175" Type="http://schemas.openxmlformats.org/officeDocument/2006/relationships/hyperlink" Target="http://www.sec.gov/Archives/edgar/data/1274737/000127473720000077/ex102-amend2tocoxpromo.htm" TargetMode="External"/><Relationship Id="rId176" Type="http://schemas.openxmlformats.org/officeDocument/2006/relationships/hyperlink" Target="http://www.sec.gov/Archives/edgar/data/1274737/000119312519228011/d692844dex1024.htm" TargetMode="External"/><Relationship Id="rId177" Type="http://schemas.openxmlformats.org/officeDocument/2006/relationships/hyperlink" Target="http://www.sec.gov/Archives/edgar/data/1274737/000119312519228011/d692844dex1025.htm" TargetMode="External"/><Relationship Id="rId178" Type="http://schemas.openxmlformats.org/officeDocument/2006/relationships/hyperlink" Target="http://www.sec.gov/Archives/edgar/data/1274737/000127473720000026/secondamend1261suitebc.htm" TargetMode="External"/><Relationship Id="rId179" Type="http://schemas.openxmlformats.org/officeDocument/2006/relationships/hyperlink" Target="http://www.sec.gov/Archives/edgar/data/1274737/000127473720000026/thirdamend1261suitebc.htm" TargetMode="External"/><Relationship Id="rId181" Type="http://schemas.openxmlformats.org/officeDocument/2006/relationships/hyperlink" Target="http://www.sec.gov/Archives/edgar/data/1274737/000127473720000026/fourthamendmenttolease.htm" TargetMode="External"/><Relationship Id="rId182" Type="http://schemas.openxmlformats.org/officeDocument/2006/relationships/hyperlink" Target="http://www.sec.gov/Archives/edgar/data/1274737/000119312519228011/d692844dex1030.htm" TargetMode="External"/><Relationship Id="rId183" Type="http://schemas.openxmlformats.org/officeDocument/2006/relationships/hyperlink" Target="http://www.sec.gov/Archives/edgar/data/1274737/000127473720000026/firstamend1221lease.htm" TargetMode="External"/><Relationship Id="rId184" Type="http://schemas.openxmlformats.org/officeDocument/2006/relationships/hyperlink" Target="http://www.sec.gov/Archives/edgar/data/1274737/000127473720000026/a1221libertyway-leasea.htm" TargetMode="External"/><Relationship Id="rId185" Type="http://schemas.openxmlformats.org/officeDocument/2006/relationships/hyperlink" Target="http://www.sec.gov/Archives/edgar/data/1274737/000127473720000026/ex10331261suitealeasev2.htm" TargetMode="External"/><Relationship Id="rId186" Type="http://schemas.openxmlformats.org/officeDocument/2006/relationships/hyperlink" Target="http://www.sec.gov/Archives/edgar/data/1274737/000119312519228011/d692844dex1031.htm" TargetMode="External"/><Relationship Id="rId187" Type="http://schemas.openxmlformats.org/officeDocument/2006/relationships/hyperlink" Target="http://www.sec.gov/Archives/edgar/data/1274737/000119312519228011/d692844dex1032.htm" TargetMode="External"/><Relationship Id="rId188" Type="http://schemas.openxmlformats.org/officeDocument/2006/relationships/hyperlink" Target="http://www.sec.gov/Archives/edgar/data/1274737/000127473720000026/ex1036-innovatusxexage.htm" TargetMode="External"/><Relationship Id="rId189" Type="http://schemas.openxmlformats.org/officeDocument/2006/relationships/hyperlink" Target="http://www.sec.gov/Archives/edgar/data/1274737/000127473720000097/ex101-innovatusacknowl.htm" TargetMode="External"/><Relationship Id="rId190" Type="http://schemas.openxmlformats.org/officeDocument/2006/relationships/hyperlink" Target="http://www.sec.gov/Archives/edgar/data/1274737/000119312519240403/d692844dex1034.htm" TargetMode="External"/><Relationship Id="rId191" Type="http://schemas.openxmlformats.org/officeDocument/2006/relationships/hyperlink" Target="http://www.sec.gov/Archives/edgar/data/1274737/000119312519228011/d692844dex1034.htm" TargetMode="External"/><Relationship Id="rId192" Type="http://schemas.openxmlformats.org/officeDocument/2006/relationships/hyperlink" Target="http://www.sec.gov/Archives/edgar/data/1274737/000119312519240403/d692844dex1036.htm" TargetMode="External"/><Relationship Id="rId193" Type="http://schemas.openxmlformats.org/officeDocument/2006/relationships/hyperlink" Target="http://www.sec.gov/Archives/edgar/data/1274737/000119312519240403/d692844dex1037.htm" TargetMode="External"/><Relationship Id="rId194" Type="http://schemas.openxmlformats.org/officeDocument/2006/relationships/hyperlink" Target="http://www.sec.gov/Archives/edgar/data/1274737/000127473720000026/ex1041-zackofferletter.htm" TargetMode="External"/><Relationship Id="rId195" Type="http://schemas.openxmlformats.org/officeDocument/2006/relationships/hyperlink" Target="http://www.sec.gov/Archives/edgar/data/1274737/000119312519240403/d692844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2021-03-16T16:25:56Z</dcterms:created>
  <dcterms:modified xsi:type="dcterms:W3CDTF">2021-03-16T16:25:56Z</dcterms:modified>
</cp:coreProperties>
</file>