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333-250015</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221615</wp:posOffset>
            </wp:positionV>
            <wp:extent cx="2863215" cy="1054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3215" cy="1054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9" w:lineRule="exact"/>
        <w:rPr>
          <w:sz w:val="24"/>
          <w:szCs w:val="24"/>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We have entered into a sales agreement, or the sales agreement, with Cowen and Company LLC, or Cowen, relating to shares of our common stock offered by this prospectus supplement and the accompanying prospectus. In accordance with the terms of the sales agreement, we may offer and sell shares of our</w:t>
      </w:r>
    </w:p>
    <w:p>
      <w:pPr>
        <w:spacing w:after="0"/>
        <w:rPr>
          <w:sz w:val="20"/>
          <w:szCs w:val="20"/>
          <w:color w:val="auto"/>
        </w:rPr>
      </w:pPr>
      <w:r>
        <w:rPr>
          <w:rFonts w:ascii="Times New Roman" w:cs="Times New Roman" w:eastAsia="Times New Roman" w:hAnsi="Times New Roman"/>
          <w:sz w:val="18"/>
          <w:szCs w:val="18"/>
          <w:color w:val="auto"/>
        </w:rPr>
        <w:t>common stock having an aggregate offering price of up to $50,000,000 from time to time through or to Cowen acting as our agent.</w:t>
      </w:r>
    </w:p>
    <w:p>
      <w:pPr>
        <w:spacing w:after="0" w:line="165" w:lineRule="exact"/>
        <w:rPr>
          <w:sz w:val="24"/>
          <w:szCs w:val="24"/>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Our common stock is listed on the Nasdaq Capital Market, or Nasdaq, under the symbol “XGN.” On September 13, 2022, the last reported sale price of our common stock on Nasdaq was $4.63 per share.</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Sales of our common stock, if any, under this prospectus supplement may be made in sales deemed to be an “at the market offering,” as defined in</w:t>
      </w:r>
    </w:p>
    <w:p>
      <w:pPr>
        <w:spacing w:after="0" w:line="211" w:lineRule="auto"/>
        <w:rPr>
          <w:sz w:val="20"/>
          <w:szCs w:val="20"/>
          <w:color w:val="auto"/>
        </w:rPr>
      </w:pPr>
      <w:r>
        <w:rPr>
          <w:rFonts w:ascii="Times New Roman" w:cs="Times New Roman" w:eastAsia="Times New Roman" w:hAnsi="Times New Roman"/>
          <w:sz w:val="18"/>
          <w:szCs w:val="18"/>
          <w:color w:val="auto"/>
        </w:rPr>
        <w:t>Rule 415(a)(4) promulgated under the Securities Act of 1933, as amended, or the Securities Act. Cowen is not required to sell any specific number or dollar amount of securities, but will act as a sales agent using commercially reasonable efforts consistent with its normal trading and sales practices, on mutually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agreed terms between Cowen and us. There is no arrangement for funds to be received in any escrow, trust or similar arrangement.</w:t>
      </w:r>
    </w:p>
    <w:p>
      <w:pPr>
        <w:spacing w:after="0" w:line="165" w:lineRule="exact"/>
        <w:rPr>
          <w:sz w:val="24"/>
          <w:szCs w:val="24"/>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The compensation to Cowen for sales of common stock sold pursuant to the sales agreement will be an amount equal to 3.0% of the gross proceeds of any shares of common stock sold under the sales agreement. In connection with the sale of our common stock on our behalf, Cowen will be deemed to be an</w:t>
      </w:r>
    </w:p>
    <w:p>
      <w:pPr>
        <w:spacing w:after="0" w:line="2" w:lineRule="exact"/>
        <w:rPr>
          <w:sz w:val="24"/>
          <w:szCs w:val="24"/>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“underwriter” within the meaning of the Securities Act and the compensation to Cowen will be deemed to be underwriting commissions or discounts. We have also agreed to provide indemnification and contribution to Cowen with respect to certain liabilities, including liabilities under the Securities Act or the Securities Exchange Act of 1934, as amended, or the Exchange Act.</w:t>
      </w:r>
    </w:p>
    <w:p>
      <w:pPr>
        <w:spacing w:after="0" w:line="6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81" w:lineRule="exact"/>
        <w:rPr>
          <w:sz w:val="24"/>
          <w:szCs w:val="24"/>
          <w:color w:val="auto"/>
        </w:rPr>
      </w:pPr>
    </w:p>
    <w:p>
      <w:pPr>
        <w:ind w:right="120"/>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Investing in our securities involves a high degree of risk. You should review carefully the risks and uncertainties described under the heading “Risk Factors” beginning on page </w:t>
      </w:r>
      <w:r>
        <w:rPr>
          <w:rFonts w:ascii="Times New Roman" w:cs="Times New Roman" w:eastAsia="Times New Roman" w:hAnsi="Times New Roman"/>
          <w:sz w:val="17"/>
          <w:szCs w:val="17"/>
          <w:b w:val="1"/>
          <w:bCs w:val="1"/>
          <w:u w:val="single" w:color="auto"/>
          <w:color w:val="0000FF"/>
        </w:rPr>
        <w:t>S-3</w:t>
      </w:r>
      <w:r>
        <w:rPr>
          <w:rFonts w:ascii="Times New Roman" w:cs="Times New Roman" w:eastAsia="Times New Roman" w:hAnsi="Times New Roman"/>
          <w:sz w:val="17"/>
          <w:szCs w:val="17"/>
          <w:b w:val="1"/>
          <w:bCs w:val="1"/>
          <w:color w:val="auto"/>
        </w:rPr>
        <w:t xml:space="preserve"> of this prospectus supplement and under similar headings in the documents incorporated by reference into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-120015</wp:posOffset>
            </wp:positionV>
            <wp:extent cx="3429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this prospectus supplement and the accompanying prospectus.</w:t>
      </w:r>
    </w:p>
    <w:p>
      <w:pPr>
        <w:spacing w:after="0" w:line="161" w:lineRule="exact"/>
        <w:rPr>
          <w:sz w:val="24"/>
          <w:szCs w:val="24"/>
          <w:color w:val="auto"/>
        </w:rPr>
      </w:pPr>
    </w:p>
    <w:p>
      <w:pPr>
        <w:ind w:right="580"/>
        <w:spacing w:after="0" w:line="225"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and the accompanying prospectus is truthful or complete. Any representation to the contrary is a</w:t>
      </w:r>
    </w:p>
    <w:p>
      <w:pPr>
        <w:spacing w:after="0"/>
        <w:rPr>
          <w:sz w:val="20"/>
          <w:szCs w:val="20"/>
          <w:color w:val="auto"/>
        </w:rPr>
      </w:pPr>
      <w:r>
        <w:rPr>
          <w:rFonts w:ascii="Times New Roman" w:cs="Times New Roman" w:eastAsia="Times New Roman" w:hAnsi="Times New Roman"/>
          <w:sz w:val="18"/>
          <w:szCs w:val="18"/>
          <w:b w:val="1"/>
          <w:bCs w:val="1"/>
          <w:color w:val="auto"/>
        </w:rPr>
        <w:t>criminal offense.</w:t>
      </w:r>
    </w:p>
    <w:p>
      <w:pPr>
        <w:spacing w:after="0" w:line="8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Cowen</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September 15, 2022</w:t>
      </w:r>
      <w:r>
        <w:rPr>
          <w:rFonts w:ascii="Arial" w:cs="Arial" w:eastAsia="Arial" w:hAnsi="Arial"/>
          <w:sz w:val="18"/>
          <w:szCs w:val="18"/>
          <w:color w:val="auto"/>
        </w:rPr>
        <w:t>.</w:t>
      </w:r>
    </w:p>
    <w:p>
      <w:pPr>
        <w:sectPr>
          <w:pgSz w:w="11900" w:h="16838" w:orient="portrait"/>
          <w:cols w:equalWidth="0" w:num="1">
            <w:col w:w="11240"/>
          </w:cols>
          <w:pgMar w:left="320" w:top="852" w:right="339" w:bottom="1440" w:gutter="0" w:footer="0" w:header="0"/>
        </w:sectPr>
      </w:pPr>
    </w:p>
    <w:bookmarkStart w:id="1" w:name="page2"/>
    <w:bookmarkEnd w:id="1"/>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40"/>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78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3"/>
        </w:trPr>
        <w:tc>
          <w:tcPr>
            <w:tcW w:w="942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ABOUT THIS PROSPECTUS SUPPLEMENT</w:t>
            </w:r>
          </w:p>
        </w:tc>
        <w:tc>
          <w:tcPr>
            <w:tcW w:w="780" w:type="dxa"/>
            <w:vAlign w:val="bottom"/>
          </w:tcPr>
          <w:p>
            <w:pPr>
              <w:spacing w:after="0"/>
              <w:rPr>
                <w:sz w:val="15"/>
                <w:szCs w:val="15"/>
                <w:color w:val="auto"/>
              </w:rPr>
            </w:pPr>
          </w:p>
        </w:tc>
        <w:tc>
          <w:tcPr>
            <w:tcW w:w="1020" w:type="dxa"/>
            <w:vAlign w:val="bottom"/>
            <w:gridSpan w:val="4"/>
          </w:tcPr>
          <w:p>
            <w:pPr>
              <w:jc w:val="center"/>
              <w:ind w:right="780"/>
              <w:spacing w:after="0" w:line="182" w:lineRule="exact"/>
              <w:rPr>
                <w:sz w:val="20"/>
                <w:szCs w:val="20"/>
                <w:color w:val="auto"/>
              </w:rPr>
            </w:pPr>
            <w:r>
              <w:rPr>
                <w:rFonts w:ascii="Times New Roman" w:cs="Times New Roman" w:eastAsia="Times New Roman" w:hAnsi="Times New Roman"/>
                <w:sz w:val="18"/>
                <w:szCs w:val="18"/>
                <w:color w:val="0000FF"/>
                <w:w w:val="92"/>
              </w:rPr>
              <w:t>S-ii</w:t>
            </w:r>
          </w:p>
        </w:tc>
      </w:tr>
      <w:tr>
        <w:trPr>
          <w:trHeight w:val="209"/>
        </w:trPr>
        <w:tc>
          <w:tcPr>
            <w:tcW w:w="34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SUMMARY</w:t>
            </w:r>
          </w:p>
        </w:tc>
        <w:tc>
          <w:tcPr>
            <w:tcW w:w="59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0000FF"/>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95"/>
              </w:rPr>
              <w:t>S-1</w:t>
            </w:r>
          </w:p>
        </w:tc>
        <w:tc>
          <w:tcPr>
            <w:tcW w:w="760" w:type="dxa"/>
            <w:vAlign w:val="bottom"/>
            <w:gridSpan w:val="2"/>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9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780" w:type="dxa"/>
            <w:vAlign w:val="bottom"/>
          </w:tcPr>
          <w:p>
            <w:pPr>
              <w:spacing w:after="0"/>
              <w:rPr>
                <w:sz w:val="18"/>
                <w:szCs w:val="18"/>
                <w:color w:val="auto"/>
              </w:rPr>
            </w:pPr>
          </w:p>
        </w:tc>
        <w:tc>
          <w:tcPr>
            <w:tcW w:w="102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0000FF"/>
                <w:w w:val="95"/>
              </w:rPr>
              <w:t>S-2</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8160" w:type="dxa"/>
            <w:vAlign w:val="bottom"/>
            <w:gridSpan w:val="8"/>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0000FF"/>
                <w:w w:val="95"/>
              </w:rPr>
              <w:t>S-3</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9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Pr>
          <w:p>
            <w:pPr>
              <w:spacing w:after="0"/>
              <w:rPr>
                <w:sz w:val="18"/>
                <w:szCs w:val="18"/>
                <w:color w:val="auto"/>
              </w:rPr>
            </w:pPr>
          </w:p>
        </w:tc>
        <w:tc>
          <w:tcPr>
            <w:tcW w:w="102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0000FF"/>
                <w:w w:val="95"/>
              </w:rPr>
              <w:t>S-5</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5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3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0000FF"/>
                <w:w w:val="95"/>
              </w:rPr>
              <w:t>S-7</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DILUTION</w:t>
            </w:r>
          </w:p>
        </w:tc>
        <w:tc>
          <w:tcPr>
            <w:tcW w:w="7840" w:type="dxa"/>
            <w:vAlign w:val="bottom"/>
            <w:gridSpan w:val="6"/>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0000FF"/>
                <w:w w:val="95"/>
              </w:rPr>
              <w:t>S-8</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2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736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2"/>
              </w:rPr>
              <w:t>S-10</w:t>
            </w:r>
          </w:p>
        </w:tc>
        <w:tc>
          <w:tcPr>
            <w:tcW w:w="740" w:type="dxa"/>
            <w:vAlign w:val="bottom"/>
          </w:tcPr>
          <w:p>
            <w:pPr>
              <w:spacing w:after="0"/>
              <w:rPr>
                <w:sz w:val="18"/>
                <w:szCs w:val="18"/>
                <w:color w:val="auto"/>
              </w:rPr>
            </w:pPr>
          </w:p>
        </w:tc>
      </w:tr>
      <w:tr>
        <w:trPr>
          <w:trHeight w:val="210"/>
        </w:trPr>
        <w:tc>
          <w:tcPr>
            <w:tcW w:w="9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780" w:type="dxa"/>
            <w:vAlign w:val="bottom"/>
          </w:tcPr>
          <w:p>
            <w:pPr>
              <w:spacing w:after="0"/>
              <w:rPr>
                <w:sz w:val="18"/>
                <w:szCs w:val="18"/>
                <w:color w:val="auto"/>
              </w:rPr>
            </w:pPr>
          </w:p>
        </w:tc>
        <w:tc>
          <w:tcPr>
            <w:tcW w:w="102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0000FF"/>
                <w:w w:val="82"/>
              </w:rPr>
              <w:t>S-11</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3"/>
          </w:tcPr>
          <w:p>
            <w:pPr>
              <w:spacing w:after="0"/>
              <w:rPr>
                <w:sz w:val="18"/>
                <w:szCs w:val="18"/>
                <w:color w:val="auto"/>
              </w:rPr>
            </w:pPr>
          </w:p>
        </w:tc>
        <w:tc>
          <w:tcPr>
            <w:tcW w:w="7960" w:type="dxa"/>
            <w:vAlign w:val="bottom"/>
            <w:gridSpan w:val="7"/>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0000FF"/>
                <w:w w:val="82"/>
              </w:rPr>
              <w:t>S-11</w:t>
            </w:r>
          </w:p>
        </w:tc>
      </w:tr>
      <w:tr>
        <w:trPr>
          <w:trHeight w:val="20"/>
        </w:trPr>
        <w:tc>
          <w:tcPr>
            <w:tcW w:w="780" w:type="dxa"/>
            <w:vAlign w:val="bottom"/>
            <w:shd w:val="clear" w:color="auto" w:fill="0000FF"/>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3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60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0000FF"/>
                <w:w w:val="82"/>
              </w:rPr>
              <w:t>S-11</w:t>
            </w:r>
          </w:p>
        </w:tc>
      </w:tr>
      <w:tr>
        <w:trPr>
          <w:trHeight w:val="20"/>
        </w:trPr>
        <w:tc>
          <w:tcPr>
            <w:tcW w:w="3820" w:type="dxa"/>
            <w:vAlign w:val="bottom"/>
            <w:gridSpan w:val="8"/>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9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8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S-12</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80" w:type="dxa"/>
            <w:vAlign w:val="bottom"/>
            <w:gridSpan w:val="3"/>
          </w:tcPr>
          <w:p>
            <w:pPr>
              <w:ind w:left="21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743"/>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940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ABOUT THIS PROSPECTUS</w:t>
            </w:r>
          </w:p>
        </w:tc>
        <w:tc>
          <w:tcPr>
            <w:tcW w:w="840" w:type="dxa"/>
            <w:vAlign w:val="bottom"/>
          </w:tcPr>
          <w:p>
            <w:pPr>
              <w:spacing w:after="0"/>
              <w:rPr>
                <w:sz w:val="15"/>
                <w:szCs w:val="15"/>
                <w:color w:val="auto"/>
              </w:rPr>
            </w:pPr>
          </w:p>
        </w:tc>
        <w:tc>
          <w:tcPr>
            <w:tcW w:w="960" w:type="dxa"/>
            <w:vAlign w:val="bottom"/>
            <w:gridSpan w:val="2"/>
          </w:tcPr>
          <w:p>
            <w:pPr>
              <w:jc w:val="center"/>
              <w:ind w:right="860"/>
              <w:spacing w:after="0" w:line="182" w:lineRule="exact"/>
              <w:rPr>
                <w:sz w:val="20"/>
                <w:szCs w:val="20"/>
                <w:color w:val="auto"/>
              </w:rPr>
            </w:pPr>
            <w:r>
              <w:rPr>
                <w:rFonts w:ascii="Times New Roman" w:cs="Times New Roman" w:eastAsia="Times New Roman" w:hAnsi="Times New Roman"/>
                <w:sz w:val="18"/>
                <w:szCs w:val="18"/>
                <w:u w:val="single" w:color="auto"/>
                <w:color w:val="0000FF"/>
              </w:rPr>
              <w:t>i</w:t>
            </w: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WHERE YOU CAN FIND MORE INFORMATION; INCORPORATION BY REFERENCE</w:t>
            </w:r>
          </w:p>
        </w:tc>
        <w:tc>
          <w:tcPr>
            <w:tcW w:w="94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0000FF"/>
              </w:rPr>
              <w:t>1</w:t>
            </w:r>
          </w:p>
        </w:tc>
        <w:tc>
          <w:tcPr>
            <w:tcW w:w="860" w:type="dxa"/>
            <w:vAlign w:val="bottom"/>
          </w:tcPr>
          <w:p>
            <w:pPr>
              <w:spacing w:after="0"/>
              <w:rPr>
                <w:sz w:val="18"/>
                <w:szCs w:val="18"/>
                <w:color w:val="auto"/>
              </w:rPr>
            </w:pPr>
          </w:p>
        </w:tc>
      </w:tr>
      <w:tr>
        <w:trPr>
          <w:trHeight w:val="210"/>
        </w:trPr>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THE COMPANY</w:t>
            </w:r>
          </w:p>
        </w:tc>
        <w:tc>
          <w:tcPr>
            <w:tcW w:w="5440" w:type="dxa"/>
            <w:vAlign w:val="bottom"/>
            <w:tcBorders>
              <w:top w:val="single" w:sz="8" w:color="0000FF"/>
            </w:tcBorders>
            <w:gridSpan w:val="12"/>
          </w:tcPr>
          <w:p>
            <w:pPr>
              <w:spacing w:after="0"/>
              <w:rPr>
                <w:sz w:val="18"/>
                <w:szCs w:val="18"/>
                <w:color w:val="auto"/>
              </w:rPr>
            </w:pPr>
          </w:p>
        </w:tc>
        <w:tc>
          <w:tcPr>
            <w:tcW w:w="2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860" w:type="dxa"/>
            <w:vAlign w:val="bottom"/>
          </w:tcPr>
          <w:p>
            <w:pPr>
              <w:spacing w:after="0"/>
              <w:rPr>
                <w:sz w:val="18"/>
                <w:szCs w:val="18"/>
                <w:color w:val="auto"/>
              </w:rPr>
            </w:pPr>
          </w:p>
        </w:tc>
      </w:tr>
      <w:tr>
        <w:trPr>
          <w:trHeight w:val="210"/>
        </w:trPr>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0000FF"/>
              </w:rPr>
              <w:t>4</w:t>
            </w:r>
          </w:p>
        </w:tc>
        <w:tc>
          <w:tcPr>
            <w:tcW w:w="8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57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CAUTIONARY NOTE REGARDING FORWARD-LOOKING STATEMENTS</w:t>
            </w:r>
          </w:p>
        </w:tc>
        <w:tc>
          <w:tcPr>
            <w:tcW w:w="36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860" w:type="dxa"/>
            <w:vAlign w:val="bottom"/>
          </w:tcPr>
          <w:p>
            <w:pPr>
              <w:spacing w:after="0"/>
              <w:rPr>
                <w:sz w:val="18"/>
                <w:szCs w:val="18"/>
                <w:color w:val="auto"/>
              </w:rPr>
            </w:pPr>
          </w:p>
        </w:tc>
      </w:tr>
      <w:tr>
        <w:trPr>
          <w:trHeight w:val="210"/>
        </w:trPr>
        <w:tc>
          <w:tcPr>
            <w:tcW w:w="1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USE OF PROCEEDS</w:t>
            </w:r>
          </w:p>
        </w:tc>
        <w:tc>
          <w:tcPr>
            <w:tcW w:w="782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860" w:type="dxa"/>
            <w:vAlign w:val="bottom"/>
          </w:tcPr>
          <w:p>
            <w:pPr>
              <w:spacing w:after="0"/>
              <w:rPr>
                <w:sz w:val="18"/>
                <w:szCs w:val="18"/>
                <w:color w:val="auto"/>
              </w:rPr>
            </w:pPr>
          </w:p>
        </w:tc>
      </w:tr>
      <w:tr>
        <w:trPr>
          <w:trHeight w:val="209"/>
        </w:trPr>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94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0000FF"/>
              </w:rPr>
              <w:t>5</w:t>
            </w:r>
          </w:p>
        </w:tc>
        <w:tc>
          <w:tcPr>
            <w:tcW w:w="8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DESCRIPTION OF CAPITAL STOCK</w:t>
            </w:r>
          </w:p>
        </w:tc>
        <w:tc>
          <w:tcPr>
            <w:tcW w:w="654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860" w:type="dxa"/>
            <w:vAlign w:val="bottom"/>
          </w:tcPr>
          <w:p>
            <w:pPr>
              <w:spacing w:after="0"/>
              <w:rPr>
                <w:sz w:val="18"/>
                <w:szCs w:val="18"/>
                <w:color w:val="auto"/>
              </w:rPr>
            </w:pPr>
          </w:p>
        </w:tc>
      </w:tr>
      <w:tr>
        <w:trPr>
          <w:trHeight w:val="210"/>
        </w:trPr>
        <w:tc>
          <w:tcPr>
            <w:tcW w:w="3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DESCRIPTION OF DEBT SECURITIES</w:t>
            </w:r>
          </w:p>
        </w:tc>
        <w:tc>
          <w:tcPr>
            <w:tcW w:w="6380" w:type="dxa"/>
            <w:vAlign w:val="bottom"/>
            <w:gridSpan w:val="3"/>
          </w:tcPr>
          <w:p>
            <w:pPr>
              <w:spacing w:after="0"/>
              <w:rPr>
                <w:sz w:val="18"/>
                <w:szCs w:val="18"/>
                <w:color w:val="auto"/>
              </w:rPr>
            </w:pPr>
          </w:p>
        </w:tc>
        <w:tc>
          <w:tcPr>
            <w:tcW w:w="9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0000FF"/>
                <w:w w:val="99"/>
              </w:rPr>
              <w:t>12</w:t>
            </w:r>
          </w:p>
        </w:tc>
        <w:tc>
          <w:tcPr>
            <w:tcW w:w="8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r>
      <w:tr>
        <w:trPr>
          <w:trHeight w:val="210"/>
        </w:trPr>
        <w:tc>
          <w:tcPr>
            <w:tcW w:w="24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DESCRIPTION OF WARRANTS</w:t>
            </w:r>
          </w:p>
        </w:tc>
        <w:tc>
          <w:tcPr>
            <w:tcW w:w="540" w:type="dxa"/>
            <w:vAlign w:val="bottom"/>
            <w:gridSpan w:val="2"/>
          </w:tcPr>
          <w:p>
            <w:pPr>
              <w:spacing w:after="0"/>
              <w:rPr>
                <w:sz w:val="18"/>
                <w:szCs w:val="18"/>
                <w:color w:val="auto"/>
              </w:rPr>
            </w:pPr>
          </w:p>
        </w:tc>
        <w:tc>
          <w:tcPr>
            <w:tcW w:w="6380" w:type="dxa"/>
            <w:vAlign w:val="bottom"/>
            <w:gridSpan w:val="3"/>
          </w:tcPr>
          <w:p>
            <w:pPr>
              <w:spacing w:after="0"/>
              <w:rPr>
                <w:sz w:val="18"/>
                <w:szCs w:val="18"/>
                <w:color w:val="auto"/>
              </w:rPr>
            </w:pPr>
          </w:p>
        </w:tc>
        <w:tc>
          <w:tcPr>
            <w:tcW w:w="9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0000FF"/>
                <w:w w:val="99"/>
              </w:rPr>
              <w:t>20</w:t>
            </w:r>
          </w:p>
        </w:tc>
        <w:tc>
          <w:tcPr>
            <w:tcW w:w="8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r>
      <w:tr>
        <w:trPr>
          <w:trHeight w:val="209"/>
        </w:trPr>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DESCRIPTION OF UNITS</w:t>
            </w:r>
          </w:p>
        </w:tc>
        <w:tc>
          <w:tcPr>
            <w:tcW w:w="460" w:type="dxa"/>
            <w:vAlign w:val="bottom"/>
            <w:gridSpan w:val="3"/>
          </w:tcPr>
          <w:p>
            <w:pPr>
              <w:spacing w:after="0"/>
              <w:rPr>
                <w:sz w:val="18"/>
                <w:szCs w:val="18"/>
                <w:color w:val="auto"/>
              </w:rPr>
            </w:pPr>
          </w:p>
        </w:tc>
        <w:tc>
          <w:tcPr>
            <w:tcW w:w="6920" w:type="dxa"/>
            <w:vAlign w:val="bottom"/>
            <w:gridSpan w:val="5"/>
          </w:tcPr>
          <w:p>
            <w:pPr>
              <w:spacing w:after="0"/>
              <w:rPr>
                <w:sz w:val="18"/>
                <w:szCs w:val="18"/>
                <w:color w:val="auto"/>
              </w:rPr>
            </w:pPr>
          </w:p>
        </w:tc>
        <w:tc>
          <w:tcPr>
            <w:tcW w:w="9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0000FF"/>
                <w:w w:val="99"/>
              </w:rPr>
              <w:t>22</w:t>
            </w:r>
          </w:p>
        </w:tc>
        <w:tc>
          <w:tcPr>
            <w:tcW w:w="8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60" w:type="dxa"/>
            <w:vAlign w:val="bottom"/>
            <w:gridSpan w:val="7"/>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r>
      <w:tr>
        <w:trPr>
          <w:trHeight w:val="210"/>
        </w:trPr>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GLOBAL SECURITIES</w:t>
            </w:r>
          </w:p>
        </w:tc>
        <w:tc>
          <w:tcPr>
            <w:tcW w:w="7380" w:type="dxa"/>
            <w:vAlign w:val="bottom"/>
            <w:gridSpan w:val="8"/>
          </w:tcPr>
          <w:p>
            <w:pPr>
              <w:spacing w:after="0"/>
              <w:rPr>
                <w:sz w:val="18"/>
                <w:szCs w:val="18"/>
                <w:color w:val="auto"/>
              </w:rPr>
            </w:pPr>
          </w:p>
        </w:tc>
        <w:tc>
          <w:tcPr>
            <w:tcW w:w="9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0000FF"/>
                <w:w w:val="99"/>
              </w:rPr>
              <w:t>23</w:t>
            </w:r>
          </w:p>
        </w:tc>
        <w:tc>
          <w:tcPr>
            <w:tcW w:w="8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360" w:type="dxa"/>
            <w:vAlign w:val="bottom"/>
            <w:gridSpan w:val="7"/>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r>
      <w:tr>
        <w:trPr>
          <w:trHeight w:val="210"/>
        </w:trPr>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9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0000FF"/>
                <w:w w:val="99"/>
              </w:rPr>
              <w:t>27</w:t>
            </w:r>
          </w:p>
        </w:tc>
        <w:tc>
          <w:tcPr>
            <w:tcW w:w="8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7360" w:type="dxa"/>
            <w:vAlign w:val="bottom"/>
            <w:gridSpan w:val="7"/>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r>
      <w:tr>
        <w:trPr>
          <w:trHeight w:val="210"/>
        </w:trPr>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7360" w:type="dxa"/>
            <w:vAlign w:val="bottom"/>
            <w:gridSpan w:val="7"/>
          </w:tcPr>
          <w:p>
            <w:pPr>
              <w:spacing w:after="0"/>
              <w:rPr>
                <w:sz w:val="18"/>
                <w:szCs w:val="18"/>
                <w:color w:val="auto"/>
              </w:rPr>
            </w:pPr>
          </w:p>
        </w:tc>
        <w:tc>
          <w:tcPr>
            <w:tcW w:w="9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0000FF"/>
                <w:w w:val="99"/>
              </w:rPr>
              <w:t>29</w:t>
            </w:r>
          </w:p>
        </w:tc>
        <w:tc>
          <w:tcPr>
            <w:tcW w:w="8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r>
      <w:tr>
        <w:trPr>
          <w:trHeight w:val="209"/>
        </w:trPr>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EXPERTS</w:t>
            </w:r>
          </w:p>
        </w:tc>
        <w:tc>
          <w:tcPr>
            <w:tcW w:w="7960" w:type="dxa"/>
            <w:vAlign w:val="bottom"/>
            <w:gridSpan w:val="12"/>
          </w:tcPr>
          <w:p>
            <w:pPr>
              <w:spacing w:after="0"/>
              <w:rPr>
                <w:sz w:val="18"/>
                <w:szCs w:val="18"/>
                <w:color w:val="auto"/>
              </w:rPr>
            </w:pPr>
          </w:p>
        </w:tc>
        <w:tc>
          <w:tcPr>
            <w:tcW w:w="9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0000FF"/>
                <w:w w:val="99"/>
              </w:rPr>
              <w:t>29</w:t>
            </w:r>
          </w:p>
        </w:tc>
        <w:tc>
          <w:tcPr>
            <w:tcW w:w="8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220"/>
          </w:cols>
          <w:pgMar w:left="340" w:top="1440" w:right="339" w:bottom="1440" w:gutter="0" w:footer="0" w:header="0"/>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or SEC, utilizing a “shelf” registration process. Under the shelf registration process, we may sell any combination of the securities described in our base prospectus included in the shelf registration statement in one or more offerings up to a total aggregate offering price of $150,000,000. The $50,000,000 of common stock that may be offered, issued and sold under this prospectus supplement is included in the $150,000,000 of securities that may be offered, issued and sold by us pursuant to our shelf registration statement.</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offering of our common stock. Before buying any of the common stock that we are offering, we urge you to carefully read this prospectus supplement and the accompanying prospectus, together with the information incorporated by reference herein and therein, as described under the headings “Where You Can Find More Information” and “Incorporation of Certain Information By Reference.” These documents contain important information that you should consider when making your investment decision.</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common stock and also adds to and updates the information contained in the accompanying prospectus and the documents incorporated by reference into this prospectus supplement and the accompanying prospectus. The accompanying prospectus gives more general information, some of which may not apply to this offering. If there is a conflict between the information contained in this prospectus supplement and the information contained in the accompanying prospectus, you should rely on the information in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 Generally, when we refer to the prospectus, we are referring collectively to this prospectus supplement and the accompanying prospectus.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not, and Cowen has not, authorized anyone to provide any information other than that contained in or incorporated by reference in this prospectus supplement, the accompanying prospectus and any free writing prospectus prepared by or on behalf of us or to which we have referred you. We and Cowen take no responsibility for, and can provide no assurance as to the reliability of, any other information that others may give you. We and the sales agent are offering to sell, and seeking offers to buy, shares of our common stock only in jurisdictions where such offers and sales are permitted. You should assume that the information appearing in this prospectus supplement, the accompanying prospectus and the documents incorporated by reference herein and therein, and in any free writing prospectus that we have authorized for use in connection with this offering, is accurate only as of the dates of those respective documents, regardless of the time of delivery of such documents or of any sale of shares of our common stock. Our business, financial condition, results of operations and prospects may have changed since those dates. You should read this prospectus supplement and the accompanying prospectus, the documents incorporated by reference herein and therein, and any free writing prospectus that we have authorized for use in connection with this offering in their entirety before making an investment decision.</w:t>
      </w:r>
    </w:p>
    <w:p>
      <w:pPr>
        <w:spacing w:after="0" w:line="1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supplement and the accompanying prospectus to “Exagen,” “the Company,” “we,” “us,” “our” and similar references refer to Exagen Inc.</w:t>
      </w:r>
    </w:p>
    <w:p>
      <w:pPr>
        <w:spacing w:after="0" w:line="162"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information incorporated by reference herein and therein, and any free writing prospectuses we have authorized for use in connection with this offering, contains registered marks, trademarks and trade names owned by us or other companies, which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240"/>
          </w:cols>
          <w:pgMar w:left="320" w:top="1440" w:right="339" w:bottom="1440" w:gutter="0" w:footer="0" w:header="0"/>
        </w:sectPr>
      </w:pPr>
    </w:p>
    <w:bookmarkStart w:id="3" w:name="page4"/>
    <w:bookmarkEnd w:id="3"/>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and the accompanying prospectus. This summary does not contain all of the information that you should consider before deciding whether to invest in our common stock. For a more complete understanding of our company and this offering, we encourage you to read and carefully consider the more detailed information contained in this prospectus supplement and the accompanying prospectus, including the information incorporated by reference herein and therein, and the information in any free writing prospectus that we have authorized for use in connection with this offering, including the risks described under the section titled “Risk Factors” in this prospectus supplement and the accompanying prospectus and in our Quarterly Report on Form 10-Q for the quarter ended June 30, 2022, as updated by our subsequent filings under the Exchange Act, each of which are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Exagen Inc.</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 brand, several of which are based on our proprietary Cell-Bound Complement Activation Products technology. Our goal is to enable healthcare providers to improve care for patients through the differential diagnosis, prognosis and monitoring of complex autoimmune and autoimmune-related diseases, including systemic lupus erythematosus (SLE), and rheumatoid arthritis (RA). Our business model of integrating testing products and therapeutics positions us to offer targeted solutions to rheumatologists and, ultimately, better serve patients.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business and operations, please refer to the reports incorporated herein by reference, as described under the caption “Incorporation of Certain Information By Reference” on page </w:t>
      </w:r>
      <w:r>
        <w:rPr>
          <w:rFonts w:ascii="Times New Roman" w:cs="Times New Roman" w:eastAsia="Times New Roman" w:hAnsi="Times New Roman"/>
          <w:sz w:val="18"/>
          <w:szCs w:val="18"/>
          <w:u w:val="single" w:color="auto"/>
          <w:color w:val="0000FF"/>
        </w:rPr>
        <w:t>S-12</w:t>
      </w:r>
      <w:r>
        <w:rPr>
          <w:rFonts w:ascii="Times New Roman" w:cs="Times New Roman" w:eastAsia="Times New Roman" w:hAnsi="Times New Roman"/>
          <w:sz w:val="18"/>
          <w:szCs w:val="18"/>
          <w:color w:val="auto"/>
        </w:rPr>
        <w:t xml:space="preserve">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 Our website address is www.exagen.com. The information on, or accessible through, our website is not part of, and is not incorporated into, this prospectus supplement or the accompanying prospectus and should not be considered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80"/>
          </w:cols>
          <w:pgMar w:left="320" w:top="1440" w:right="39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63"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Common Stock to Be Outstanding After This Offering</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Manner of Offering</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Nasdaq Capital Market Symbol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$50,000,000.</w:t>
      </w:r>
    </w:p>
    <w:p>
      <w:pPr>
        <w:spacing w:after="0" w:line="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 to 27,057,943 shares (as more fully described in the notes following this table), assuming sales of 10,799,136 shares of our common stock in this offering at an offering price of $4.63 per share, which was the last reported sale price of our common stock on Nasdaq on September 13, 2022. The actual number of shares issued will vary depending on the sales price under this offering.</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“At the market offering” that may be made from time to time through our sales agent, Cowen. See “Plan of Distribution” on page </w:t>
      </w:r>
      <w:r>
        <w:rPr>
          <w:rFonts w:ascii="Times New Roman" w:cs="Times New Roman" w:eastAsia="Times New Roman" w:hAnsi="Times New Roman"/>
          <w:sz w:val="18"/>
          <w:szCs w:val="18"/>
          <w:u w:val="single" w:color="auto"/>
          <w:color w:val="0000FF"/>
        </w:rPr>
        <w:t>S-10</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right="360"/>
        <w:spacing w:after="0" w:line="246" w:lineRule="auto"/>
        <w:rPr>
          <w:sz w:val="20"/>
          <w:szCs w:val="20"/>
          <w:color w:val="auto"/>
        </w:rPr>
      </w:pPr>
      <w:r>
        <w:rPr>
          <w:rFonts w:ascii="Times New Roman" w:cs="Times New Roman" w:eastAsia="Times New Roman" w:hAnsi="Times New Roman"/>
          <w:sz w:val="18"/>
          <w:szCs w:val="18"/>
          <w:color w:val="auto"/>
        </w:rPr>
        <w:t xml:space="preserve">We currently intend to use the net proceeds from this offering, if any, for general corporate purposes, including working capital and other general and administrative purposes. See “Use of Proceeds” on page </w:t>
      </w:r>
      <w:r>
        <w:rPr>
          <w:rFonts w:ascii="Times New Roman" w:cs="Times New Roman" w:eastAsia="Times New Roman" w:hAnsi="Times New Roman"/>
          <w:sz w:val="18"/>
          <w:szCs w:val="18"/>
          <w:u w:val="single" w:color="auto"/>
          <w:color w:val="0000FF"/>
        </w:rPr>
        <w:t>S-7</w:t>
      </w:r>
      <w:r>
        <w:rPr>
          <w:sz w:val="1"/>
          <w:szCs w:val="1"/>
          <w:color w:val="auto"/>
        </w:rPr>
        <w:drawing>
          <wp:inline distT="0" distB="0" distL="0" distR="0">
            <wp:extent cx="3429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of this prospectus supplement.</w:t>
      </w:r>
    </w:p>
    <w:p>
      <w:pPr>
        <w:spacing w:after="0" w:line="3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and other information included in this prospectus supplement and the documents incorporated by reference herein and in the accompanying prospectus for a discussion of factors you should carefully consider before deciding to invest in shares of our common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“XGN”</w:t>
      </w:r>
    </w:p>
    <w:p>
      <w:pPr>
        <w:spacing w:after="0" w:line="200" w:lineRule="exact"/>
        <w:rPr>
          <w:sz w:val="20"/>
          <w:szCs w:val="20"/>
          <w:color w:val="auto"/>
        </w:rPr>
      </w:pPr>
    </w:p>
    <w:p>
      <w:pPr>
        <w:sectPr>
          <w:pgSz w:w="11900" w:h="16838" w:orient="portrait"/>
          <w:cols w:equalWidth="0" w:num="2">
            <w:col w:w="3300" w:space="300"/>
            <w:col w:w="7620"/>
          </w:cols>
          <w:pgMar w:left="320" w:top="1440" w:right="359" w:bottom="1440" w:gutter="0" w:footer="0" w:header="0"/>
        </w:sectPr>
      </w:pPr>
    </w:p>
    <w:p>
      <w:pPr>
        <w:spacing w:after="0" w:line="14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this offering set forth above is based on 16,258,807 shares of our common stock outstanding as of June 30, 2022. This number excludes:</w:t>
      </w:r>
    </w:p>
    <w:p>
      <w:pPr>
        <w:spacing w:after="0" w:line="162" w:lineRule="exact"/>
        <w:rPr>
          <w:sz w:val="20"/>
          <w:szCs w:val="20"/>
          <w:color w:val="auto"/>
        </w:rPr>
      </w:pPr>
    </w:p>
    <w:p>
      <w:pPr>
        <w:ind w:left="660" w:right="40" w:hanging="328"/>
        <w:spacing w:after="0" w:line="282" w:lineRule="auto"/>
        <w:tabs>
          <w:tab w:leader="none" w:pos="57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1,949,374 shares of our common stock issuable upon the exercise of stock options outstanding as of June 30, 2022 under our equity incentive plans at a weighted-average exercise price of $11.76 per share;</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784,940 restricted stock units, or RSUs, outstanding as of June 30, 2022 under our equity incentive plans;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453,484 shares of our common stock reserved as of June 30, 2022 for future issuance under our 2019 Employee Stock Purchase Plan, or the ESPP;</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1,430,690 shares of our common stock reserved as of June 30, 2022 for future issuance under our 2019 Incentive Award Plan, or the 2019 Plan; and</w:t>
      </w:r>
    </w:p>
    <w:p>
      <w:pPr>
        <w:spacing w:after="0" w:line="128"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57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1,214,059 shares of our common stock issuable upon the exercise of warrants outstanding as of June 30, 2022 at a weighted-average exercise price of $1.70 per share.</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outstanding stock options or warrants subsequent to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20"/>
          </w:cols>
          <w:pgMar w:left="320" w:top="1440" w:right="359" w:bottom="1440" w:gutter="0" w:footer="0" w:header="0"/>
          <w:type w:val="continuous"/>
        </w:sectPr>
      </w:pPr>
    </w:p>
    <w:bookmarkStart w:id="5" w:name="page6"/>
    <w:bookmarkEnd w:id="5"/>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review the risks and uncertainties described below and in the section titled “Risk Factors” in our Annual Report on Form 10-K for the year ended December 31, 2021 and Quarterly Report on Form 10-Q for the quarter ended June 30, 2022, as updated by our subsequent filings under the Exchange Act, each of which are incorporated by reference into this prospectus supplement in their entirety, together with all of the other information contained in or incorporated by reference into this prospectus supplement, the accompanying prospectus and any free writing prospectus that we have authorized for use in connection with this offering, before deciding whether to purchase any of the securities being registered pursuant to the registration statement of which this prospectus supplement and the accompanying prospectus is a part. The risks and uncertainties described in these risk factors are not the only ones facing us. Additional risks and uncertainties of which we are currently unaware or that we currently consider to be immaterial may also become important factors that affect us. If any of these risks occur, our business, financial condition or results of operations could be materially and adversely affected. In that case, the value of our common stock could decline, and you may lose some or all of your investment. Please also carefully read the section below titled “Cautionary Note Regarding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experience immediate and substantial dilution.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common stock outstanding prior to this offering. Assuming that an aggregate of 10,799,136 shares of our common stock are sold at a price of $4.63 per share, the last reported sale price of our common stock on Nasdaq on September 13, 2022, for aggregate gross proceeds of $50.0 million, and after deducting estimated offering commissions and offering expenses payable by us, you would experience immediate dilution of $0.68 per share, representing the difference between our as adjusted net tangible book value per share as of June 30, 2022 after giving effect to this offering and the assumed offering price. The exercise of outstanding stock options, vesting of RSUs and exercise of warrants would result in further dilution of your investment. See the section below titled “Dilution” for a more detailed illustration of the dilution you will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experience future dilution as a result of future equity offerings.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might apply the net proceeds from this offering in ways with which you do not agree and in ways that may impair the value of your investment.</w:t>
      </w:r>
    </w:p>
    <w:p>
      <w:pPr>
        <w:spacing w:after="0" w:line="159" w:lineRule="exact"/>
        <w:rPr>
          <w:sz w:val="20"/>
          <w:szCs w:val="20"/>
          <w:color w:val="auto"/>
        </w:rPr>
      </w:pPr>
    </w:p>
    <w:p>
      <w:pPr>
        <w:jc w:val="both"/>
        <w:ind w:right="120" w:firstLine="324"/>
        <w:spacing w:after="0" w:line="289" w:lineRule="auto"/>
        <w:rPr>
          <w:sz w:val="20"/>
          <w:szCs w:val="20"/>
          <w:color w:val="auto"/>
        </w:rPr>
      </w:pPr>
      <w:r>
        <w:rPr>
          <w:rFonts w:ascii="Times New Roman" w:cs="Times New Roman" w:eastAsia="Times New Roman" w:hAnsi="Times New Roman"/>
          <w:sz w:val="17"/>
          <w:szCs w:val="17"/>
          <w:color w:val="auto"/>
        </w:rPr>
        <w:t>We currently intend to use the net proceeds from this offering, if any, for general corporate purposes, including working capital and other general and administrative purposes. We may also use any net proceeds from this offering for acquisitions of complementary products, technologies or businesses, but we do not have any agreements or commitments for any specific acquisitions as of the date of this prospectus supplement. We have not reserved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220"/>
          </w:cols>
          <w:pgMar w:left="320" w:top="1440" w:right="359" w:bottom="1440" w:gutter="0" w:footer="0" w:header="0"/>
        </w:sectPr>
      </w:pPr>
    </w:p>
    <w:bookmarkStart w:id="6" w:name="page7"/>
    <w:bookmarkEnd w:id="6"/>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allocated specific amounts for any of these purposes and we cannot specify with certainty how we will use any net proceeds, and the timing and amount of our actual expenditures will be based on many factors, including, among others, cash flows from operations and any growth of our business. Until the funds are used as described above, we intend to invest any net proceeds from this offering in interest bearing, investment grade securities. Our management will have broad discretion in applying any net proceeds of this offering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at any one time or in total, is uncertain.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Cowen at any time throughout the term of the sales agreement. The number of shares that are sold by Cowen after delivering a placement notice will fluctuate based on the market price of the common shares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common stock offered hereby will be sold in “at the market offerings,” and investors who buy shares of our common stock at different times will likely pay different prices.</w:t>
      </w:r>
    </w:p>
    <w:p>
      <w:pPr>
        <w:spacing w:after="0" w:line="15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Investors who purchase shares of our common stock in this offering at different times will likely pay different prices, and so may experience different levels of dilution and different outcomes in their investment results. We will have discretion, subject to market demand, to vary the timing, prices, and numbers of shares of our common stock sold in this offering. In addition, subject to the final determination by our board of directors, there is no minimum or maximum sales price for shares of our common stock to be sold in this offering. Investors may experience a decline in the value of the shares of common stock they purchase in this offering as a result of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240"/>
          </w:cols>
          <w:pgMar w:left="320" w:top="1440" w:right="339" w:bottom="1440" w:gutter="0" w:footer="0" w:header="0"/>
        </w:sectPr>
      </w:pPr>
    </w:p>
    <w:bookmarkStart w:id="7" w:name="page8"/>
    <w:bookmarkEnd w:id="7"/>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w:t>
      </w:r>
    </w:p>
    <w:p>
      <w:pPr>
        <w:spacing w:after="0" w:line="8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risks arising from epidemic diseases, such as the continuing global pandemic of the COVID-19 coronavirus;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we expect to incur net losses in the future and we may not be able to generate sufficient revenue to achieve and maintain profitability;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53"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depends, in part, on our ability to execute on our strategy of integrating the promotion of our existing and future proprietary testing products with the promotion of therapeutics through third party collaborations and strategic partnerships, and we may be unsuccessful in our efforts to establish such relationships or our promotion efforts after any such relationships are established, which could adversely affect our ability to implement this strategy;</w:t>
      </w:r>
    </w:p>
    <w:p>
      <w:pPr>
        <w:spacing w:after="0" w:line="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secure and maintain partners for our integrated testing and therapeutics strategy, or if our future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manage our ongoing growth effectively, which could make it difficult to execute our business strategy;</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on attaining and maintaining significant market acceptance of our testing products and promoted therapeutics among rheumatologists, patients, third-party payors and others in the medical community;</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sole suppliers for some of the reagents, equipment and other materials used in our testing products, and we may not be able to fund replacements or transition to alternative suppliers;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support demand for our current testing products or any of our future testing products or solutions, our business could suffer;</w:t>
      </w:r>
    </w:p>
    <w:p>
      <w:pPr>
        <w:spacing w:after="0" w:line="11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we may be unable to increase or sustain our revenue or achieve profitability;</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testing products involves a lengthy and complex process, and we may not be able to commercialize on a timely basis, or at all, other testing products we are developing;</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sole laboratory facility becomes damaged or inoperable, we are required to vacate our existing facility or we are unable to expand our existing facility as needed, we will be unable to perform our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00"/>
          </w:cols>
          <w:pgMar w:left="320" w:top="1440" w:right="379" w:bottom="1440" w:gutter="0" w:footer="0" w:header="0"/>
        </w:sectPr>
      </w:pPr>
    </w:p>
    <w:bookmarkStart w:id="8" w:name="page9"/>
    <w:bookmarkEnd w:id="8"/>
    <w:p>
      <w:pPr>
        <w:spacing w:after="0" w:line="8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services and our business will be harmed and, in addition, we are in the process of converting warehouse space into additional laboratory facilities, but this may not be successful;</w:t>
      </w:r>
    </w:p>
    <w:p>
      <w:pPr>
        <w:spacing w:after="0" w:line="54" w:lineRule="exact"/>
        <w:rPr>
          <w:sz w:val="20"/>
          <w:szCs w:val="20"/>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intellectual property protection our competitive position could be harmed;</w:t>
      </w:r>
    </w:p>
    <w:p>
      <w:pPr>
        <w:spacing w:after="0" w:line="117" w:lineRule="exact"/>
        <w:rPr>
          <w:rFonts w:ascii="Times New Roman" w:cs="Times New Roman" w:eastAsia="Times New Roman" w:hAnsi="Times New Roman"/>
          <w:sz w:val="18"/>
          <w:szCs w:val="18"/>
          <w:color w:val="auto"/>
        </w:rPr>
      </w:pPr>
    </w:p>
    <w:p>
      <w:pPr>
        <w:ind w:left="660" w:right="40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31" w:lineRule="exact"/>
        <w:rPr>
          <w:rFonts w:ascii="Times New Roman" w:cs="Times New Roman" w:eastAsia="Times New Roman" w:hAnsi="Times New Roman"/>
          <w:sz w:val="17"/>
          <w:szCs w:val="17"/>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above factors and other future events on the market price of our common stock;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from this offering, if any.</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20"/>
          </w:cols>
          <w:pgMar w:left="320" w:top="1440" w:right="359" w:bottom="1440" w:gutter="0" w:footer="0" w:header="0"/>
        </w:sectPr>
      </w:pPr>
    </w:p>
    <w:bookmarkStart w:id="9" w:name="page10"/>
    <w:bookmarkEnd w:id="9"/>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$50.0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Cowen as a source of financing.</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if any, for general corporate purposes, including working capital and other general and administrative purposes. We may also use any net proceeds from this offering for acquisitions of complementary products, technologies or businesses, but we do not have any agreements or commitments for any specific acquisitions as of the date of this prospectus supplement. We have not reserved or allocated specific amounts for any of these purposes and we cannot specify with certainty how we will use any net proceeds, and the timing and amount of our actual expenditures will be based on many factors, including, among others, cash flows from operations and any growth of our business. Our management will have broad discretion in applying any net proceeds of this offering. Until the funds are used as described above, we intend to invest any net proceeds from this offering in interest bearing, investment grade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80"/>
          </w:cols>
          <w:pgMar w:left="320" w:top="1440" w:right="399" w:bottom="1440" w:gutter="0" w:footer="0" w:header="0"/>
        </w:sectPr>
      </w:pPr>
    </w:p>
    <w:bookmarkStart w:id="10" w:name="page11"/>
    <w:bookmarkEnd w:id="10"/>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June 30, 2022 was approximately $58.7 million, or $3.61 per share. Net tangible book value per share is determined by dividing our total tangible assets, less total liabilities, by the number of shares of our common stock outstanding as of June 30, 2022. Dilution with respect to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80" w:lineRule="exact"/>
        <w:rPr>
          <w:sz w:val="20"/>
          <w:szCs w:val="20"/>
          <w:color w:val="auto"/>
        </w:rPr>
      </w:pPr>
    </w:p>
    <w:p>
      <w:pPr>
        <w:ind w:right="360" w:firstLine="324"/>
        <w:spacing w:after="0" w:line="277" w:lineRule="auto"/>
        <w:rPr>
          <w:sz w:val="20"/>
          <w:szCs w:val="20"/>
          <w:color w:val="auto"/>
        </w:rPr>
      </w:pPr>
      <w:r>
        <w:rPr>
          <w:rFonts w:ascii="Times New Roman" w:cs="Times New Roman" w:eastAsia="Times New Roman" w:hAnsi="Times New Roman"/>
          <w:sz w:val="17"/>
          <w:szCs w:val="17"/>
          <w:color w:val="auto"/>
        </w:rPr>
        <w:t>After giving effect to the sale of 10,799,136 shares of our common stock in this offering at an assumed offering price of $4.63 per share, the last reported sale price of our common stock on Nasdaq on September 13, 2022, and after deducting estimated offering commissions and offering expenses payable by us, our as adjusted net tangible book value as of June 30, 2022 would have been approximately $107.0 million, or $3.95 per share. This represents an immediate increase in net tangible book value of $0.34 per share to existing stockholders and immediate dilution of $0.68 per share to investors purchasing our common stock in this offering at the public offering price. The following table illustrates this dilution on a per share basis: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tangible book value per share of as June 30, 2022</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3.61</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0.34</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as of June 30, 2022, after giving effect to this offering</w:t>
            </w:r>
          </w:p>
        </w:tc>
        <w:tc>
          <w:tcPr>
            <w:tcW w:w="1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investors purchasing our common stock in this offering</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this offering is based on 16,258,807 shares of our common stock outstanding as of June 30, 2022. This number excludes:</w:t>
      </w:r>
    </w:p>
    <w:p>
      <w:pPr>
        <w:spacing w:after="0" w:line="162" w:lineRule="exact"/>
        <w:rPr>
          <w:sz w:val="20"/>
          <w:szCs w:val="20"/>
          <w:color w:val="auto"/>
        </w:rPr>
      </w:pPr>
    </w:p>
    <w:p>
      <w:pPr>
        <w:ind w:left="660" w:right="60" w:hanging="328"/>
        <w:spacing w:after="0" w:line="282"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1,949,374 shares of our common stock issuable upon the exercise of stock options outstanding as of June 30, 2022 under our equity incentive plans at a weighted-average exercise price of $11.76 per share;</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784,940 restricted stock units, or RSUs, outstanding as of June 30, 2022 under our equity incentive plans;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453,484 shares of our common stock reserved as of June 30, 2022 for future issuance under our 2019 Employee Stock Purchase Plan, or the ESPP;</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1,430,690 shares of our common stock reserved as of June 30, 2022 for future issuance under our 2019 Incentive Award Plan, or the 2019 Plan; and</w:t>
      </w:r>
    </w:p>
    <w:p>
      <w:pPr>
        <w:spacing w:after="0" w:line="128" w:lineRule="exact"/>
        <w:rPr>
          <w:rFonts w:ascii="Times New Roman" w:cs="Times New Roman" w:eastAsia="Times New Roman" w:hAnsi="Times New Roman"/>
          <w:sz w:val="17"/>
          <w:szCs w:val="17"/>
          <w:color w:val="auto"/>
        </w:rPr>
      </w:pPr>
    </w:p>
    <w:p>
      <w:pPr>
        <w:ind w:left="660" w:right="100" w:hanging="328"/>
        <w:spacing w:after="0" w:line="282"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1,214,059 shares of our common stock issuable upon the exercise of warrants outstanding as of June 30, 2022 at a weighted-average exercise price of $1.70 per share.</w:t>
      </w:r>
    </w:p>
    <w:p>
      <w:pPr>
        <w:spacing w:after="0" w:line="162"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10,799,136 shares of our common stock are sold during the term of the sales agreement with Cowen at a price of $4.63 per share, the last reported sale price of our common stock on Nasdaq on September 13, 2022, for aggregate gross proceeds of $50.0 million. The shares subject to the sales agreement with Cowen may be sold from time to time at various prices. An increase of $1.00 per share in the price at which the shares are sold from the assumed offering price of $4.63 per share shown in the table above, assuming all of our common stock in the aggregate amount of $50.0 million during the term of the sales agreement with Cowen is sold at that price, would increase our adjusted net tangible book value per share after the offering to $4.34 per share and would increase the dilution in net tangible book value per share to new investors in this offering to $1.29 per share, after deducting estimated offering commissions and offering expenses payable by us. A decrease of $1.00 per share in the price at which the shares are sold from the assumed offering price of $4.63 per share shown in the table above, assuming all of our common stock in the aggregate amount of $50.0 million during the term of the sales agreement with Cowen is sold at that price, would decrease our adjusted net tangible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book value per share after the offering to $3.57 per share and would decrease the dilution in net tangible book value per share to new investors in this offering to $0.06 per share, after deducting estimated offering commissions and offering expenses payable by us. This information is supplied for illustrative purposes only.</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options or warrants outstanding as of June 30, 2022 have been or may be exercised, RSUs outstanding as of June 30, 2022 have been or may be vested, or we issue additional options, RSUs, warrants or shares of our common stock,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00"/>
          </w:cols>
          <w:pgMar w:left="320" w:top="1440" w:right="379" w:bottom="1440" w:gutter="0" w:footer="0" w:header="0"/>
        </w:sectPr>
      </w:pPr>
    </w:p>
    <w:bookmarkStart w:id="12" w:name="page13"/>
    <w:bookmarkEnd w:id="12"/>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a sales agreement with Cowen, under which we may issue and sell from time to time up to $50,000,000 of our common stock through Cowen as our sales agent. Sales of our common stock, if any, will be made at market prices by any method that is deemed to be an “at the market offering” as defined in Rule 415(a)(4) under the Securities Act, including sales made directly on Nasdaq or any other trading market for our common stock.</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Cowen and we each have the right, by giving written notice as specified in the sales agreement, to terminate the sales agreement in each party’s sole discretion at any time.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Cowen as sales agent is equal to 3.0% of the gross sales price of the shares sold through it pursuant to the sales agreement. We have also agreed to reimburse Cowen up to $75,000 of Cowen’s actual outside legal expenses incurred by Cowen in connection with this offering. We estimate that the total expenses of the offering payable by us, excluding commissions payable to Cowen under the sales agreement, will be approximately $0.2 million.</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Cowen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Cowen under the sales agreement, the net proceeds to us and the compensation paid by us to Cowen in connection with the sales of common stock.</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 that stabilizes our common stock.</w:t>
      </w:r>
    </w:p>
    <w:p>
      <w:pPr>
        <w:spacing w:after="0" w:line="18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and trades under the symbol “XGN.” The transfer agent of our common stock is Computershare Investor Services.</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20"/>
          </w:cols>
          <w:pgMar w:left="320" w:top="1440" w:right="359" w:bottom="1440" w:gutter="0" w:footer="0" w:header="0"/>
        </w:sectPr>
      </w:pPr>
    </w:p>
    <w:bookmarkStart w:id="13" w:name="page14"/>
    <w:bookmarkEnd w:id="13"/>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Certain legal matters relating to the issuance of the shares offered by this prospectus supplement and the accompanying prospectus will be passed upon for us by Mintz, Levin, Cohn, Ferris, Glovsky and Popeo, P.C., San Diego, California. Duane Morris LLP, New York, New York, is counsel to Cowen in connection with this offering.</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2021 and 2020 and for the years then ended incorporated by reference in this Prospectus have been so incorporated in reliance on the report of BDO USA, LLP, an independent registered public accounting firm, incorporated herein by reference, given on the authority of said firm as experts in auditing and accounting.</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and does not contain all of the information set forth in the registration statement and the exhibits to the registration statement. The rules and regulations of the SEC allow us to omit from this prospectus supplement and the accompanying prospectus certain information included in the registration statement. For further information with respect to us and the securities we are offering under this prospectus supplement, we refer you to the registration statement and the exhibits and schedules filed as a part of the registration statement. We have not, and Cowen has not, authorized anyone to provide any information other than that contained in or incorporated by reference in this prospectus supplement, the accompanying prospectus and any free writing prospectus prepared by or on behalf of us or to which we have referred you. We and Cowen take no responsibility for, and can provide no assurance as to the reliability of, any other information that others may give you. We and Cowen are offering to sell, and seeking offers to buy, shares of our common stock only in jurisdictions where such offers and sales are permitted. You should assume that the information appearing in this prospectus supplement, the accompanying prospectus and the documents incorporated by reference herein and therein, and in any free writing prospectus that we have authorized for use in connection with this offering, is accurate only as of the dates of those respective documents, regardless of the time of delivery of such documents or of any sale of shares of our common stock.</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that contains reports, proxy and information statements and other information regarding issuers that file electronically with the SEC, including Exagen. The address of the SEC website is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80" w:firstLine="324"/>
        <w:spacing w:after="0" w:line="315" w:lineRule="auto"/>
        <w:rPr>
          <w:sz w:val="20"/>
          <w:szCs w:val="20"/>
          <w:color w:val="auto"/>
        </w:rPr>
      </w:pPr>
      <w:r>
        <w:rPr>
          <w:rFonts w:ascii="Times New Roman" w:cs="Times New Roman" w:eastAsia="Times New Roman" w:hAnsi="Times New Roman"/>
          <w:sz w:val="17"/>
          <w:szCs w:val="17"/>
          <w:color w:val="auto"/>
        </w:rPr>
        <w:t xml:space="preserve">We maintain a website at </w:t>
      </w:r>
      <w:r>
        <w:rPr>
          <w:rFonts w:ascii="Times New Roman" w:cs="Times New Roman" w:eastAsia="Times New Roman" w:hAnsi="Times New Roman"/>
          <w:sz w:val="17"/>
          <w:szCs w:val="17"/>
          <w:i w:val="1"/>
          <w:iCs w:val="1"/>
          <w:u w:val="single" w:color="auto"/>
          <w:color w:val="auto"/>
        </w:rPr>
        <w:t>www.exagen.com.</w:t>
      </w:r>
      <w:r>
        <w:rPr>
          <w:rFonts w:ascii="Times New Roman" w:cs="Times New Roman" w:eastAsia="Times New Roman" w:hAnsi="Times New Roman"/>
          <w:sz w:val="17"/>
          <w:szCs w:val="17"/>
          <w:color w:val="auto"/>
        </w:rPr>
        <w:t xml:space="preserve"> The information contained on, or that can be accessed through, our website is not a part of this prospectus supplement or the accompanying prospectus, and our reference to the address for our website is intended to be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20"/>
          </w:cols>
          <w:pgMar w:left="320" w:top="1440" w:right="359" w:bottom="1440" w:gutter="0" w:footer="0" w:header="0"/>
        </w:sectPr>
      </w:pPr>
    </w:p>
    <w:bookmarkStart w:id="14" w:name="page15"/>
    <w:bookmarkEnd w:id="14"/>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supplement and the accompanying prospectus and information we file later with the SEC will automatically update and supersede this information. We incorporate by reference into this prospectus supplement and the accompanying prospectus the documents listed below and any future filings made by us with the SEC under Sections 13(a), 13(c), 14 or 15(d) of the Exchange Act (1) after the date of this prospectus supplement and prior to the time that we sell all of the securities offered by this prospectus supplement or the earlier termination of the offering, and (2) after the date of the initial registration statement of which this prospectus supplement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92" w:lineRule="exact"/>
        <w:rPr>
          <w:sz w:val="20"/>
          <w:szCs w:val="20"/>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2">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22, 2022;</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March 31, 2022 filed with the SEC on </w:t>
      </w:r>
      <w:hyperlink r:id="rId13">
        <w:r>
          <w:rPr>
            <w:rFonts w:ascii="Times New Roman" w:cs="Times New Roman" w:eastAsia="Times New Roman" w:hAnsi="Times New Roman"/>
            <w:sz w:val="18"/>
            <w:szCs w:val="18"/>
            <w:u w:val="single" w:color="auto"/>
            <w:color w:val="0000FF"/>
          </w:rPr>
          <w:t>May 11,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quarter ended June 30, 2022 filed with the SEC on </w:t>
      </w:r>
      <w:hyperlink r:id="rId14">
        <w:r>
          <w:rPr>
            <w:rFonts w:ascii="Times New Roman" w:cs="Times New Roman" w:eastAsia="Times New Roman" w:hAnsi="Times New Roman"/>
            <w:sz w:val="18"/>
            <w:szCs w:val="18"/>
            <w:u w:val="single" w:color="auto"/>
            <w:color w:val="0000FF"/>
          </w:rPr>
          <w:t>August 4, 2022</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5">
        <w:r>
          <w:rPr>
            <w:rFonts w:ascii="Times New Roman" w:cs="Times New Roman" w:eastAsia="Times New Roman" w:hAnsi="Times New Roman"/>
            <w:sz w:val="18"/>
            <w:szCs w:val="18"/>
            <w:u w:val="single" w:color="auto"/>
            <w:color w:val="0000FF"/>
          </w:rPr>
          <w:t>April 28, 2022</w:t>
        </w:r>
      </w:hyperlink>
      <w:r>
        <w:rPr>
          <w:rFonts w:ascii="Times New Roman" w:cs="Times New Roman" w:eastAsia="Times New Roman" w:hAnsi="Times New Roman"/>
          <w:sz w:val="18"/>
          <w:szCs w:val="18"/>
          <w:color w:val="auto"/>
        </w:rPr>
        <w:t xml:space="preserve">, and </w:t>
      </w:r>
      <w:hyperlink r:id="rId16">
        <w:r>
          <w:rPr>
            <w:rFonts w:ascii="Times New Roman" w:cs="Times New Roman" w:eastAsia="Times New Roman" w:hAnsi="Times New Roman"/>
            <w:sz w:val="18"/>
            <w:szCs w:val="18"/>
            <w:u w:val="single" w:color="auto"/>
            <w:color w:val="0000FF"/>
          </w:rPr>
          <w:t>June 21,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for the information furnished under Items 2.02 or 7.01 and the exhibits thereto); and</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September 13, 2019, including any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All documents filed by us pursuant to Section 13(a), 13(c), 14 or 15(d) of the Exchange Act subsequent to the filing of the registration statement of which this prospectus supplement forms a part and prior to the filing of a post-effective amendment, which indicates that all securities offered hereby have been sold or which deregisters all securities then remaining unsold, shall be deemed to be incorporated by reference into the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the registration statement of which this prospectus supplement forms a part to the extent that a statement contained in any subsequently filed document, which also is deemed to be incorporated by reference herein, modifies or supersedes such statement.</w:t>
      </w:r>
    </w:p>
    <w:p>
      <w:pPr>
        <w:spacing w:after="0" w:line="189" w:lineRule="exact"/>
        <w:rPr>
          <w:rFonts w:ascii="Times New Roman" w:cs="Times New Roman" w:eastAsia="Times New Roman" w:hAnsi="Times New Roman"/>
          <w:sz w:val="18"/>
          <w:szCs w:val="18"/>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You may request, orally or in writing, a copy of any or all of the documents incorporated herein by reference. These documents will be provided to you at no cost, by calling us at (760) 560-1501 or by contacting: Exagen Inc., Attn: Corporate Secretary: 1261 Liberty Way, Vista, California 92081. In addition, copies of any or all of the documents incorporated herein by reference may be accessed at our website at </w:t>
      </w:r>
      <w:r>
        <w:rPr>
          <w:rFonts w:ascii="Times New Roman" w:cs="Times New Roman" w:eastAsia="Times New Roman" w:hAnsi="Times New Roman"/>
          <w:sz w:val="18"/>
          <w:szCs w:val="18"/>
          <w:i w:val="1"/>
          <w:iCs w:val="1"/>
          <w:u w:val="single" w:color="auto"/>
          <w:color w:val="auto"/>
        </w:rPr>
        <w:t>www.exagen.com</w:t>
      </w:r>
      <w:r>
        <w:rPr>
          <w:rFonts w:ascii="Times New Roman" w:cs="Times New Roman" w:eastAsia="Times New Roman" w:hAnsi="Times New Roman"/>
          <w:sz w:val="18"/>
          <w:szCs w:val="18"/>
          <w:color w:val="auto"/>
        </w:rPr>
        <w:t>. The information contained on, or that can be accessed through, our website is not a part of this prospectus supplement or the accompanying prospectus, and our reference to the address for our website is intended to be an inactive textual reference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225425</wp:posOffset>
            </wp:positionV>
            <wp:extent cx="2863215" cy="105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86321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$150,000,000</w:t>
      </w:r>
    </w:p>
    <w:p>
      <w:pPr>
        <w:spacing w:after="0" w:line="6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ind w:left="4780"/>
        <w:spacing w:after="0" w:line="216" w:lineRule="auto"/>
        <w:rPr>
          <w:sz w:val="20"/>
          <w:szCs w:val="20"/>
          <w:color w:val="auto"/>
        </w:rPr>
      </w:pPr>
      <w:r>
        <w:rPr>
          <w:rFonts w:ascii="Times New Roman" w:cs="Times New Roman" w:eastAsia="Times New Roman" w:hAnsi="Times New Roman"/>
          <w:sz w:val="25"/>
          <w:szCs w:val="25"/>
          <w:b w:val="1"/>
          <w:bCs w:val="1"/>
          <w:color w:val="auto"/>
        </w:rPr>
        <w:t>Preferred Stock</w:t>
      </w:r>
    </w:p>
    <w:p>
      <w:pPr>
        <w:ind w:left="4800"/>
        <w:spacing w:after="0" w:line="203" w:lineRule="auto"/>
        <w:rPr>
          <w:sz w:val="20"/>
          <w:szCs w:val="20"/>
          <w:color w:val="auto"/>
        </w:rPr>
      </w:pPr>
      <w:r>
        <w:rPr>
          <w:rFonts w:ascii="Times New Roman" w:cs="Times New Roman" w:eastAsia="Times New Roman" w:hAnsi="Times New Roman"/>
          <w:sz w:val="25"/>
          <w:szCs w:val="25"/>
          <w:b w:val="1"/>
          <w:bCs w:val="1"/>
          <w:color w:val="auto"/>
        </w:rPr>
        <w:t>Debt Securities</w:t>
      </w:r>
    </w:p>
    <w:p>
      <w:pPr>
        <w:jc w:val="center"/>
        <w:ind w:right="-119"/>
        <w:spacing w:after="0" w:line="214"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8" w:lineRule="exact"/>
        <w:rPr>
          <w:sz w:val="20"/>
          <w:szCs w:val="20"/>
          <w:color w:val="auto"/>
        </w:rPr>
      </w:pPr>
    </w:p>
    <w:p>
      <w:pPr>
        <w:ind w:right="600" w:firstLine="324"/>
        <w:spacing w:after="0" w:line="237" w:lineRule="auto"/>
        <w:rPr>
          <w:sz w:val="20"/>
          <w:szCs w:val="20"/>
          <w:color w:val="auto"/>
        </w:rPr>
      </w:pPr>
      <w:r>
        <w:rPr>
          <w:rFonts w:ascii="Times New Roman" w:cs="Times New Roman" w:eastAsia="Times New Roman" w:hAnsi="Times New Roman"/>
          <w:sz w:val="18"/>
          <w:szCs w:val="18"/>
          <w:color w:val="auto"/>
        </w:rPr>
        <w:t>We may offer and sell up to $150.0 million in the aggregate of the securities identified above from time to time in one or more offerings. This prospectus provides you with a general description of the securities.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308610</wp:posOffset>
            </wp:positionV>
            <wp:extent cx="684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21"/>
          <w:szCs w:val="21"/>
          <w:b w:val="1"/>
          <w:bCs w:val="1"/>
          <w:color w:val="auto"/>
        </w:rPr>
        <w:t>INVESTING IN OUR SECURITIES INVOLVES RISKS. SEE THE "</w:t>
      </w:r>
      <w:r>
        <w:rPr>
          <w:rFonts w:ascii="Times New Roman" w:cs="Times New Roman" w:eastAsia="Times New Roman" w:hAnsi="Times New Roman"/>
          <w:sz w:val="21"/>
          <w:szCs w:val="21"/>
          <w:b w:val="1"/>
          <w:bCs w:val="1"/>
          <w:u w:val="single" w:color="auto"/>
          <w:color w:val="0000FF"/>
        </w:rPr>
        <w:t>RISK FACTORS</w:t>
      </w:r>
      <w:r>
        <w:rPr>
          <w:rFonts w:ascii="Times New Roman" w:cs="Times New Roman" w:eastAsia="Times New Roman" w:hAnsi="Times New Roman"/>
          <w:sz w:val="21"/>
          <w:szCs w:val="21"/>
          <w:b w:val="1"/>
          <w:bCs w:val="1"/>
          <w:color w:val="auto"/>
        </w:rPr>
        <w:t>" ON PAGE 4 OF THIS PROSPECTUS AND ANY SIMILAR SECTION CONTAINED IN THE APPLICABLE PROSPECTUS SUPPLEMENT CONCERNING FACTORS YOU SHOULD CONSIDER BEFORE INVESTING IN OUR SECURITIES.</w:t>
      </w:r>
    </w:p>
    <w:p>
      <w:pPr>
        <w:spacing w:after="0" w:line="51"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"XGN." On November 9, 2020, the last reported sale price of our common stock on The Nasdaq Global Select Market was $15.55 per share.</w:t>
      </w:r>
    </w:p>
    <w:p>
      <w:pPr>
        <w:spacing w:after="0" w:line="60" w:lineRule="exact"/>
        <w:rPr>
          <w:sz w:val="20"/>
          <w:szCs w:val="20"/>
          <w:color w:val="auto"/>
        </w:rPr>
      </w:pPr>
    </w:p>
    <w:p>
      <w:pPr>
        <w:ind w:right="36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107315</wp:posOffset>
            </wp:positionV>
            <wp:extent cx="7098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6" w:name="page17"/>
    <w:bookmarkEnd w:id="16"/>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2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7100" w:type="dxa"/>
            <w:vAlign w:val="bottom"/>
            <w:gridSpan w:val="6"/>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2"/>
          </w:tcPr>
          <w:p>
            <w:pPr>
              <w:jc w:val="center"/>
              <w:ind w:right="900"/>
              <w:spacing w:after="0" w:line="182" w:lineRule="exact"/>
              <w:rPr>
                <w:sz w:val="20"/>
                <w:szCs w:val="20"/>
                <w:color w:val="auto"/>
              </w:rPr>
            </w:pPr>
            <w:r>
              <w:rPr>
                <w:rFonts w:ascii="Times New Roman" w:cs="Times New Roman" w:eastAsia="Times New Roman" w:hAnsi="Times New Roman"/>
                <w:sz w:val="18"/>
                <w:szCs w:val="18"/>
                <w:u w:val="single" w:color="auto"/>
                <w:color w:val="0000FF"/>
                <w:w w:val="78"/>
              </w:rPr>
              <w:t>i</w:t>
            </w:r>
          </w:p>
        </w:tc>
        <w:tc>
          <w:tcPr>
            <w:tcW w:w="0" w:type="dxa"/>
            <w:vAlign w:val="bottom"/>
          </w:tcPr>
          <w:p>
            <w:pPr>
              <w:spacing w:after="0"/>
              <w:rPr>
                <w:sz w:val="1"/>
                <w:szCs w:val="1"/>
                <w:color w:val="auto"/>
              </w:rPr>
            </w:pPr>
          </w:p>
        </w:tc>
      </w:tr>
      <w:tr>
        <w:trPr>
          <w:trHeight w:val="210"/>
        </w:trPr>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2600" w:type="dxa"/>
            <w:vAlign w:val="bottom"/>
          </w:tcPr>
          <w:p>
            <w:pPr>
              <w:spacing w:after="0"/>
              <w:rPr>
                <w:sz w:val="18"/>
                <w:szCs w:val="18"/>
                <w:color w:val="auto"/>
              </w:rPr>
            </w:pPr>
          </w:p>
        </w:tc>
        <w:tc>
          <w:tcPr>
            <w:tcW w:w="9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0000FF"/>
                <w:w w:val="88"/>
              </w:rPr>
              <w:t>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THE COMPANY</w:t>
            </w:r>
          </w:p>
        </w:tc>
        <w:tc>
          <w:tcPr>
            <w:tcW w:w="2600" w:type="dxa"/>
            <w:vAlign w:val="bottom"/>
          </w:tcPr>
          <w:p>
            <w:pPr>
              <w:spacing w:after="0"/>
              <w:rPr>
                <w:sz w:val="18"/>
                <w:szCs w:val="18"/>
                <w:color w:val="auto"/>
              </w:rPr>
            </w:pPr>
          </w:p>
        </w:tc>
        <w:tc>
          <w:tcPr>
            <w:tcW w:w="9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0000FF"/>
                <w:w w:val="88"/>
              </w:rPr>
              <w:t>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8080" w:type="dxa"/>
            <w:vAlign w:val="bottom"/>
            <w:gridSpan w:val="12"/>
          </w:tcPr>
          <w:p>
            <w:pPr>
              <w:spacing w:after="0"/>
              <w:rPr>
                <w:sz w:val="18"/>
                <w:szCs w:val="18"/>
                <w:color w:val="auto"/>
              </w:rPr>
            </w:pPr>
          </w:p>
        </w:tc>
        <w:tc>
          <w:tcPr>
            <w:tcW w:w="9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0000FF"/>
                <w:w w:val="88"/>
              </w:rPr>
              <w:t>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0000FF"/>
                <w:w w:val="88"/>
              </w:rPr>
              <w:t>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4200" w:type="dxa"/>
            <w:vAlign w:val="bottom"/>
            <w:gridSpan w:val="8"/>
          </w:tcPr>
          <w:p>
            <w:pPr>
              <w:spacing w:after="0"/>
              <w:rPr>
                <w:sz w:val="18"/>
                <w:szCs w:val="18"/>
                <w:color w:val="auto"/>
              </w:rPr>
            </w:pPr>
          </w:p>
        </w:tc>
        <w:tc>
          <w:tcPr>
            <w:tcW w:w="3560" w:type="dxa"/>
            <w:vAlign w:val="bottom"/>
            <w:gridSpan w:val="2"/>
          </w:tcPr>
          <w:p>
            <w:pPr>
              <w:spacing w:after="0"/>
              <w:rPr>
                <w:sz w:val="18"/>
                <w:szCs w:val="18"/>
                <w:color w:val="auto"/>
              </w:rPr>
            </w:pPr>
          </w:p>
        </w:tc>
        <w:tc>
          <w:tcPr>
            <w:tcW w:w="9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0000FF"/>
                <w:w w:val="88"/>
              </w:rPr>
              <w:t>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DIVIDEND POLICY</w:t>
            </w:r>
          </w:p>
        </w:tc>
        <w:tc>
          <w:tcPr>
            <w:tcW w:w="7760" w:type="dxa"/>
            <w:vAlign w:val="bottom"/>
            <w:gridSpan w:val="10"/>
          </w:tcPr>
          <w:p>
            <w:pPr>
              <w:spacing w:after="0"/>
              <w:rPr>
                <w:sz w:val="18"/>
                <w:szCs w:val="18"/>
                <w:color w:val="auto"/>
              </w:rPr>
            </w:pPr>
          </w:p>
        </w:tc>
        <w:tc>
          <w:tcPr>
            <w:tcW w:w="9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0000FF"/>
                <w:w w:val="88"/>
              </w:rPr>
              <w:t>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6460" w:type="dxa"/>
            <w:vAlign w:val="bottom"/>
            <w:gridSpan w:val="4"/>
          </w:tcPr>
          <w:p>
            <w:pPr>
              <w:spacing w:after="0"/>
              <w:rPr>
                <w:sz w:val="18"/>
                <w:szCs w:val="18"/>
                <w:color w:val="auto"/>
              </w:rPr>
            </w:pPr>
          </w:p>
        </w:tc>
        <w:tc>
          <w:tcPr>
            <w:tcW w:w="9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0000FF"/>
                <w:w w:val="88"/>
              </w:rPr>
              <w:t>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6320" w:type="dxa"/>
            <w:vAlign w:val="bottom"/>
            <w:gridSpan w:val="3"/>
          </w:tcPr>
          <w:p>
            <w:pPr>
              <w:spacing w:after="0"/>
              <w:rPr>
                <w:sz w:val="18"/>
                <w:szCs w:val="18"/>
                <w:color w:val="auto"/>
              </w:rPr>
            </w:pPr>
          </w:p>
        </w:tc>
        <w:tc>
          <w:tcPr>
            <w:tcW w:w="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6860" w:type="dxa"/>
            <w:vAlign w:val="bottom"/>
            <w:gridSpan w:val="5"/>
          </w:tcPr>
          <w:p>
            <w:pPr>
              <w:spacing w:after="0"/>
              <w:rPr>
                <w:sz w:val="18"/>
                <w:szCs w:val="18"/>
                <w:color w:val="auto"/>
              </w:rPr>
            </w:pPr>
          </w:p>
        </w:tc>
        <w:tc>
          <w:tcPr>
            <w:tcW w:w="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80" w:type="dxa"/>
            <w:vAlign w:val="bottom"/>
            <w:gridSpan w:val="7"/>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GLOBAL SECURITIES</w:t>
            </w:r>
          </w:p>
        </w:tc>
        <w:tc>
          <w:tcPr>
            <w:tcW w:w="7320" w:type="dxa"/>
            <w:vAlign w:val="bottom"/>
            <w:gridSpan w:val="8"/>
          </w:tcPr>
          <w:p>
            <w:pPr>
              <w:spacing w:after="0"/>
              <w:rPr>
                <w:sz w:val="18"/>
                <w:szCs w:val="18"/>
                <w:color w:val="auto"/>
              </w:rPr>
            </w:pPr>
          </w:p>
        </w:tc>
        <w:tc>
          <w:tcPr>
            <w:tcW w:w="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80" w:type="dxa"/>
            <w:vAlign w:val="bottom"/>
            <w:gridSpan w:val="7"/>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7280" w:type="dxa"/>
            <w:vAlign w:val="bottom"/>
            <w:gridSpan w:val="7"/>
          </w:tcPr>
          <w:p>
            <w:pPr>
              <w:spacing w:after="0"/>
              <w:rPr>
                <w:sz w:val="18"/>
                <w:szCs w:val="18"/>
                <w:color w:val="auto"/>
              </w:rPr>
            </w:pPr>
          </w:p>
        </w:tc>
        <w:tc>
          <w:tcPr>
            <w:tcW w:w="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7280" w:type="dxa"/>
            <w:vAlign w:val="bottom"/>
            <w:gridSpan w:val="7"/>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7280" w:type="dxa"/>
            <w:vAlign w:val="bottom"/>
            <w:gridSpan w:val="7"/>
          </w:tcPr>
          <w:p>
            <w:pPr>
              <w:spacing w:after="0"/>
              <w:rPr>
                <w:sz w:val="18"/>
                <w:szCs w:val="18"/>
                <w:color w:val="auto"/>
              </w:rPr>
            </w:pPr>
          </w:p>
        </w:tc>
        <w:tc>
          <w:tcPr>
            <w:tcW w:w="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80" w:type="dxa"/>
            <w:vAlign w:val="bottom"/>
            <w:gridSpan w:val="11"/>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18"/>
                <w:szCs w:val="18"/>
                <w:color w:val="auto"/>
              </w:rPr>
            </w:pPr>
          </w:p>
        </w:tc>
        <w:tc>
          <w:tcPr>
            <w:tcW w:w="7880" w:type="dxa"/>
            <w:vAlign w:val="bottom"/>
            <w:gridSpan w:val="11"/>
          </w:tcPr>
          <w:p>
            <w:pPr>
              <w:spacing w:after="0"/>
              <w:rPr>
                <w:sz w:val="18"/>
                <w:szCs w:val="18"/>
                <w:color w:val="auto"/>
              </w:rPr>
            </w:pPr>
          </w:p>
        </w:tc>
        <w:tc>
          <w:tcPr>
            <w:tcW w:w="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1440" w:right="339" w:bottom="1440" w:gutter="0" w:footer="0" w:header="0"/>
        </w:sectPr>
      </w:pPr>
    </w:p>
    <w:bookmarkStart w:id="17" w:name="page18"/>
    <w:bookmarkEnd w:id="17"/>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94"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9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When we refer to “Exagen,” “we,” “our,” “us” and the “Company” in this prospectus, we mean Exagen Inc., unless otherwise specified. When we refer to “you,” we mean the holders of the applicable series of securities.</w:t>
      </w:r>
    </w:p>
    <w:p>
      <w:pPr>
        <w:spacing w:after="0" w:line="162"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We use our trademarks in this prospectus as well as trademarks, tradenames and service marks that are the property of other organizations. Solely for convenience, certain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60" w:firstLine="324"/>
        <w:spacing w:after="0" w:line="312" w:lineRule="auto"/>
        <w:rPr>
          <w:sz w:val="20"/>
          <w:szCs w:val="20"/>
          <w:color w:val="auto"/>
        </w:rPr>
      </w:pPr>
      <w:r>
        <w:rPr>
          <w:rFonts w:ascii="Times New Roman" w:cs="Times New Roman" w:eastAsia="Times New Roman" w:hAnsi="Times New Roman"/>
          <w:sz w:val="17"/>
          <w:szCs w:val="17"/>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website address is www.exagen.com. The information on our website, however, is not, and should not be deemed to be, a part of this prospectus.</w:t>
      </w:r>
    </w:p>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 This prospectus and any accompanying prospectus supplement incorporate by reference the documents set forth below that have previously been filed with the SEC:</w:t>
      </w:r>
    </w:p>
    <w:p>
      <w:pPr>
        <w:spacing w:after="0" w:line="15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Annual Report on Form 10-K for the year ended December 31, 2019, filed with the SEC on March 25, 2020;</w:t>
      </w:r>
    </w:p>
    <w:p>
      <w:pPr>
        <w:spacing w:after="0" w:line="197" w:lineRule="exact"/>
        <w:rPr>
          <w:rFonts w:ascii="Times New Roman" w:cs="Times New Roman" w:eastAsia="Times New Roman" w:hAnsi="Times New Roman"/>
          <w:sz w:val="22"/>
          <w:szCs w:val="22"/>
          <w:color w:val="auto"/>
        </w:rPr>
      </w:pPr>
    </w:p>
    <w:p>
      <w:pPr>
        <w:ind w:left="660" w:right="240" w:hanging="328"/>
        <w:spacing w:after="0" w:line="234"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Quarterly Reports on Form 10-Q for the periods ended March 31, 2020, June 30, 2020 and September 30, 2020, filed with the SEC on May 11, 2020, July 28, 2020 and November 10, 2020, respectively;</w:t>
      </w:r>
    </w:p>
    <w:p>
      <w:pPr>
        <w:spacing w:after="0" w:line="186" w:lineRule="exact"/>
        <w:rPr>
          <w:rFonts w:ascii="Times New Roman" w:cs="Times New Roman" w:eastAsia="Times New Roman" w:hAnsi="Times New Roman"/>
          <w:sz w:val="22"/>
          <w:szCs w:val="22"/>
          <w:color w:val="auto"/>
        </w:rPr>
      </w:pPr>
    </w:p>
    <w:p>
      <w:pPr>
        <w:ind w:left="660" w:right="240" w:hanging="328"/>
        <w:spacing w:after="0" w:line="234"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Definitive Proxy Statement on Schedule 14A (to the extent incorporated by reference into our Annual Report on Form 10-K), filed with the SEC on April 29, 2020;</w:t>
      </w:r>
    </w:p>
    <w:p>
      <w:pPr>
        <w:spacing w:after="0" w:line="16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Current Reports on Form 8-K, filed with the SEC on March 18, 2020, June 19, 2020, June 29, 2020 and September 23,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19" w:name="page20"/>
    <w:bookmarkEnd w:id="19"/>
    <w:p>
      <w:pPr>
        <w:spacing w:after="0" w:line="180" w:lineRule="exact"/>
        <w:rPr>
          <w:sz w:val="20"/>
          <w:szCs w:val="20"/>
          <w:color w:val="auto"/>
        </w:rPr>
      </w:pPr>
    </w:p>
    <w:p>
      <w:pPr>
        <w:ind w:left="660" w:right="180" w:hanging="328"/>
        <w:spacing w:after="0" w:line="234"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September 13, 2019, including any amendments or reports filed for the purposes of updating this description.</w:t>
      </w:r>
    </w:p>
    <w:p>
      <w:pPr>
        <w:spacing w:after="0" w:line="20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Exagen Inc.</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1261 Liberty Way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Vista, California 92081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(760) 560-1501</w:t>
      </w:r>
    </w:p>
    <w:p>
      <w:pPr>
        <w:spacing w:after="0" w:line="20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1440" w:right="439" w:bottom="1440" w:gutter="0" w:footer="0" w:header="0"/>
        </w:sectPr>
      </w:pPr>
    </w:p>
    <w:bookmarkStart w:id="20" w:name="page21"/>
    <w:bookmarkEnd w:id="20"/>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0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21" w:name="page22"/>
    <w:bookmarkEnd w:id="21"/>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21E of the Exchange Act. All statements other than statements of historical facts contained in this prospectus and the documents incorporated by reference herein, including statements regarding our future results of operations and financial position, business strategy,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which we discuss in greater detail in the documents incorporated by reference herein, including under the heading “Risk Factors” and elsewhere in this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and security agreement with Innovatus Life Science Lending Fund I,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1440" w:right="439" w:bottom="1440" w:gutter="0" w:footer="0" w:header="0"/>
        </w:sectPr>
      </w:pPr>
    </w:p>
    <w:bookmarkStart w:id="23" w:name="page24"/>
    <w:bookmarkEnd w:id="23"/>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(the "bylaws"), which are filed as exhibits to our most recent Annual Report on Form 10-K and are incorporated by reference herein. We encourage you to read our certificate of incorporation and our bylaws for additional information.</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$0.001 par value per share, and 10,000,000 shares of preferred stock, $0.001 par value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of September 30, 2020, there were 12,652,113 shares of our common stock outstanding and held of record by 50 stockholders.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19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250 Royall Street, Canton, Massachusetts 02021.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there were no shares of our preferred stock outstanding. Under the terms of our amended and restated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Prior to the issuance of shares of each series, the board of directors is required by the General Corporation Law of the State of Delaware, or the DGCL, and our amended and restated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a prospectus supplement relating to the class or series of preferred stock being offered the following terms:</w:t>
      </w:r>
    </w:p>
    <w:p>
      <w:pPr>
        <w:spacing w:after="0" w:line="19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title and stated value of the preferred stock;</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number of shares of the preferred stock offered, the liquidation preference per share and the offering price of the preferred stock;</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dividend rate(s), period(s) or payment date(s) or method(s) of calculation applicable to the preferred stock;</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whether dividends are cumulative or non-cumulative and, if cumulative, the date from which dividends on the preferred stock will accumulate;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procedures for any auction and remarketing, if any, for the preferred stock;</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provisions for a sinking fund, if any, for the preferred stock;</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provision for redemption, if applicable, of the preferred stock;</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any listing of the preferred stock on any securities exchange;</w:t>
      </w:r>
    </w:p>
    <w:p>
      <w:pPr>
        <w:spacing w:after="0" w:line="197" w:lineRule="exact"/>
        <w:rPr>
          <w:rFonts w:ascii="Arial" w:cs="Arial" w:eastAsia="Arial" w:hAnsi="Arial"/>
          <w:sz w:val="22"/>
          <w:szCs w:val="22"/>
          <w:color w:val="auto"/>
        </w:rPr>
      </w:pPr>
    </w:p>
    <w:p>
      <w:pPr>
        <w:ind w:left="660" w:right="200" w:hanging="328"/>
        <w:spacing w:after="0" w:line="23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voting rights, if any, of the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84" w:lineRule="exact"/>
        <w:rPr>
          <w:rFonts w:ascii="Arial" w:cs="Arial" w:eastAsia="Arial" w:hAnsi="Arial"/>
          <w:sz w:val="22"/>
          <w:szCs w:val="22"/>
          <w:color w:val="auto"/>
        </w:rPr>
      </w:pPr>
    </w:p>
    <w:p>
      <w:pPr>
        <w:ind w:left="660" w:right="24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pacing w:after="0" w:line="186" w:lineRule="exact"/>
        <w:rPr>
          <w:rFonts w:ascii="Arial" w:cs="Arial" w:eastAsia="Arial" w:hAnsi="Arial"/>
          <w:sz w:val="22"/>
          <w:szCs w:val="22"/>
          <w:color w:val="auto"/>
        </w:rPr>
      </w:pPr>
    </w:p>
    <w:p>
      <w:pPr>
        <w:ind w:left="660" w:right="120" w:hanging="328"/>
        <w:spacing w:after="0" w:line="24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16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Unless we specify otherwise in the applicable prospectus supplement, the preferred stock will rank, relating to dividends and upon our liquidation, dissolution or winding up:</w:t>
      </w:r>
    </w:p>
    <w:p>
      <w:pPr>
        <w:spacing w:after="0" w:line="1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senior to all classes or series of our common stock and to all of our equity securities ranking junior to the preferred stock;</w:t>
      </w:r>
    </w:p>
    <w:p>
      <w:pPr>
        <w:spacing w:after="0" w:line="184" w:lineRule="exact"/>
        <w:rPr>
          <w:rFonts w:ascii="Arial" w:cs="Arial" w:eastAsia="Arial" w:hAnsi="Arial"/>
          <w:sz w:val="22"/>
          <w:szCs w:val="22"/>
          <w:color w:val="auto"/>
        </w:rPr>
      </w:pPr>
    </w:p>
    <w:p>
      <w:pPr>
        <w:ind w:left="660" w:right="36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on a parity with all of our equity securities the terms of which specifically provide that the equity securities rank on a parity with the preferred stock; and</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junior to all of our equity securities the terms of which specifically provide that the equity securities rank senior to the preferred stock.</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426,827 shares of our common stock were issuable upon exercise of outstanding warrants to purchase common stock with a weighted average exercise price of $4.90 per share.</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holders of 6,042,679 shares of our common stock, are entitled to the following rights with respect to the registration of such shares for public resale under the Securities Act, pursuant to an investor rights agreement by and among us and certain of our stockholders.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225"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Form S-1. </w:t>
      </w:r>
      <w:r>
        <w:rPr>
          <w:rFonts w:ascii="Times New Roman" w:cs="Times New Roman" w:eastAsia="Times New Roman" w:hAnsi="Times New Roman"/>
          <w:sz w:val="18"/>
          <w:szCs w:val="18"/>
          <w:color w:val="auto"/>
        </w:rPr>
        <w:t>If at any time holders of at least 50% of the registrable securities request in writing that we effect a registration with respect to their shares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offering, we may be required to register their shares. We are obligated to effect at most two registrations for the holders of registrable securities in response to these demand registration rights,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Form S-</w:t>
      </w:r>
      <w:r>
        <w:rPr>
          <w:rFonts w:ascii="Times New Roman" w:cs="Times New Roman" w:eastAsia="Times New Roman" w:hAnsi="Times New Roman"/>
          <w:sz w:val="18"/>
          <w:szCs w:val="18"/>
          <w:color w:val="auto"/>
        </w:rPr>
        <w:t>3. If at any time, a holder of registrable securities requests in writing that we register their shares for public resale on Form S-3 and the price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public of the offering is $1.0 million or more, we will be required to provide notice to all holders of registrable securities and to use our best efforts to effect such registration; provided, however, that we will not be required to effect such a registration if, within the preceding 12 months, we have already effected two registrations on Form S-3 for the holders of registrable securities.</w:t>
      </w:r>
    </w:p>
    <w:p>
      <w:pPr>
        <w:spacing w:after="0" w:line="18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each of the above registrations,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at any time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Registration Rights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registration rights terminate upon the earlier of September 20, 2022,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with voting or other rights or preferences as designated by our board of directors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1440" w:right="379" w:bottom="1440" w:gutter="0" w:footer="0" w:header="0"/>
        </w:sectPr>
      </w:pPr>
    </w:p>
    <w:bookmarkStart w:id="27" w:name="page28"/>
    <w:bookmarkEnd w:id="27"/>
    <w:p>
      <w:pPr>
        <w:spacing w:after="0" w:line="19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impede the success of any attempt to change control of us. These and other provisions may have the effect of deferring hostile takeovers or delaying changes in control or management of our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Meetings</w:t>
      </w:r>
    </w:p>
    <w:p>
      <w:pPr>
        <w:spacing w:after="0" w:line="22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227" w:lineRule="exact"/>
        <w:rPr>
          <w:sz w:val="20"/>
          <w:szCs w:val="20"/>
          <w:color w:val="auto"/>
        </w:rPr>
      </w:pPr>
    </w:p>
    <w:p>
      <w:pPr>
        <w:jc w:val="both"/>
        <w:ind w:right="58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eliminate the right of stockholders to act by written consent without a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227"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 any case, stockholders will not be deemed to have waived our compliance with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and amended and restated bylaws also provide that any person or entity purchasing or otherwise acquiring any interest in shares of our capital stock will be deemed to have notice of and to have consented to this choice of forum provision.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Charter Provisions</w:t>
      </w:r>
    </w:p>
    <w:p>
      <w:pPr>
        <w:spacing w:after="0" w:line="22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1440" w:right="419" w:bottom="1440" w:gutter="0" w:footer="0" w:header="0"/>
        </w:sectPr>
      </w:pPr>
    </w:p>
    <w:bookmarkStart w:id="29" w:name="page30"/>
    <w:bookmarkEnd w:id="29"/>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8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2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on a particular series of debt securities is payable;</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2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171" w:lineRule="exact"/>
        <w:rPr>
          <w:rFonts w:ascii="Times New Roman" w:cs="Times New Roman" w:eastAsia="Times New Roman" w:hAnsi="Times New Roman"/>
          <w:sz w:val="18"/>
          <w:szCs w:val="18"/>
          <w:color w:val="auto"/>
        </w:rPr>
      </w:pPr>
    </w:p>
    <w:p>
      <w:pPr>
        <w:jc w:val="both"/>
        <w:ind w:left="328" w:right="100" w:hanging="328"/>
        <w:spacing w:after="0" w:line="266"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spacing w:after="0" w:line="121" w:lineRule="exact"/>
        <w:rPr>
          <w:rFonts w:ascii="Times New Roman" w:cs="Times New Roman" w:eastAsia="Times New Roman" w:hAnsi="Times New Roman"/>
          <w:sz w:val="18"/>
          <w:szCs w:val="18"/>
          <w:color w:val="auto"/>
        </w:rPr>
      </w:pPr>
    </w:p>
    <w:p>
      <w:pPr>
        <w:ind w:left="328" w:right="480" w:hanging="328"/>
        <w:spacing w:after="0" w:line="282"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71" w:lineRule="exact"/>
        <w:rPr>
          <w:rFonts w:ascii="Times New Roman" w:cs="Times New Roman" w:eastAsia="Times New Roman" w:hAnsi="Times New Roman"/>
          <w:sz w:val="18"/>
          <w:szCs w:val="18"/>
          <w:color w:val="auto"/>
        </w:rPr>
      </w:pPr>
    </w:p>
    <w:p>
      <w:pPr>
        <w:ind w:left="328" w:right="460" w:hanging="328"/>
        <w:spacing w:after="0" w:line="282"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07" w:lineRule="exact"/>
        <w:rPr>
          <w:rFonts w:ascii="Times New Roman" w:cs="Times New Roman" w:eastAsia="Times New Roman" w:hAnsi="Times New Roman"/>
          <w:sz w:val="18"/>
          <w:szCs w:val="18"/>
          <w:color w:val="auto"/>
        </w:rPr>
      </w:pPr>
    </w:p>
    <w:p>
      <w:pPr>
        <w:ind w:left="328" w:right="120" w:hanging="328"/>
        <w:spacing w:after="0" w:line="282"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and premium and interest on, the debt securities will be made;</w:t>
      </w:r>
    </w:p>
    <w:p>
      <w:pPr>
        <w:spacing w:after="0" w:line="107" w:lineRule="exact"/>
        <w:rPr>
          <w:rFonts w:ascii="Times New Roman" w:cs="Times New Roman" w:eastAsia="Times New Roman" w:hAnsi="Times New Roman"/>
          <w:sz w:val="18"/>
          <w:szCs w:val="18"/>
          <w:color w:val="auto"/>
        </w:rPr>
      </w:pPr>
    </w:p>
    <w:p>
      <w:pPr>
        <w:jc w:val="both"/>
        <w:ind w:left="328" w:right="140" w:hanging="328"/>
        <w:spacing w:after="0" w:line="312" w:lineRule="auto"/>
        <w:tabs>
          <w:tab w:leader="none" w:pos="3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5" w:lineRule="exact"/>
        <w:rPr>
          <w:rFonts w:ascii="Times New Roman" w:cs="Times New Roman" w:eastAsia="Times New Roman" w:hAnsi="Times New Roman"/>
          <w:sz w:val="17"/>
          <w:szCs w:val="17"/>
          <w:color w:val="auto"/>
        </w:rPr>
      </w:pPr>
    </w:p>
    <w:p>
      <w:pPr>
        <w:jc w:val="both"/>
        <w:ind w:left="328" w:right="180" w:hanging="328"/>
        <w:spacing w:after="0" w:line="266"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71" w:lineRule="exact"/>
        <w:rPr>
          <w:rFonts w:ascii="Times New Roman" w:cs="Times New Roman" w:eastAsia="Times New Roman" w:hAnsi="Times New Roman"/>
          <w:sz w:val="18"/>
          <w:szCs w:val="18"/>
          <w:color w:val="auto"/>
        </w:rPr>
      </w:pPr>
    </w:p>
    <w:p>
      <w:pPr>
        <w:ind w:left="328" w:right="280" w:hanging="328"/>
        <w:spacing w:after="0" w:line="282"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71" w:lineRule="exact"/>
        <w:rPr>
          <w:rFonts w:ascii="Times New Roman" w:cs="Times New Roman" w:eastAsia="Times New Roman" w:hAnsi="Times New Roman"/>
          <w:sz w:val="18"/>
          <w:szCs w:val="18"/>
          <w:color w:val="auto"/>
        </w:rPr>
      </w:pPr>
    </w:p>
    <w:p>
      <w:pPr>
        <w:ind w:left="328" w:right="120" w:hanging="328"/>
        <w:spacing w:after="0" w:line="266"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21"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07"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8"/>
          </w:cols>
          <w:pgMar w:left="652" w:top="1440" w:right="339" w:bottom="1440" w:gutter="0" w:footer="0" w:header="0"/>
        </w:sectPr>
      </w:pPr>
    </w:p>
    <w:bookmarkStart w:id="31" w:name="page32"/>
    <w:bookmarkEnd w:id="31"/>
    <w:p>
      <w:pPr>
        <w:spacing w:after="0" w:line="19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ind w:left="660" w:right="2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Exagen) is a corporation organized and validly existing under the laws of any U.S. domestic jurisdiction and expressly assumes our obligations on the debt securities and under the indenture;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71" w:lineRule="exact"/>
        <w:rPr>
          <w:sz w:val="20"/>
          <w:szCs w:val="20"/>
          <w:color w:val="auto"/>
        </w:rPr>
      </w:pPr>
    </w:p>
    <w:p>
      <w:pPr>
        <w:ind w:left="660" w:right="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debt security of that series at its maturity;</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Exagen and the trustee receive written notice from the holders of not less than 25% in principal amount of the outstanding debt securities of that series as provided in the indenture;</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Exagen; or</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(Section 6.8)</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1440" w:right="379" w:bottom="1440" w:gutter="0" w:footer="0" w:header="0"/>
        </w:sectPr>
      </w:pPr>
    </w:p>
    <w:bookmarkStart w:id="34" w:name="page35"/>
    <w:bookmarkEnd w:id="34"/>
    <w:p>
      <w:pPr>
        <w:spacing w:after="0" w:line="14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2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7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71"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85" w:lineRule="exact"/>
        <w:rPr>
          <w:sz w:val="20"/>
          <w:szCs w:val="20"/>
          <w:color w:val="auto"/>
        </w:rPr>
      </w:pPr>
    </w:p>
    <w:p>
      <w:pPr>
        <w:ind w:right="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06"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71" w:lineRule="exact"/>
        <w:rPr>
          <w:sz w:val="20"/>
          <w:szCs w:val="20"/>
          <w:color w:val="auto"/>
        </w:rPr>
      </w:pPr>
    </w:p>
    <w:p>
      <w:pPr>
        <w:ind w:left="660" w:hanging="328"/>
        <w:spacing w:after="0" w:line="25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33"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(Section 8.4)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62"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1440" w:right="379" w:bottom="1440" w:gutter="0" w:footer="0" w:header="0"/>
        </w:sectPr>
      </w:pPr>
    </w:p>
    <w:bookmarkStart w:id="37" w:name="page38"/>
    <w:bookmarkEnd w:id="37"/>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71"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applicable to the warrants;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exercise and settlement of the warrants.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Exagen.</w:t>
      </w:r>
    </w:p>
    <w:p>
      <w:pPr>
        <w:spacing w:after="0" w:line="22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440" w:right="359" w:bottom="1440" w:gutter="0" w:footer="0" w:header="0"/>
        </w:sectPr>
      </w:pPr>
    </w:p>
    <w:bookmarkStart w:id="39" w:name="page40"/>
    <w:bookmarkEnd w:id="39"/>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0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units;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40" w:name="page41"/>
    <w:bookmarkEnd w:id="40"/>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right="180" w:firstLine="324"/>
        <w:spacing w:after="0" w:line="27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440" w:right="379" w:bottom="1440" w:gutter="0" w:footer="0" w:header="0"/>
        </w:sectPr>
      </w:pPr>
    </w:p>
    <w:bookmarkStart w:id="41" w:name="page42"/>
    <w:bookmarkEnd w:id="41"/>
    <w:p>
      <w:pPr>
        <w:spacing w:after="0" w:line="19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ind w:right="260" w:firstLine="324"/>
        <w:spacing w:after="0" w:line="289" w:lineRule="auto"/>
        <w:rPr>
          <w:sz w:val="20"/>
          <w:szCs w:val="20"/>
          <w:color w:val="auto"/>
        </w:rPr>
      </w:pPr>
      <w:r>
        <w:rPr>
          <w:rFonts w:ascii="Times New Roman" w:cs="Times New Roman" w:eastAsia="Times New Roman" w:hAnsi="Times New Roman"/>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left="660" w:right="2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Euroclear and Clearstream</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1440" w:right="439" w:bottom="1440" w:gutter="0" w:footer="0" w:header="0"/>
        </w:sectPr>
      </w:pPr>
    </w:p>
    <w:bookmarkStart w:id="44" w:name="page45"/>
    <w:bookmarkEnd w:id="44"/>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2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80"/>
          </w:cols>
          <w:pgMar w:left="320" w:top="1440" w:right="399" w:bottom="1440" w:gutter="0" w:footer="0" w:header="0"/>
        </w:sectPr>
      </w:pPr>
    </w:p>
    <w:bookmarkStart w:id="45" w:name="page46"/>
    <w:bookmarkEnd w:id="45"/>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Latham &amp; Watkins LLP, San Diego, California, will pass upon certain legal matters relating to the issuance and sale of the securities offered hereby on behalf of Exagen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2019 and 2018 and for the years then ended incorporated by reference in this Prospectus have been so incorporated in reliance on the report of BDO USA, LLP, an independent registered public accounting firm, incorporated herein by reference,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80"/>
          </w:cols>
          <w:pgMar w:left="320" w:top="1440" w:right="39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221615</wp:posOffset>
            </wp:positionV>
            <wp:extent cx="2863215" cy="1054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86321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3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PROSPECTUS SUPPLEMENT</w:t>
      </w:r>
    </w:p>
    <w:p>
      <w:pPr>
        <w:spacing w:after="0" w:line="37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September 15, 2022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jpe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eg"/><Relationship Id="rId12" Type="http://schemas.openxmlformats.org/officeDocument/2006/relationships/hyperlink" Target="http://www.sec.gov/ix?doc=/Archives/edgar/data/1274737/000162828022006926/exdx-20211231.htm" TargetMode="External"/><Relationship Id="rId13" Type="http://schemas.openxmlformats.org/officeDocument/2006/relationships/hyperlink" Target="http://www.sec.gov/ix?doc=/Archives/edgar/data/1274737/000127473722000028/exdx-20220331.htm" TargetMode="External"/><Relationship Id="rId14" Type="http://schemas.openxmlformats.org/officeDocument/2006/relationships/hyperlink" Target="http://www.sec.gov/ix?doc=/Archives/edgar/data/1274737/000127473722000052/exdx-20220630.htm" TargetMode="External"/><Relationship Id="rId15" Type="http://schemas.openxmlformats.org/officeDocument/2006/relationships/hyperlink" Target="http://www.sec.gov/ix?doc=/Archives/edgar/data/0001274737/000162828022011111/exdx-20220425.htm" TargetMode="External"/><Relationship Id="rId16" Type="http://schemas.openxmlformats.org/officeDocument/2006/relationships/hyperlink" Target="http://www.sec.gov/ix?doc=/Archives/edgar/data/0001274737/000127473722000039/exdx-202206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2022-09-15T15:10:00Z</dcterms:created>
  <dcterms:modified xsi:type="dcterms:W3CDTF">2022-09-15T15:10:00Z</dcterms:modified>
</cp:coreProperties>
</file>