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-637540</wp:posOffset>
            </wp:positionV>
            <wp:extent cx="59055" cy="650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4112260</wp:posOffset>
            </wp:positionH>
            <wp:positionV relativeFrom="paragraph">
              <wp:posOffset>-637540</wp:posOffset>
            </wp:positionV>
            <wp:extent cx="59055" cy="650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39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3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Adawi Kamal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WAY, SUITE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700" w:firstLine="6"/>
        <w:spacing w:after="0" w:line="243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24.19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01/08/2030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7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25% of the shares subject to the option vest on January 1, 2021, and 1/48th of the total number of shares subject to the option vest monthly thereafter, subject to the Reporting Person's continued service to the Issuer through each such vesting date.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Kamal Adawi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01/09/2020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5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8393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2020-01-09T16:09:23Z</dcterms:created>
  <dcterms:modified xsi:type="dcterms:W3CDTF">2020-01-09T16:09:23Z</dcterms:modified>
</cp:coreProperties>
</file>