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560" w:hanging="329"/>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158750</wp:posOffset>
            </wp:positionH>
            <wp:positionV relativeFrom="paragraph">
              <wp:posOffset>-114935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43" w:lineRule="exact"/>
        <w:rPr>
          <w:sz w:val="24"/>
          <w:szCs w:val="24"/>
          <w:color w:val="auto"/>
        </w:rPr>
      </w:pPr>
    </w:p>
    <w:p>
      <w:pPr>
        <w:ind w:left="560" w:hanging="329"/>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158750</wp:posOffset>
            </wp:positionH>
            <wp:positionV relativeFrom="paragraph">
              <wp:posOffset>-114935</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1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540" w:type="dxa"/>
            <w:vAlign w:val="bottom"/>
          </w:tcPr>
          <w:p>
            <w:pPr>
              <w:spacing w:after="0"/>
              <w:rPr>
                <w:sz w:val="20"/>
                <w:szCs w:val="20"/>
                <w:color w:val="auto"/>
              </w:rPr>
            </w:pPr>
          </w:p>
        </w:tc>
      </w:tr>
      <w:tr>
        <w:trPr>
          <w:trHeight w:val="689"/>
        </w:trPr>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4"/>
          </w:tcPr>
          <w:p>
            <w:pPr>
              <w:jc w:val="center"/>
              <w:ind w:right="240"/>
              <w:spacing w:after="0"/>
              <w:rPr>
                <w:sz w:val="20"/>
                <w:szCs w:val="20"/>
                <w:color w:val="auto"/>
              </w:rPr>
            </w:pPr>
            <w:r>
              <w:rPr>
                <w:rFonts w:ascii="Arial" w:cs="Arial" w:eastAsia="Arial" w:hAnsi="Arial"/>
                <w:sz w:val="40"/>
                <w:szCs w:val="40"/>
                <w:b w:val="1"/>
                <w:bCs w:val="1"/>
                <w:color w:val="auto"/>
                <w:w w:val="99"/>
              </w:rPr>
              <w:t>EXAGEN INC.</w:t>
            </w:r>
          </w:p>
        </w:tc>
        <w:tc>
          <w:tcPr>
            <w:tcW w:w="35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740" w:type="dxa"/>
            <w:vAlign w:val="bottom"/>
            <w:gridSpan w:val="7"/>
          </w:tcPr>
          <w:p>
            <w:pPr>
              <w:jc w:val="center"/>
              <w:ind w:right="244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498"/>
        </w:trPr>
        <w:tc>
          <w:tcPr>
            <w:tcW w:w="440" w:type="dxa"/>
            <w:vAlign w:val="bottom"/>
          </w:tcPr>
          <w:p>
            <w:pPr>
              <w:spacing w:after="0"/>
              <w:rPr>
                <w:sz w:val="24"/>
                <w:szCs w:val="24"/>
                <w:color w:val="auto"/>
              </w:rPr>
            </w:pPr>
          </w:p>
        </w:tc>
        <w:tc>
          <w:tcPr>
            <w:tcW w:w="2520" w:type="dxa"/>
            <w:vAlign w:val="bottom"/>
          </w:tcPr>
          <w:p>
            <w:pPr>
              <w:jc w:val="center"/>
              <w:ind w:left="1768"/>
              <w:spacing w:after="0"/>
              <w:rPr>
                <w:sz w:val="20"/>
                <w:szCs w:val="20"/>
                <w:color w:val="auto"/>
              </w:rPr>
            </w:pPr>
            <w:r>
              <w:rPr>
                <w:rFonts w:ascii="Arial" w:cs="Arial" w:eastAsia="Arial" w:hAnsi="Arial"/>
                <w:sz w:val="14"/>
                <w:szCs w:val="14"/>
                <w:b w:val="1"/>
                <w:bCs w:val="1"/>
                <w:color w:val="auto"/>
              </w:rPr>
              <w:t>Delaware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jc w:val="right"/>
              <w:ind w:right="134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440" w:type="dxa"/>
            <w:vAlign w:val="bottom"/>
          </w:tcPr>
          <w:p>
            <w:pPr>
              <w:spacing w:after="0"/>
              <w:rPr>
                <w:sz w:val="12"/>
                <w:szCs w:val="12"/>
                <w:color w:val="auto"/>
              </w:rPr>
            </w:pPr>
          </w:p>
        </w:tc>
        <w:tc>
          <w:tcPr>
            <w:tcW w:w="3600" w:type="dxa"/>
            <w:vAlign w:val="bottom"/>
            <w:gridSpan w:val="2"/>
          </w:tcPr>
          <w:p>
            <w:pPr>
              <w:jc w:val="center"/>
              <w:ind w:left="6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440" w:type="dxa"/>
            <w:vAlign w:val="bottom"/>
          </w:tcPr>
          <w:p>
            <w:pPr>
              <w:spacing w:after="0"/>
              <w:rPr>
                <w:sz w:val="16"/>
                <w:szCs w:val="16"/>
                <w:color w:val="auto"/>
              </w:rPr>
            </w:pPr>
          </w:p>
        </w:tc>
        <w:tc>
          <w:tcPr>
            <w:tcW w:w="360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incorporation or organization)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283"/>
        </w:trPr>
        <w:tc>
          <w:tcPr>
            <w:tcW w:w="440" w:type="dxa"/>
            <w:vAlign w:val="bottom"/>
          </w:tcPr>
          <w:p>
            <w:pPr>
              <w:spacing w:after="0"/>
              <w:rPr>
                <w:sz w:val="24"/>
                <w:szCs w:val="24"/>
                <w:color w:val="auto"/>
              </w:rPr>
            </w:pPr>
          </w:p>
        </w:tc>
        <w:tc>
          <w:tcPr>
            <w:tcW w:w="2520" w:type="dxa"/>
            <w:vAlign w:val="bottom"/>
          </w:tcPr>
          <w:p>
            <w:pPr>
              <w:ind w:left="1340"/>
              <w:spacing w:after="0"/>
              <w:rPr>
                <w:sz w:val="20"/>
                <w:szCs w:val="20"/>
                <w:color w:val="auto"/>
              </w:rPr>
            </w:pPr>
            <w:r>
              <w:rPr>
                <w:rFonts w:ascii="Arial" w:cs="Arial" w:eastAsia="Arial" w:hAnsi="Arial"/>
                <w:sz w:val="14"/>
                <w:szCs w:val="14"/>
                <w:b w:val="1"/>
                <w:bCs w:val="1"/>
                <w:color w:val="auto"/>
              </w:rPr>
              <w:t>1261 Liberty Way</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9"/>
        </w:trPr>
        <w:tc>
          <w:tcPr>
            <w:tcW w:w="440" w:type="dxa"/>
            <w:vAlign w:val="bottom"/>
          </w:tcPr>
          <w:p>
            <w:pPr>
              <w:spacing w:after="0"/>
              <w:rPr>
                <w:sz w:val="16"/>
                <w:szCs w:val="16"/>
                <w:color w:val="auto"/>
              </w:rPr>
            </w:pPr>
          </w:p>
        </w:tc>
        <w:tc>
          <w:tcPr>
            <w:tcW w:w="2520" w:type="dxa"/>
            <w:vAlign w:val="bottom"/>
          </w:tcPr>
          <w:p>
            <w:pPr>
              <w:ind w:left="1180"/>
              <w:spacing w:after="0"/>
              <w:rPr>
                <w:sz w:val="20"/>
                <w:szCs w:val="20"/>
                <w:color w:val="auto"/>
              </w:rPr>
            </w:pPr>
            <w:r>
              <w:rPr>
                <w:rFonts w:ascii="Arial" w:cs="Arial" w:eastAsia="Arial" w:hAnsi="Arial"/>
                <w:sz w:val="14"/>
                <w:szCs w:val="14"/>
                <w:b w:val="1"/>
                <w:bCs w:val="1"/>
                <w:color w:val="auto"/>
              </w:rPr>
              <w:t>Vista,</w:t>
            </w: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California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right"/>
              <w:ind w:right="1528"/>
              <w:spacing w:after="0"/>
              <w:rPr>
                <w:sz w:val="20"/>
                <w:szCs w:val="20"/>
                <w:color w:val="auto"/>
              </w:rPr>
            </w:pPr>
            <w:r>
              <w:rPr>
                <w:rFonts w:ascii="Arial" w:cs="Arial" w:eastAsia="Arial" w:hAnsi="Arial"/>
                <w:sz w:val="14"/>
                <w:szCs w:val="14"/>
                <w:b w:val="1"/>
                <w:bCs w:val="1"/>
                <w:color w:val="auto"/>
              </w:rPr>
              <w:t>92081</w:t>
            </w:r>
          </w:p>
        </w:tc>
      </w:tr>
      <w:tr>
        <w:trPr>
          <w:trHeight w:val="190"/>
        </w:trPr>
        <w:tc>
          <w:tcPr>
            <w:tcW w:w="440" w:type="dxa"/>
            <w:vAlign w:val="bottom"/>
          </w:tcPr>
          <w:p>
            <w:pPr>
              <w:spacing w:after="0"/>
              <w:rPr>
                <w:sz w:val="16"/>
                <w:szCs w:val="16"/>
                <w:color w:val="auto"/>
              </w:rPr>
            </w:pPr>
          </w:p>
        </w:tc>
        <w:tc>
          <w:tcPr>
            <w:tcW w:w="360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(Address of Principal Executive Offices)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566"/>
        </w:trPr>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4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740" w:type="dxa"/>
            <w:vAlign w:val="bottom"/>
            <w:gridSpan w:val="7"/>
          </w:tcPr>
          <w:p>
            <w:pPr>
              <w:jc w:val="center"/>
              <w:ind w:right="2468"/>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56"/>
        </w:trPr>
        <w:tc>
          <w:tcPr>
            <w:tcW w:w="4040" w:type="dxa"/>
            <w:vAlign w:val="bottom"/>
            <w:gridSpan w:val="3"/>
          </w:tcPr>
          <w:p>
            <w:pPr>
              <w:jc w:val="right"/>
              <w:ind w:right="328"/>
              <w:spacing w:after="0"/>
              <w:rPr>
                <w:sz w:val="20"/>
                <w:szCs w:val="20"/>
                <w:color w:val="auto"/>
              </w:rPr>
            </w:pPr>
            <w:r>
              <w:rPr>
                <w:rFonts w:ascii="Arial" w:cs="Arial" w:eastAsia="Arial" w:hAnsi="Arial"/>
                <w:sz w:val="14"/>
                <w:szCs w:val="14"/>
                <w:color w:val="auto"/>
              </w:rPr>
              <w:t>Securities registered pursuant to Section 12(b) of the Act: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228"/>
        </w:trPr>
        <w:tc>
          <w:tcPr>
            <w:tcW w:w="440" w:type="dxa"/>
            <w:vAlign w:val="bottom"/>
          </w:tcPr>
          <w:p>
            <w:pPr>
              <w:spacing w:after="0"/>
              <w:rPr>
                <w:sz w:val="19"/>
                <w:szCs w:val="19"/>
                <w:color w:val="auto"/>
              </w:rPr>
            </w:pPr>
          </w:p>
        </w:tc>
        <w:tc>
          <w:tcPr>
            <w:tcW w:w="25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Title of each class</w:t>
            </w: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40" w:type="dxa"/>
            <w:vAlign w:val="bottom"/>
          </w:tcPr>
          <w:p>
            <w:pPr>
              <w:spacing w:after="0"/>
              <w:rPr>
                <w:sz w:val="16"/>
                <w:szCs w:val="16"/>
                <w:color w:val="auto"/>
              </w:rPr>
            </w:pPr>
          </w:p>
        </w:tc>
        <w:tc>
          <w:tcPr>
            <w:tcW w:w="36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Common Stock, par value $0.001 per share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XGN</w:t>
            </w:r>
          </w:p>
        </w:tc>
        <w:tc>
          <w:tcPr>
            <w:tcW w:w="3540" w:type="dxa"/>
            <w:vAlign w:val="bottom"/>
          </w:tcPr>
          <w:p>
            <w:pPr>
              <w:jc w:val="center"/>
              <w:ind w:right="1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65"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96" w:lineRule="exact"/>
        <w:rPr>
          <w:sz w:val="24"/>
          <w:szCs w:val="24"/>
          <w:color w:val="auto"/>
        </w:rPr>
      </w:pPr>
    </w:p>
    <w:tbl>
      <w:tblPr>
        <w:tblLayout w:type="fixed"/>
        <w:tblInd w:w="480" w:type="dxa"/>
        <w:tblCellMar>
          <w:top w:w="0" w:type="dxa"/>
          <w:left w:w="0" w:type="dxa"/>
          <w:bottom w:w="0" w:type="dxa"/>
          <w:right w:w="0" w:type="dxa"/>
        </w:tblCellMar>
      </w:tblPr>
      <w:tr>
        <w:trPr>
          <w:trHeight w:val="226"/>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2"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0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November 6, 2020 was 12,652,138.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8600" w:type="dxa"/>
            <w:vAlign w:val="bottom"/>
            <w:gridSpan w:val="3"/>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340" w:type="dxa"/>
            <w:vAlign w:val="bottom"/>
          </w:tcPr>
          <w:p>
            <w:pPr>
              <w:ind w:lef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8600" w:type="dxa"/>
            <w:vAlign w:val="bottom"/>
            <w:gridSpan w:val="3"/>
            <w:vMerge w:val="continue"/>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1.</w:t>
            </w:r>
          </w:p>
        </w:tc>
        <w:tc>
          <w:tcPr>
            <w:tcW w:w="86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Financial Statements (unaudited)</w:t>
              </w:r>
            </w:hyperlink>
          </w:p>
        </w:tc>
        <w:tc>
          <w:tcPr>
            <w:tcW w:w="1340" w:type="dxa"/>
            <w:vAlign w:val="bottom"/>
          </w:tcPr>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86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Balance Sheets as of September 30, 2020 and December 31, 2019</w:t>
              </w:r>
            </w:hyperlink>
          </w:p>
        </w:tc>
        <w:tc>
          <w:tcPr>
            <w:tcW w:w="1340" w:type="dxa"/>
            <w:vAlign w:val="bottom"/>
          </w:tcPr>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86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Statements of Operations for the Three and Nine Months ended September 30, 2020 and 2019</w:t>
              </w:r>
            </w:hyperlink>
          </w:p>
        </w:tc>
        <w:tc>
          <w:tcPr>
            <w:tcW w:w="1340" w:type="dxa"/>
            <w:vAlign w:val="bottom"/>
          </w:tcPr>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600" w:type="dxa"/>
            <w:vAlign w:val="bottom"/>
            <w:gridSpan w:val="3"/>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Statements of Redeemable Convertible Preferred Stock and Stockholders' Equity (Deficit) for</w:t>
              </w:r>
            </w:hyperlink>
          </w:p>
        </w:tc>
        <w:tc>
          <w:tcPr>
            <w:tcW w:w="1340" w:type="dxa"/>
            <w:vAlign w:val="bottom"/>
            <w:vMerge w:val="restart"/>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the Nine Months ended September 30, 2020 and 2019</w:t>
              </w:r>
            </w:hyperlink>
          </w:p>
        </w:tc>
        <w:tc>
          <w:tcPr>
            <w:tcW w:w="40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860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Statements of Cash Flows for the Nine Months ended September 30, 2020 and 2019</w:t>
              </w:r>
            </w:hyperlink>
          </w:p>
        </w:tc>
        <w:tc>
          <w:tcPr>
            <w:tcW w:w="1340" w:type="dxa"/>
            <w:vAlign w:val="bottom"/>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8600" w:type="dxa"/>
            <w:vAlign w:val="bottom"/>
            <w:gridSpan w:val="3"/>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Condensed Financial Statements</w:t>
              </w:r>
            </w:hyperlink>
          </w:p>
        </w:tc>
        <w:tc>
          <w:tcPr>
            <w:tcW w:w="1340" w:type="dxa"/>
            <w:vAlign w:val="bottom"/>
          </w:tcPr>
          <w:p>
            <w:pPr>
              <w:ind w:left="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3"/>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340" w:type="dxa"/>
            <w:vAlign w:val="bottom"/>
          </w:tcPr>
          <w:p>
            <w:pPr>
              <w:ind w:left="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860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Quantitative and Qualitative Disclosures About Market Risk</w:t>
              </w:r>
            </w:hyperlink>
          </w:p>
        </w:tc>
        <w:tc>
          <w:tcPr>
            <w:tcW w:w="1340" w:type="dxa"/>
            <w:vAlign w:val="bottom"/>
          </w:tcPr>
          <w:p>
            <w:pPr>
              <w:ind w:left="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60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486"/>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1.</w:t>
            </w:r>
          </w:p>
        </w:tc>
        <w:tc>
          <w:tcPr>
            <w:tcW w:w="860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60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Risk Factors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860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Defaults Upon Senior Securities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60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Mine Safety Disclosures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860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Other Information</w:t>
              </w:r>
            </w:hyperlink>
          </w:p>
        </w:tc>
        <w:tc>
          <w:tcPr>
            <w:tcW w:w="134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860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8600" w:type="dxa"/>
            <w:vAlign w:val="bottom"/>
            <w:gridSpan w:val="3"/>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tc>
        <w:tc>
          <w:tcPr>
            <w:tcW w:w="1340" w:type="dxa"/>
            <w:vAlign w:val="bottom"/>
          </w:tcPr>
          <w:p>
            <w:pPr>
              <w:ind w:left="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086"/>
        </w:trPr>
        <w:tc>
          <w:tcPr>
            <w:tcW w:w="13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189"/>
        </w:trPr>
        <w:tc>
          <w:tcPr>
            <w:tcW w:w="858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183"/>
        </w:trPr>
        <w:tc>
          <w:tcPr>
            <w:tcW w:w="858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72,555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3"/>
        </w:trPr>
        <w:tc>
          <w:tcPr>
            <w:tcW w:w="858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79,993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26,453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September 30, 2020 and</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580" w:type="dxa"/>
            <w:vAlign w:val="bottom"/>
          </w:tcPr>
          <w:p>
            <w:pPr>
              <w:ind w:left="360"/>
              <w:spacing w:after="0"/>
              <w:rPr>
                <w:sz w:val="20"/>
                <w:szCs w:val="20"/>
                <w:color w:val="auto"/>
              </w:rPr>
            </w:pPr>
            <w:r>
              <w:rPr>
                <w:rFonts w:ascii="Arial" w:cs="Arial" w:eastAsia="Arial" w:hAnsi="Arial"/>
                <w:sz w:val="14"/>
                <w:szCs w:val="14"/>
                <w:color w:val="auto"/>
              </w:rPr>
              <w:t>December 31, 2019</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September 30, 2020 and December 31, 2019; 12,652,113</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12,560,990 shares issued and outstanding at September 30, 2020 and December 31, 2019, respectively</w:t>
            </w: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(177,836)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07"/>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7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30,173</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14,217</w:t>
            </w:r>
          </w:p>
        </w:tc>
        <w:tc>
          <w:tcPr>
            <w:tcW w:w="0" w:type="dxa"/>
            <w:vAlign w:val="bottom"/>
          </w:tcPr>
          <w:p>
            <w:pPr>
              <w:spacing w:after="0"/>
              <w:rPr>
                <w:sz w:val="1"/>
                <w:szCs w:val="1"/>
                <w:color w:val="auto"/>
              </w:rPr>
            </w:pPr>
          </w:p>
        </w:tc>
      </w:tr>
      <w:tr>
        <w:trPr>
          <w:trHeight w:val="189"/>
        </w:trPr>
        <w:tc>
          <w:tcPr>
            <w:tcW w:w="540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9,202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7,306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27,104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20,787</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14,561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41,731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36,614</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(6,441)</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(8,630)</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(8,630)</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(13,601)</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 (Note 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(17,080)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(13,234)</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(26,871)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 (Note 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4"/>
                <w:szCs w:val="14"/>
                <w:color w:val="auto"/>
              </w:rPr>
              <w:t>Weighted-average number of shares used to compute net loss per share, 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4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12,644,348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1,513,189</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12,626,259</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551,730</w:t>
            </w:r>
          </w:p>
        </w:tc>
        <w:tc>
          <w:tcPr>
            <w:tcW w:w="0" w:type="dxa"/>
            <w:vAlign w:val="bottom"/>
          </w:tcPr>
          <w:p>
            <w:pPr>
              <w:spacing w:after="0"/>
              <w:rPr>
                <w:sz w:val="1"/>
                <w:szCs w:val="1"/>
                <w:color w:val="auto"/>
              </w:rPr>
            </w:pPr>
          </w:p>
        </w:tc>
      </w:tr>
      <w:tr>
        <w:trPr>
          <w:trHeight w:val="144"/>
        </w:trPr>
        <w:tc>
          <w:tcPr>
            <w:tcW w:w="5400" w:type="dxa"/>
            <w:vAlign w:val="bottom"/>
          </w:tcPr>
          <w:p>
            <w:pPr>
              <w:ind w:left="20"/>
              <w:spacing w:after="0" w:line="144" w:lineRule="exact"/>
              <w:rPr>
                <w:sz w:val="20"/>
                <w:szCs w:val="20"/>
                <w:color w:val="auto"/>
              </w:rPr>
            </w:pPr>
            <w:r>
              <w:rPr>
                <w:rFonts w:ascii="Arial" w:cs="Arial" w:eastAsia="Arial" w:hAnsi="Arial"/>
                <w:sz w:val="14"/>
                <w:szCs w:val="14"/>
                <w:color w:val="auto"/>
              </w:rPr>
              <w:t>and diluted (Note 2)</w:t>
            </w: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Unaudited Condensed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1"/>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ind w:left="200"/>
              <w:spacing w:after="0" w:line="108"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1"/>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ind w:left="380"/>
              <w:spacing w:after="0"/>
              <w:rPr>
                <w:sz w:val="20"/>
                <w:szCs w:val="20"/>
                <w:color w:val="auto"/>
              </w:rPr>
            </w:pPr>
            <w:r>
              <w:rPr>
                <w:rFonts w:ascii="Arial" w:cs="Arial" w:eastAsia="Arial" w:hAnsi="Arial"/>
                <w:sz w:val="11"/>
                <w:szCs w:val="11"/>
                <w:b w:val="1"/>
                <w:bCs w:val="1"/>
                <w:color w:val="auto"/>
              </w:rPr>
              <w:t>Deficit</w:t>
            </w:r>
          </w:p>
        </w:tc>
        <w:tc>
          <w:tcPr>
            <w:tcW w:w="280" w:type="dxa"/>
            <w:vAlign w:val="bottom"/>
          </w:tcPr>
          <w:p>
            <w:pPr>
              <w:spacing w:after="0"/>
              <w:rPr>
                <w:sz w:val="12"/>
                <w:szCs w:val="12"/>
                <w:color w:val="auto"/>
              </w:rPr>
            </w:pPr>
          </w:p>
        </w:tc>
        <w:tc>
          <w:tcPr>
            <w:tcW w:w="1360" w:type="dxa"/>
            <w:vAlign w:val="bottom"/>
          </w:tcPr>
          <w:p>
            <w:pPr>
              <w:jc w:val="center"/>
              <w:ind w:right="211"/>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12,560,990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220,248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9"/>
        </w:trPr>
        <w:tc>
          <w:tcPr>
            <w:tcW w:w="374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43,700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9"/>
        </w:trPr>
        <w:tc>
          <w:tcPr>
            <w:tcW w:w="3740" w:type="dxa"/>
            <w:vAlign w:val="bottom"/>
          </w:tcPr>
          <w:p>
            <w:pPr>
              <w:ind w:left="340"/>
              <w:spacing w:after="0"/>
              <w:rPr>
                <w:sz w:val="20"/>
                <w:szCs w:val="20"/>
                <w:color w:val="auto"/>
              </w:rPr>
            </w:pPr>
            <w:r>
              <w:rPr>
                <w:rFonts w:ascii="Arial" w:cs="Arial" w:eastAsia="Arial" w:hAnsi="Arial"/>
                <w:sz w:val="14"/>
                <w:szCs w:val="14"/>
                <w:color w:val="auto"/>
              </w:rPr>
              <w:t>Net exercise of common stock warrants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12,627,056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220,689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(170,165)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50,537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7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common stock warrants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740" w:type="dxa"/>
            <w:vAlign w:val="bottom"/>
          </w:tcPr>
          <w:p>
            <w:pPr>
              <w:ind w:left="34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12,640,409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221,356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(173,528)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189"/>
        </w:trPr>
        <w:tc>
          <w:tcPr>
            <w:tcW w:w="374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4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11,649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September 30, 2020</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12,652,113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222,297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(177,836)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44,474</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Unaudited Condensed Statements of Redeemable Convertible Preferred Stock and Stockholders' Equity (Deficit)</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120"/>
          </w:cols>
          <w:pgMar w:left="340" w:top="1102" w:right="439" w:bottom="1440" w:gutter="0" w:footer="0" w:header="0"/>
        </w:sect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1500" w:type="dxa"/>
            <w:vAlign w:val="bottom"/>
            <w:gridSpan w:val="2"/>
          </w:tcPr>
          <w:p>
            <w:pPr>
              <w:jc w:val="center"/>
              <w:ind w:left="791"/>
              <w:spacing w:after="0"/>
              <w:rPr>
                <w:sz w:val="20"/>
                <w:szCs w:val="20"/>
                <w:color w:val="auto"/>
              </w:rPr>
            </w:pPr>
            <w:r>
              <w:rPr>
                <w:rFonts w:ascii="Arial" w:cs="Arial" w:eastAsia="Arial" w:hAnsi="Arial"/>
                <w:sz w:val="11"/>
                <w:szCs w:val="11"/>
                <w:b w:val="1"/>
                <w:bCs w:val="1"/>
                <w:color w:val="auto"/>
                <w:w w:val="98"/>
              </w:rPr>
              <w:t>Redeemable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500" w:type="dxa"/>
            <w:vAlign w:val="bottom"/>
            <w:gridSpan w:val="2"/>
          </w:tcPr>
          <w:p>
            <w:pPr>
              <w:jc w:val="center"/>
              <w:ind w:left="791"/>
              <w:spacing w:after="0" w:line="108" w:lineRule="exact"/>
              <w:rPr>
                <w:sz w:val="20"/>
                <w:szCs w:val="20"/>
                <w:color w:val="auto"/>
              </w:rPr>
            </w:pPr>
            <w:r>
              <w:rPr>
                <w:rFonts w:ascii="Arial" w:cs="Arial" w:eastAsia="Arial" w:hAnsi="Arial"/>
                <w:sz w:val="11"/>
                <w:szCs w:val="11"/>
                <w:b w:val="1"/>
                <w:bCs w:val="1"/>
                <w:color w:val="auto"/>
                <w:w w:val="99"/>
              </w:rPr>
              <w:t>Convertible</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66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Preferred Stock</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5"/>
                <w:szCs w:val="15"/>
                <w:color w:val="auto"/>
              </w:rPr>
            </w:pPr>
          </w:p>
        </w:tc>
        <w:tc>
          <w:tcPr>
            <w:tcW w:w="720" w:type="dxa"/>
            <w:vAlign w:val="bottom"/>
          </w:tcPr>
          <w:p>
            <w:pPr>
              <w:jc w:val="right"/>
              <w:ind w:right="169"/>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2"/>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2018</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540" w:type="dxa"/>
            <w:vAlign w:val="bottom"/>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532,606,084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105,232</w:t>
            </w:r>
          </w:p>
        </w:tc>
        <w:tc>
          <w:tcPr>
            <w:tcW w:w="0" w:type="dxa"/>
            <w:vAlign w:val="bottom"/>
          </w:tcPr>
          <w:p>
            <w:pPr>
              <w:spacing w:after="0"/>
              <w:rPr>
                <w:sz w:val="1"/>
                <w:szCs w:val="1"/>
                <w:color w:val="auto"/>
              </w:rPr>
            </w:pPr>
          </w:p>
        </w:tc>
      </w:tr>
      <w:tr>
        <w:trPr>
          <w:trHeight w:val="152"/>
        </w:trPr>
        <w:tc>
          <w:tcPr>
            <w:tcW w:w="3540" w:type="dxa"/>
            <w:vAlign w:val="bottom"/>
          </w:tcPr>
          <w:p>
            <w:pPr>
              <w:ind w:left="340"/>
              <w:spacing w:after="0" w:line="152" w:lineRule="exact"/>
              <w:rPr>
                <w:sz w:val="20"/>
                <w:szCs w:val="20"/>
                <w:color w:val="auto"/>
              </w:rPr>
            </w:pPr>
            <w:r>
              <w:rPr>
                <w:rFonts w:ascii="Arial" w:cs="Arial" w:eastAsia="Arial" w:hAnsi="Arial"/>
                <w:sz w:val="14"/>
                <w:szCs w:val="14"/>
                <w:color w:val="auto"/>
              </w:rPr>
              <w:t>Accretion of redeemable convertible preferred</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stock</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320"/>
              <w:spacing w:after="0"/>
              <w:rPr>
                <w:sz w:val="20"/>
                <w:szCs w:val="20"/>
                <w:color w:val="auto"/>
              </w:rPr>
            </w:pPr>
            <w:r>
              <w:rPr>
                <w:rFonts w:ascii="Arial" w:cs="Arial" w:eastAsia="Arial" w:hAnsi="Arial"/>
                <w:sz w:val="14"/>
                <w:szCs w:val="14"/>
                <w:color w:val="auto"/>
              </w:rPr>
              <w:t>Exercise of stock options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540" w:type="dxa"/>
            <w:vAlign w:val="bottom"/>
          </w:tcPr>
          <w:p>
            <w:pPr>
              <w:ind w:left="340"/>
              <w:spacing w:after="0" w:line="152" w:lineRule="exact"/>
              <w:rPr>
                <w:sz w:val="20"/>
                <w:szCs w:val="20"/>
                <w:color w:val="auto"/>
              </w:rPr>
            </w:pPr>
            <w:r>
              <w:rPr>
                <w:rFonts w:ascii="Arial" w:cs="Arial" w:eastAsia="Arial" w:hAnsi="Arial"/>
                <w:sz w:val="14"/>
                <w:szCs w:val="14"/>
                <w:color w:val="auto"/>
              </w:rPr>
              <w:t>Issuance of Series G redeemable convertible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40"/>
              <w:spacing w:after="0" w:line="135" w:lineRule="exact"/>
              <w:rPr>
                <w:sz w:val="20"/>
                <w:szCs w:val="20"/>
                <w:color w:val="auto"/>
              </w:rPr>
            </w:pPr>
            <w:r>
              <w:rPr>
                <w:rFonts w:ascii="Arial" w:cs="Arial" w:eastAsia="Arial" w:hAnsi="Arial"/>
                <w:sz w:val="14"/>
                <w:szCs w:val="14"/>
                <w:color w:val="auto"/>
              </w:rPr>
              <w:t>preferred stock for aggregate proceeds of</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40"/>
              <w:spacing w:after="0" w:line="135" w:lineRule="exact"/>
              <w:rPr>
                <w:sz w:val="20"/>
                <w:szCs w:val="20"/>
                <w:color w:val="auto"/>
              </w:rPr>
            </w:pPr>
            <w:r>
              <w:rPr>
                <w:rFonts w:ascii="Arial" w:cs="Arial" w:eastAsia="Arial" w:hAnsi="Arial"/>
                <w:sz w:val="14"/>
                <w:szCs w:val="14"/>
                <w:color w:val="auto"/>
              </w:rPr>
              <w:t>$0.078 per share, net of issuance costs of $96</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97,646,289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7,520</w:t>
            </w: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32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20"/>
                <w:szCs w:val="20"/>
                <w:color w:val="auto"/>
              </w:rPr>
            </w:pPr>
            <w:r>
              <w:rPr>
                <w:rFonts w:ascii="Arial" w:cs="Arial" w:eastAsia="Arial" w:hAnsi="Arial"/>
                <w:sz w:val="14"/>
                <w:szCs w:val="14"/>
                <w:b w:val="1"/>
                <w:bCs w:val="1"/>
                <w:color w:val="auto"/>
              </w:rPr>
              <w:t>Balances at March 31, 2019</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630,252,373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114,866</w:t>
            </w:r>
          </w:p>
        </w:tc>
        <w:tc>
          <w:tcPr>
            <w:tcW w:w="0" w:type="dxa"/>
            <w:vAlign w:val="bottom"/>
          </w:tcPr>
          <w:p>
            <w:pPr>
              <w:spacing w:after="0"/>
              <w:rPr>
                <w:sz w:val="1"/>
                <w:szCs w:val="1"/>
                <w:color w:val="auto"/>
              </w:rPr>
            </w:pPr>
          </w:p>
        </w:tc>
      </w:tr>
      <w:tr>
        <w:trPr>
          <w:trHeight w:val="152"/>
        </w:trPr>
        <w:tc>
          <w:tcPr>
            <w:tcW w:w="3540" w:type="dxa"/>
            <w:vAlign w:val="bottom"/>
          </w:tcPr>
          <w:p>
            <w:pPr>
              <w:ind w:left="340"/>
              <w:spacing w:after="0" w:line="152" w:lineRule="exact"/>
              <w:rPr>
                <w:sz w:val="20"/>
                <w:szCs w:val="20"/>
                <w:color w:val="auto"/>
              </w:rPr>
            </w:pPr>
            <w:r>
              <w:rPr>
                <w:rFonts w:ascii="Arial" w:cs="Arial" w:eastAsia="Arial" w:hAnsi="Arial"/>
                <w:sz w:val="14"/>
                <w:szCs w:val="14"/>
                <w:color w:val="auto"/>
              </w:rPr>
              <w:t>Accretion of redeemable convertible preferred</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stock</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320"/>
              <w:spacing w:after="0"/>
              <w:rPr>
                <w:sz w:val="20"/>
                <w:szCs w:val="20"/>
                <w:color w:val="auto"/>
              </w:rPr>
            </w:pPr>
            <w:r>
              <w:rPr>
                <w:rFonts w:ascii="Arial" w:cs="Arial" w:eastAsia="Arial" w:hAnsi="Arial"/>
                <w:sz w:val="14"/>
                <w:szCs w:val="14"/>
                <w:color w:val="auto"/>
              </w:rPr>
              <w:t>Exercise of stock options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4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540" w:type="dxa"/>
            <w:vAlign w:val="bottom"/>
          </w:tcPr>
          <w:p>
            <w:pPr>
              <w:ind w:left="340"/>
              <w:spacing w:after="0" w:line="152" w:lineRule="exact"/>
              <w:rPr>
                <w:sz w:val="20"/>
                <w:szCs w:val="20"/>
                <w:color w:val="auto"/>
              </w:rPr>
            </w:pPr>
            <w:r>
              <w:rPr>
                <w:rFonts w:ascii="Arial" w:cs="Arial" w:eastAsia="Arial" w:hAnsi="Arial"/>
                <w:sz w:val="14"/>
                <w:szCs w:val="14"/>
                <w:color w:val="auto"/>
              </w:rPr>
              <w:t>Issuance of Series G redeemable convertible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40"/>
              <w:spacing w:after="0" w:line="135" w:lineRule="exact"/>
              <w:rPr>
                <w:sz w:val="20"/>
                <w:szCs w:val="20"/>
                <w:color w:val="auto"/>
              </w:rPr>
            </w:pPr>
            <w:r>
              <w:rPr>
                <w:rFonts w:ascii="Arial" w:cs="Arial" w:eastAsia="Arial" w:hAnsi="Arial"/>
                <w:sz w:val="14"/>
                <w:szCs w:val="14"/>
                <w:color w:val="auto"/>
              </w:rPr>
              <w:t>preferred stock for aggregate proceeds of</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40"/>
              <w:spacing w:after="0" w:line="135" w:lineRule="exact"/>
              <w:rPr>
                <w:sz w:val="20"/>
                <w:szCs w:val="20"/>
                <w:color w:val="auto"/>
              </w:rPr>
            </w:pPr>
            <w:r>
              <w:rPr>
                <w:rFonts w:ascii="Arial" w:cs="Arial" w:eastAsia="Arial" w:hAnsi="Arial"/>
                <w:sz w:val="14"/>
                <w:szCs w:val="14"/>
                <w:color w:val="auto"/>
              </w:rPr>
              <w:t>$0.078 per share, net of issuance costs of $28</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51,282,048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32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20"/>
                <w:szCs w:val="20"/>
                <w:color w:val="auto"/>
              </w:rPr>
            </w:pPr>
            <w:r>
              <w:rPr>
                <w:rFonts w:ascii="Arial" w:cs="Arial" w:eastAsia="Arial" w:hAnsi="Arial"/>
                <w:sz w:val="14"/>
                <w:szCs w:val="14"/>
                <w:b w:val="1"/>
                <w:bCs w:val="1"/>
                <w:color w:val="auto"/>
              </w:rPr>
              <w:t>Balances at June 30, 2019</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681,534,421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121,026</w:t>
            </w: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Accretion of redeemable convertible preferred</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stock</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540" w:type="dxa"/>
            <w:vAlign w:val="bottom"/>
          </w:tcPr>
          <w:p>
            <w:pPr>
              <w:ind w:left="340"/>
              <w:spacing w:after="0" w:line="152" w:lineRule="exact"/>
              <w:rPr>
                <w:sz w:val="20"/>
                <w:szCs w:val="20"/>
                <w:color w:val="auto"/>
              </w:rPr>
            </w:pPr>
            <w:r>
              <w:rPr>
                <w:rFonts w:ascii="Arial" w:cs="Arial" w:eastAsia="Arial" w:hAnsi="Arial"/>
                <w:sz w:val="14"/>
                <w:szCs w:val="14"/>
                <w:color w:val="auto"/>
              </w:rPr>
              <w:t>Issuance of Series H redeemable convertible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40"/>
              <w:spacing w:after="0" w:line="135" w:lineRule="exact"/>
              <w:rPr>
                <w:sz w:val="20"/>
                <w:szCs w:val="20"/>
                <w:color w:val="auto"/>
              </w:rPr>
            </w:pPr>
            <w:r>
              <w:rPr>
                <w:rFonts w:ascii="Arial" w:cs="Arial" w:eastAsia="Arial" w:hAnsi="Arial"/>
                <w:sz w:val="14"/>
                <w:szCs w:val="14"/>
                <w:color w:val="auto"/>
              </w:rPr>
              <w:t>preferred stock for aggregate proceeds of</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40"/>
              <w:spacing w:after="0" w:line="135" w:lineRule="exact"/>
              <w:rPr>
                <w:sz w:val="20"/>
                <w:szCs w:val="20"/>
                <w:color w:val="auto"/>
              </w:rPr>
            </w:pPr>
            <w:r>
              <w:rPr>
                <w:rFonts w:ascii="Arial" w:cs="Arial" w:eastAsia="Arial" w:hAnsi="Arial"/>
                <w:sz w:val="14"/>
                <w:szCs w:val="14"/>
                <w:color w:val="auto"/>
              </w:rPr>
              <w:t>$0.047 per share, net of issuance costs of $318</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233,446,519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3,941</w:t>
            </w: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Deemed dividend recognized on beneficial</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20"/>
              <w:spacing w:after="0" w:line="135" w:lineRule="exact"/>
              <w:rPr>
                <w:sz w:val="20"/>
                <w:szCs w:val="20"/>
                <w:color w:val="auto"/>
              </w:rPr>
            </w:pPr>
            <w:r>
              <w:rPr>
                <w:rFonts w:ascii="Arial" w:cs="Arial" w:eastAsia="Arial" w:hAnsi="Arial"/>
                <w:sz w:val="14"/>
                <w:szCs w:val="14"/>
                <w:color w:val="auto"/>
              </w:rPr>
              <w:t>conversion features of Series H redeemable</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convertible preferred stock (Note 7)</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Deemed dividend from conversion of Series G</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20"/>
              <w:spacing w:after="0" w:line="135" w:lineRule="exact"/>
              <w:rPr>
                <w:sz w:val="20"/>
                <w:szCs w:val="20"/>
                <w:color w:val="auto"/>
              </w:rPr>
            </w:pPr>
            <w:r>
              <w:rPr>
                <w:rFonts w:ascii="Arial" w:cs="Arial" w:eastAsia="Arial" w:hAnsi="Arial"/>
                <w:sz w:val="14"/>
                <w:szCs w:val="14"/>
                <w:color w:val="auto"/>
              </w:rPr>
              <w:t>to Series H redeemable convertible preferred</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97,592,739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stock (Note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Conversion of preferred stock to common stock</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(1,012,573,679)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(138,906)</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in connection with initial public offering (Note 7)</w:t>
            </w: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Issuance of common stock in initial public</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20"/>
              <w:spacing w:after="0" w:line="135" w:lineRule="exact"/>
              <w:rPr>
                <w:sz w:val="20"/>
                <w:szCs w:val="20"/>
                <w:color w:val="auto"/>
              </w:rPr>
            </w:pPr>
            <w:r>
              <w:rPr>
                <w:rFonts w:ascii="Arial" w:cs="Arial" w:eastAsia="Arial" w:hAnsi="Arial"/>
                <w:sz w:val="14"/>
                <w:szCs w:val="14"/>
                <w:color w:val="auto"/>
              </w:rPr>
              <w:t>offering, net of underwriting discount,</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commissions and issuance costs (Note 8)</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Net exercise of common and preferred stock</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warrants</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40" w:type="dxa"/>
            <w:vAlign w:val="bottom"/>
          </w:tcPr>
          <w:p>
            <w:pPr>
              <w:ind w:left="320"/>
              <w:spacing w:after="0" w:line="152" w:lineRule="exact"/>
              <w:rPr>
                <w:sz w:val="20"/>
                <w:szCs w:val="20"/>
                <w:color w:val="auto"/>
              </w:rPr>
            </w:pPr>
            <w:r>
              <w:rPr>
                <w:rFonts w:ascii="Arial" w:cs="Arial" w:eastAsia="Arial" w:hAnsi="Arial"/>
                <w:sz w:val="14"/>
                <w:szCs w:val="14"/>
                <w:color w:val="auto"/>
              </w:rPr>
              <w:t>Reclassification of redeemable convertible</w:t>
            </w: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540" w:type="dxa"/>
            <w:vAlign w:val="bottom"/>
          </w:tcPr>
          <w:p>
            <w:pPr>
              <w:ind w:left="320"/>
              <w:spacing w:after="0"/>
              <w:rPr>
                <w:sz w:val="20"/>
                <w:szCs w:val="20"/>
                <w:color w:val="auto"/>
              </w:rPr>
            </w:pPr>
            <w:r>
              <w:rPr>
                <w:rFonts w:ascii="Arial" w:cs="Arial" w:eastAsia="Arial" w:hAnsi="Arial"/>
                <w:sz w:val="14"/>
                <w:szCs w:val="14"/>
                <w:color w:val="auto"/>
              </w:rPr>
              <w:t>preferred stock warrant liabilities as equity</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320"/>
              <w:spacing w:after="0"/>
              <w:rPr>
                <w:sz w:val="20"/>
                <w:szCs w:val="20"/>
                <w:color w:val="auto"/>
              </w:rPr>
            </w:pPr>
            <w:r>
              <w:rPr>
                <w:rFonts w:ascii="Arial" w:cs="Arial" w:eastAsia="Arial" w:hAnsi="Arial"/>
                <w:sz w:val="14"/>
                <w:szCs w:val="14"/>
                <w:color w:val="auto"/>
              </w:rPr>
              <w:t>Net loss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20"/>
                <w:szCs w:val="20"/>
                <w:color w:val="auto"/>
              </w:rPr>
            </w:pPr>
            <w:r>
              <w:rPr>
                <w:rFonts w:ascii="Arial" w:cs="Arial" w:eastAsia="Arial" w:hAnsi="Arial"/>
                <w:sz w:val="14"/>
                <w:szCs w:val="14"/>
                <w:b w:val="1"/>
                <w:bCs w:val="1"/>
                <w:color w:val="auto"/>
              </w:rPr>
              <w:t>Balances at September 30, 2019</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-4748530</wp:posOffset>
            </wp:positionV>
            <wp:extent cx="707199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-4413885</wp:posOffset>
            </wp:positionV>
            <wp:extent cx="707199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-4173855</wp:posOffset>
            </wp:positionV>
            <wp:extent cx="707199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3771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-3676650</wp:posOffset>
            </wp:positionV>
            <wp:extent cx="707199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-3342640</wp:posOffset>
            </wp:positionV>
            <wp:extent cx="707199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-3102610</wp:posOffset>
            </wp:positionV>
            <wp:extent cx="707199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1995" cy="3771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-2605405</wp:posOffset>
            </wp:positionV>
            <wp:extent cx="707199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282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-2270760</wp:posOffset>
            </wp:positionV>
            <wp:extent cx="707199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-1773555</wp:posOffset>
            </wp:positionV>
            <wp:extent cx="707199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-1190625</wp:posOffset>
            </wp:positionV>
            <wp:extent cx="707199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-693420</wp:posOffset>
            </wp:positionV>
            <wp:extent cx="707199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-281940</wp:posOffset>
            </wp:positionV>
            <wp:extent cx="707199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64"/>
        </w:trPr>
        <w:tc>
          <w:tcPr>
            <w:tcW w:w="1400" w:type="dxa"/>
            <w:vAlign w:val="bottom"/>
            <w:tcBorders>
              <w:left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118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4"/>
                <w:szCs w:val="4"/>
                <w:color w:val="auto"/>
              </w:rPr>
            </w:pPr>
          </w:p>
        </w:tc>
        <w:tc>
          <w:tcPr>
            <w:tcW w:w="960" w:type="dxa"/>
            <w:vAlign w:val="bottom"/>
            <w:gridSpan w:val="2"/>
            <w:vMerge w:val="restart"/>
          </w:tcPr>
          <w:p>
            <w:pPr>
              <w:ind w:left="40"/>
              <w:spacing w:after="0" w:line="108"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4"/>
                <w:szCs w:val="4"/>
                <w:color w:val="auto"/>
              </w:rPr>
            </w:pPr>
          </w:p>
        </w:tc>
        <w:tc>
          <w:tcPr>
            <w:tcW w:w="880" w:type="dxa"/>
            <w:vAlign w:val="bottom"/>
            <w:vMerge w:val="restart"/>
          </w:tcPr>
          <w:p>
            <w:pPr>
              <w:jc w:val="center"/>
              <w:ind w:right="30"/>
              <w:spacing w:after="0" w:line="108"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34"/>
        </w:trPr>
        <w:tc>
          <w:tcPr>
            <w:tcW w:w="1280" w:type="dxa"/>
            <w:vAlign w:val="bottom"/>
            <w:tcBorders>
              <w:left w:val="single" w:sz="8" w:color="auto"/>
            </w:tcBorders>
            <w:gridSpan w:val="2"/>
            <w:vMerge w:val="restart"/>
          </w:tcPr>
          <w:p>
            <w:pPr>
              <w:ind w:left="4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tcBorders>
              <w:lef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96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880" w:type="dxa"/>
            <w:vAlign w:val="bottom"/>
          </w:tcPr>
          <w:p>
            <w:pPr>
              <w:jc w:val="center"/>
              <w:ind w:right="5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63,005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40,598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(152,564)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32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59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63,029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38,496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(116,772)</w:t>
            </w:r>
          </w:p>
        </w:tc>
        <w:tc>
          <w:tcPr>
            <w:tcW w:w="0" w:type="dxa"/>
            <w:vAlign w:val="bottom"/>
          </w:tcPr>
          <w:p>
            <w:pPr>
              <w:spacing w:after="0"/>
              <w:rPr>
                <w:sz w:val="1"/>
                <w:szCs w:val="1"/>
                <w:color w:val="auto"/>
              </w:rPr>
            </w:pPr>
          </w:p>
        </w:tc>
      </w:tr>
      <w:tr>
        <w:trPr>
          <w:trHeight w:val="32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59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63,055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(158,053)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(121,734)</w:t>
            </w:r>
          </w:p>
        </w:tc>
        <w:tc>
          <w:tcPr>
            <w:tcW w:w="0" w:type="dxa"/>
            <w:vAlign w:val="bottom"/>
          </w:tcPr>
          <w:p>
            <w:pPr>
              <w:spacing w:after="0"/>
              <w:rPr>
                <w:sz w:val="1"/>
                <w:szCs w:val="1"/>
                <w:color w:val="auto"/>
              </w:rPr>
            </w:pPr>
          </w:p>
        </w:tc>
      </w:tr>
      <w:tr>
        <w:trPr>
          <w:trHeight w:val="32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59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459"/>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459"/>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324"/>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7,816,643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138,898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138,906</w:t>
            </w:r>
          </w:p>
        </w:tc>
        <w:tc>
          <w:tcPr>
            <w:tcW w:w="0" w:type="dxa"/>
            <w:vAlign w:val="bottom"/>
          </w:tcPr>
          <w:p>
            <w:pPr>
              <w:spacing w:after="0"/>
              <w:rPr>
                <w:sz w:val="1"/>
                <w:szCs w:val="1"/>
                <w:color w:val="auto"/>
              </w:rPr>
            </w:pPr>
          </w:p>
        </w:tc>
      </w:tr>
      <w:tr>
        <w:trPr>
          <w:trHeight w:val="459"/>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4,140,000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50,514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50,518</w:t>
            </w:r>
          </w:p>
        </w:tc>
        <w:tc>
          <w:tcPr>
            <w:tcW w:w="0" w:type="dxa"/>
            <w:vAlign w:val="bottom"/>
          </w:tcPr>
          <w:p>
            <w:pPr>
              <w:spacing w:after="0"/>
              <w:rPr>
                <w:sz w:val="1"/>
                <w:szCs w:val="1"/>
                <w:color w:val="auto"/>
              </w:rPr>
            </w:pPr>
          </w:p>
        </w:tc>
      </w:tr>
      <w:tr>
        <w:trPr>
          <w:trHeight w:val="324"/>
        </w:trPr>
        <w:tc>
          <w:tcPr>
            <w:tcW w:w="1180" w:type="dxa"/>
            <w:vAlign w:val="bottom"/>
            <w:tcBorders>
              <w:left w:val="single" w:sz="8" w:color="auto"/>
            </w:tcBorders>
          </w:tcPr>
          <w:p>
            <w:pPr>
              <w:jc w:val="right"/>
              <w:spacing w:after="0"/>
              <w:rPr>
                <w:sz w:val="20"/>
                <w:szCs w:val="20"/>
                <w:color w:val="auto"/>
              </w:rPr>
            </w:pPr>
            <w:r>
              <w:rPr>
                <w:rFonts w:ascii="Arial" w:cs="Arial" w:eastAsia="Arial" w:hAnsi="Arial"/>
                <w:sz w:val="14"/>
                <w:szCs w:val="14"/>
                <w:color w:val="auto"/>
              </w:rPr>
              <w:t>539,794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324"/>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183"/>
        </w:trPr>
        <w:tc>
          <w:tcPr>
            <w:tcW w:w="118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12,559,492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219,831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(161,194)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58,650</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20" w:space="100"/>
            <w:col w:w="5100"/>
          </w:cols>
          <w:pgMar w:left="340" w:top="1102" w:right="439" w:bottom="1440" w:gutter="0" w:footer="0" w:header="0"/>
          <w:type w:val="continuous"/>
        </w:sectPr>
      </w:pP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40" w:top="1102" w:right="439" w:bottom="1440" w:gutter="0" w:footer="0" w:header="0"/>
          <w:type w:val="continuous"/>
        </w:sectPr>
      </w:pPr>
    </w:p>
    <w:bookmarkStart w:id="6" w:name="page7"/>
    <w:bookmarkEnd w:id="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Nine Months Ended September</w:t>
      </w:r>
    </w:p>
    <w:p>
      <w:pPr>
        <w:jc w:val="center"/>
        <w:ind w:left="8880"/>
        <w:spacing w:after="0"/>
        <w:rPr>
          <w:sz w:val="20"/>
          <w:szCs w:val="20"/>
          <w:color w:val="auto"/>
        </w:rPr>
      </w:pPr>
      <w:r>
        <w:rPr>
          <w:rFonts w:ascii="Arial" w:cs="Arial" w:eastAsia="Arial" w:hAnsi="Arial"/>
          <w:sz w:val="14"/>
          <w:szCs w:val="14"/>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9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8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(13,234)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(8,630)</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Revaluation of warrant liabilities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9"/>
        </w:trPr>
        <w:tc>
          <w:tcPr>
            <w:tcW w:w="890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assets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890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9"/>
        </w:trPr>
        <w:tc>
          <w:tcPr>
            <w:tcW w:w="890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and other liabilities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83"/>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(5,784)</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3"/>
        </w:trPr>
        <w:tc>
          <w:tcPr>
            <w:tcW w:w="8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Pan</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Paycheck Protection Program loan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Repayment of Paycheck Protection Program loan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issuance costs and offering costs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52,195</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issuance of Series G redeemable convertible preferred stock, net of issuance costs</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7,742</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Series H redeemable convertible preferred stock, net of issuance costs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10,682</w:t>
            </w:r>
          </w:p>
        </w:tc>
        <w:tc>
          <w:tcPr>
            <w:tcW w:w="0" w:type="dxa"/>
            <w:vAlign w:val="bottom"/>
          </w:tcPr>
          <w:p>
            <w:pPr>
              <w:spacing w:after="0"/>
              <w:rPr>
                <w:sz w:val="1"/>
                <w:szCs w:val="1"/>
                <w:color w:val="auto"/>
              </w:rPr>
            </w:pPr>
          </w:p>
        </w:tc>
      </w:tr>
      <w:tr>
        <w:trPr>
          <w:trHeight w:val="183"/>
        </w:trPr>
        <w:tc>
          <w:tcPr>
            <w:tcW w:w="89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70,525</w:t>
            </w:r>
          </w:p>
        </w:tc>
        <w:tc>
          <w:tcPr>
            <w:tcW w:w="0" w:type="dxa"/>
            <w:vAlign w:val="bottom"/>
          </w:tcPr>
          <w:p>
            <w:pPr>
              <w:spacing w:after="0"/>
              <w:rPr>
                <w:sz w:val="1"/>
                <w:szCs w:val="1"/>
                <w:color w:val="auto"/>
              </w:rPr>
            </w:pP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64,664</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72,184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208"/>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61,534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77,928</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expense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to redemption value of redeemable convertible preferred stock</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Conversion of redeemable convertible preferred stock</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138,906</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exercise of common and preferred stock warrants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Issuance costs included in accounts payable and accrued liabilities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redeemable convertible preferred stock warrant liabilities as equity</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Deemed dividend recognized for beneficial conversion features of Series H redeemable convertible preferred stock</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Deemed dividend from conversion of Series G to Series H redeemable convertible preferred stock</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190"/>
        </w:trPr>
        <w:tc>
          <w:tcPr>
            <w:tcW w:w="8900" w:type="dxa"/>
            <w:vAlign w:val="bottom"/>
          </w:tcPr>
          <w:p>
            <w:pPr>
              <w:ind w:left="20"/>
              <w:spacing w:after="0"/>
              <w:rPr>
                <w:sz w:val="20"/>
                <w:szCs w:val="20"/>
                <w:color w:val="auto"/>
              </w:rPr>
            </w:pPr>
            <w:r>
              <w:rPr>
                <w:rFonts w:ascii="Arial" w:cs="Arial" w:eastAsia="Arial" w:hAnsi="Arial"/>
                <w:sz w:val="14"/>
                <w:szCs w:val="14"/>
                <w:color w:val="auto"/>
              </w:rPr>
              <w:t>Conversion of Series G to Series H redeemable convertible preferred stock</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September 30, 2020, the Company had cash and cash equivalents of $61.4 million and had an accumulated deficit of $177.8 million. Since inception, the Company has financed its operations primarily through private placements of preferred securities, the sale of common stock through its initial public offering (IPO) and debt financing arrangements.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interim condensed balance sheet as of September 30, 2020, the condensed statements of operations and the condensed statements of redeemable convertible preferred stock and stockholders' equity (deficit) for the three and nine months ended September 30, 2020 and 2019 and cash flows for the nine months ended September 30, 2020 and 2019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September 30, 2020 and its results of operations for the three and nine months ended September 30, 2020 and 2019, statements of redeemable convertible preferred stock and stockholders' equity (deficit) for the three and nine months ended September 30, 2020 and 2019 and cash flows for the nine months ended September 30, 2020 and 2019 in accordance with GAAP. The results for the nine months ended September 30, 2020 are not necessarily indicative of the results expected for the full fiscal year or any other interim period. The year-end condensed balance sheet data was derived from audited financial statements, but does not include all disclosures required by accounting principles generally accepted in the United States of</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8" w:name="page9"/>
    <w:bookmarkEnd w:id="8"/>
    <w:p>
      <w:pPr>
        <w:ind w:right="20"/>
        <w:spacing w:after="0" w:line="261" w:lineRule="auto"/>
        <w:rPr>
          <w:sz w:val="20"/>
          <w:szCs w:val="20"/>
          <w:color w:val="auto"/>
        </w:rPr>
      </w:pPr>
      <w:r>
        <w:rPr>
          <w:rFonts w:ascii="Arial" w:cs="Arial" w:eastAsia="Arial" w:hAnsi="Arial"/>
          <w:sz w:val="18"/>
          <w:szCs w:val="18"/>
          <w:color w:val="auto"/>
        </w:rPr>
        <w:t>America. These unaudited condensed financial statements should be read in conjunction with the Company’s audited financial statements for the year ended December 31, 2019, included in its Annual Report on Form 10-K filed with the SEC on March 25, 2020.</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net deferred tax assets (and related valuation allowance), and for periods prior to the IPO, the fair value of the Company's common stock and redeemable convertible preferred stock.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payers and customers are those which represent more than 10% of the Company's total revenue or accounts receivable balance at each respective balance sheet date. For each significant payer and customer, revenue as a percentage of total revenue and accounts receivable as a percentage of total accounts receivable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15"/>
        </w:trPr>
        <w:tc>
          <w:tcPr>
            <w:tcW w:w="5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80" w:type="dxa"/>
            <w:vAlign w:val="bottom"/>
            <w:gridSpan w:val="3"/>
          </w:tcPr>
          <w:p>
            <w:pPr>
              <w:jc w:val="center"/>
              <w:ind w:right="397"/>
              <w:spacing w:after="0" w:line="115" w:lineRule="exact"/>
              <w:rPr>
                <w:sz w:val="20"/>
                <w:szCs w:val="20"/>
                <w:color w:val="auto"/>
              </w:rPr>
            </w:pPr>
            <w:r>
              <w:rPr>
                <w:rFonts w:ascii="Arial" w:cs="Arial" w:eastAsia="Arial" w:hAnsi="Arial"/>
                <w:sz w:val="13"/>
                <w:szCs w:val="13"/>
                <w:b w:val="1"/>
                <w:bCs w:val="1"/>
                <w:color w:val="auto"/>
                <w:w w:val="96"/>
              </w:rPr>
              <w:t>Three Months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gridSpan w:val="5"/>
          </w:tcPr>
          <w:p>
            <w:pPr>
              <w:jc w:val="right"/>
              <w:ind w:right="737"/>
              <w:spacing w:after="0" w:line="115" w:lineRule="exact"/>
              <w:rPr>
                <w:sz w:val="20"/>
                <w:szCs w:val="20"/>
                <w:color w:val="auto"/>
              </w:rPr>
            </w:pPr>
            <w:r>
              <w:rPr>
                <w:rFonts w:ascii="Arial" w:cs="Arial" w:eastAsia="Arial" w:hAnsi="Arial"/>
                <w:sz w:val="13"/>
                <w:szCs w:val="13"/>
                <w:b w:val="1"/>
                <w:bCs w:val="1"/>
                <w:color w:val="auto"/>
              </w:rPr>
              <w:t>Nine Months Ended</w:t>
            </w:r>
          </w:p>
        </w:tc>
      </w:tr>
      <w:tr>
        <w:trPr>
          <w:trHeight w:val="172"/>
        </w:trPr>
        <w:tc>
          <w:tcPr>
            <w:tcW w:w="5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377"/>
              <w:spacing w:after="0"/>
              <w:rPr>
                <w:sz w:val="20"/>
                <w:szCs w:val="20"/>
                <w:color w:val="auto"/>
              </w:rPr>
            </w:pPr>
            <w:r>
              <w:rPr>
                <w:rFonts w:ascii="Arial" w:cs="Arial" w:eastAsia="Arial" w:hAnsi="Arial"/>
                <w:sz w:val="13"/>
                <w:szCs w:val="13"/>
                <w:b w:val="1"/>
                <w:bCs w:val="1"/>
                <w:color w:val="auto"/>
                <w:w w:val="96"/>
              </w:rPr>
              <w:t>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897"/>
              <w:spacing w:after="0"/>
              <w:rPr>
                <w:sz w:val="20"/>
                <w:szCs w:val="20"/>
                <w:color w:val="auto"/>
              </w:rPr>
            </w:pPr>
            <w:r>
              <w:rPr>
                <w:rFonts w:ascii="Arial" w:cs="Arial" w:eastAsia="Arial" w:hAnsi="Arial"/>
                <w:sz w:val="13"/>
                <w:szCs w:val="13"/>
                <w:b w:val="1"/>
                <w:bCs w:val="1"/>
                <w:color w:val="auto"/>
              </w:rPr>
              <w:t>September 30,</w:t>
            </w:r>
          </w:p>
        </w:tc>
      </w:tr>
      <w:tr>
        <w:trPr>
          <w:trHeight w:val="169"/>
        </w:trPr>
        <w:tc>
          <w:tcPr>
            <w:tcW w:w="5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2019</w:t>
            </w:r>
          </w:p>
        </w:tc>
      </w:tr>
      <w:tr>
        <w:trPr>
          <w:trHeight w:val="22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Medicare Advantage</w:t>
            </w: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560"/>
        </w:trPr>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997"/>
              <w:spacing w:after="0"/>
              <w:rPr>
                <w:sz w:val="20"/>
                <w:szCs w:val="20"/>
                <w:color w:val="auto"/>
              </w:rPr>
            </w:pPr>
            <w:r>
              <w:rPr>
                <w:rFonts w:ascii="Arial" w:cs="Arial" w:eastAsia="Arial" w:hAnsi="Arial"/>
                <w:sz w:val="13"/>
                <w:szCs w:val="13"/>
                <w:b w:val="1"/>
                <w:bCs w:val="1"/>
                <w:color w:val="auto"/>
              </w:rPr>
              <w:t>Accounts Receivable</w:t>
            </w:r>
          </w:p>
        </w:tc>
      </w:tr>
      <w:tr>
        <w:trPr>
          <w:trHeight w:val="412"/>
        </w:trPr>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September 30, 2020</w:t>
            </w:r>
          </w:p>
        </w:tc>
        <w:tc>
          <w:tcPr>
            <w:tcW w:w="14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99"/>
              </w:rPr>
              <w:t>December 31, 2019</w:t>
            </w:r>
          </w:p>
        </w:tc>
      </w:tr>
      <w:tr>
        <w:trPr>
          <w:trHeight w:val="229"/>
        </w:trPr>
        <w:tc>
          <w:tcPr>
            <w:tcW w:w="6060" w:type="dxa"/>
            <w:vAlign w:val="bottom"/>
            <w:tcBorders>
              <w:top w:val="single" w:sz="8" w:color="CCEEFF"/>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Anthem Blue Cross Blue Shield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United Healthcare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25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3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For the three months ended September 30, 2020 and 2019, approximately 68%, and 83%,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nine months ended September 30, 2020 and 2019, approximately 71% and 83%,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 w:name="page10"/>
    <w:bookmarkEnd w:id="9"/>
    <w:p>
      <w:pPr>
        <w:ind w:right="20"/>
        <w:spacing w:after="0" w:line="254"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September 30, 2020 and 2019, approximately 98% and 97%, respectively, of the Company's diagnostic testing supplies were purchased from two suppliers. For the nine months ended September 30, 2020 and 2019, approximately 97% and 96%, respectively, of the Company's diagnostic testing supplies were purchased from two suppliers. An interruption in the supply of these materials would impact the Company's ability to perform testing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payer and customer category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3080" w:type="dxa"/>
            <w:vAlign w:val="bottom"/>
            <w:gridSpan w:val="6"/>
          </w:tcPr>
          <w:p>
            <w:pPr>
              <w:ind w:left="42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89"/>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16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2019</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6,188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15,949</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17,716</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7,964</w:t>
            </w: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Client</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3,200</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Other(1)</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r>
      <w:tr>
        <w:trPr>
          <w:trHeight w:val="189"/>
        </w:trPr>
        <w:tc>
          <w:tcPr>
            <w:tcW w:w="51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r>
      <w:tr>
        <w:trPr>
          <w:trHeight w:val="20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10,775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10,439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4"/>
          <w:szCs w:val="14"/>
          <w:color w:val="auto"/>
        </w:rPr>
        <w:t>(1)</w:t>
        <w:tab/>
        <w:t>Includes patient self-pay that is immaterial</w:t>
      </w:r>
      <w:r>
        <w:rPr>
          <w:rFonts w:ascii="Arial" w:cs="Arial" w:eastAsia="Arial" w:hAnsi="Arial"/>
          <w:sz w:val="17"/>
          <w:szCs w:val="17"/>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is recorded upon settlement. The transaction price is estimated using an expected value method on a portfolio basis. The Company's portfolios are grouped per payer (i.e. each individual third-party insurance, Medicare, client payers, patient self-pay, etc.) and per test basis.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December 2018, the Company entered into a co-promotion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(the Janssen Agreement). The Company is responsible for the costs associated with its salesforce over the course of such co-promotion. Janssen is responsible for all other aspects of the commercialization of SIMPONI</w:t>
      </w:r>
      <w:r>
        <w:rPr>
          <w:rFonts w:ascii="Arial" w:cs="Arial" w:eastAsia="Arial" w:hAnsi="Arial"/>
          <w:sz w:val="10"/>
          <w:szCs w:val="10"/>
          <w:color w:val="auto"/>
        </w:rPr>
        <w:t>®</w:t>
      </w:r>
      <w:r>
        <w:rPr>
          <w:rFonts w:ascii="Arial" w:cs="Arial" w:eastAsia="Arial" w:hAnsi="Arial"/>
          <w:sz w:val="18"/>
          <w:szCs w:val="18"/>
          <w:color w:val="auto"/>
        </w:rPr>
        <w:t xml:space="preserve"> under the Janssen agreement. In exchange for the Company's sales and co-promotional services, the Company is entitled to a quarterly tiered promotion fee based on the incremental increase in total prescribed units of SIMPONI</w:t>
      </w:r>
      <w:r>
        <w:rPr>
          <w:rFonts w:ascii="Arial" w:cs="Arial" w:eastAsia="Arial" w:hAnsi="Arial"/>
          <w:sz w:val="10"/>
          <w:szCs w:val="10"/>
          <w:color w:val="auto"/>
        </w:rPr>
        <w:t>®</w:t>
      </w:r>
      <w:r>
        <w:rPr>
          <w:rFonts w:ascii="Arial" w:cs="Arial" w:eastAsia="Arial" w:hAnsi="Arial"/>
          <w:sz w:val="18"/>
          <w:szCs w:val="18"/>
          <w:color w:val="auto"/>
        </w:rPr>
        <w:t xml:space="preserve"> for that quarter over a predetermined baseline. For all periods presented, the tiered promotion fee ranged from $750 to $ 1,250 per prescription over a predetermined baseline. Due in part to COVID-19, in June 2020, the Janssen Agreement was amended (Amended Janssen Agreement). In accordance with the Amended Janssen Agreement, the predetermined baseline for prescribed units for each remaining quarter in 2020 was adjusted and is subject to further adjustment, and for each of the third and fourth quarters of 2020, the Company will receive a minimum promotion fee of $0.3 million and the fee will be capped at 5% above the adjusted predetermined baseline. The predetermined baseline for 2021 will be agreed upon by the Company and Janssen no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ind w:right="280"/>
        <w:spacing w:after="0" w:line="256" w:lineRule="auto"/>
        <w:rPr>
          <w:sz w:val="20"/>
          <w:szCs w:val="20"/>
          <w:color w:val="auto"/>
        </w:rPr>
      </w:pPr>
      <w:r>
        <w:rPr>
          <w:rFonts w:ascii="Arial" w:cs="Arial" w:eastAsia="Arial" w:hAnsi="Arial"/>
          <w:sz w:val="18"/>
          <w:szCs w:val="18"/>
          <w:color w:val="auto"/>
        </w:rPr>
        <w:t>later than November 30, 2020. In addition, during the term of the Janssen agreement, the Company is restricted from promoting any other biologic or Janus kinase inhibitor, or JAK inhibitor, used for treatment of indications covered by the agreement without first obtaining Janssen's written consent.</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Amended Janssen Agreement expires on December 31, 2021, unless extended by the Company for an additional 12 months upon 180 days written notice prior to the end of the current term. If the Company elects to extend the term, the predetermined baseline for 2022 will be subject to future agreement by the Company and Janssen. Janssen may terminate the Amended Janssen Agreement at any time for any reason upon 30 days' notice to the Company, and the Company may terminate the Amended Janssen Agreement for any reason at the end of any calendar quarter upon 30 days' notice to Janssen. Either party may terminate the Amended Janssen Agreement in the event of the other party's default of any of its material obligations under the agreement if such default remains uncured for a specified period of time following receipt of written notice of such default.</w:t>
      </w:r>
    </w:p>
    <w:p>
      <w:pPr>
        <w:spacing w:after="0" w:line="15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10"/>
          <w:szCs w:val="10"/>
          <w:color w:val="auto"/>
        </w:rPr>
        <w:t>®</w:t>
      </w:r>
      <w:r>
        <w:rPr>
          <w:rFonts w:ascii="Arial" w:cs="Arial" w:eastAsia="Arial" w:hAnsi="Arial"/>
          <w:sz w:val="18"/>
          <w:szCs w:val="18"/>
          <w:color w:val="auto"/>
        </w:rPr>
        <w:t xml:space="preserve"> is a series of single performance obligations since Janssen simultaneously receives and consumes benefits 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The Company recognized co-promotional revenue of approximately $1.3 million and $0.4 million during the three months ended September 30, 2020 and 2019, respectively. The Company recognized co-promotional revenue of approximately $3.4 million and $0.8 million during the nine months ended September 30, 2020 and 2019,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$0.3 million and $0.4 million for the three months ended September 30, 2020 and 2019, respectively, and $0.9 million and $1.1 million for the nine months ended September 30, 2020 and 2019, respectively, and are included in selling, general and administrative expenses in the accompanying condensed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$0.4 million for each of the three months ended September 30, 2020 and 2019, and $1.1 million for each of the nine months ended September 30,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ind w:right="480"/>
        <w:spacing w:after="0" w:line="261" w:lineRule="auto"/>
        <w:rPr>
          <w:sz w:val="20"/>
          <w:szCs w:val="20"/>
          <w:color w:val="auto"/>
        </w:rPr>
      </w:pPr>
      <w:r>
        <w:rPr>
          <w:rFonts w:ascii="Arial" w:cs="Arial" w:eastAsia="Arial" w:hAnsi="Arial"/>
          <w:sz w:val="18"/>
          <w:szCs w:val="18"/>
          <w:color w:val="auto"/>
        </w:rPr>
        <w:t>based on the U.S. Treasury yield in effect at the time of grant. The dividend yield was zero, as the Company has never declared or paid dividends and has no plans to do so in the foreseeable future.</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Upon the effective date of the IPO, the Company began using the closing price of its common stock as the fair value of its common stock on the corresponding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and options outstanding under the Company's stock option plans. For the three and nine months ended September 30, 2020 and 2019, there is no difference in the number of shares used to calculate basic and diluted shares outstanding as the inclusion of the potentially dilutive securities would be antidilutive.</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5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4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320" w:type="dxa"/>
            <w:vAlign w:val="bottom"/>
            <w:tcBorders>
              <w:bottom w:val="single" w:sz="8" w:color="CCEEFF"/>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426,827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461,273</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461,273</w:t>
            </w:r>
          </w:p>
        </w:tc>
      </w:tr>
      <w:tr>
        <w:trPr>
          <w:trHeight w:val="18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1,975,250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1,475,006</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1,975,250</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1,475,006</w:t>
            </w:r>
          </w:p>
        </w:tc>
      </w:tr>
      <w:tr>
        <w:trPr>
          <w:trHeight w:val="20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2,402,077</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1,936,279</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2,402,077</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1,936,279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Grant Income</w:t>
      </w:r>
    </w:p>
    <w:p>
      <w:pPr>
        <w:spacing w:after="0" w:line="2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Government assistance grants which are unconditional when received and intended to compensate for expenses incurred or replace lost revenue are recognized when those expenses are incurred or during the period that lost revenue is experienced, and are included in other income,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3" w:name="page14"/>
    <w:bookmarkEnd w:id="13"/>
    <w:p>
      <w:pPr>
        <w:ind w:right="40"/>
        <w:spacing w:after="0" w:line="253"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In June 2020, the FASB issued ASU 2020-05, which delays the adoption for ASU 2016-02 for non-public entities to fiscal years beginning after December 15, 2021, and interim periods beginning after December 15, 2022. As an emerging growth company as defined in the JOBS Act, the Company has elected to delay adoption of this ASU until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narrative description of measurement uncertainty should be applied prospectively for only the most recent interim or annual period presented in the initial fiscal year of adoption. All other amendments should be applied retrospectively to all period presented upon their effective date. This update is effective for annual periods beginning after December 15, 2019, and interim periods within those periods, and early adoption is permitted. The Company adopted this guidance on January 1, 2020, and the adoption did not have a material impact on its condensed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2020</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2019</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1,427</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123</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1,768</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and other current assets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133</w:t>
            </w: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3,451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2020</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3"/>
                <w:szCs w:val="13"/>
                <w:b w:val="1"/>
                <w:bCs w:val="1"/>
                <w:color w:val="auto"/>
              </w:rPr>
              <w:t>December 31, 2019</w:t>
            </w:r>
          </w:p>
        </w:tc>
      </w:tr>
      <w:tr>
        <w:trPr>
          <w:trHeight w:val="18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2,228</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4,545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3,775</w:t>
            </w:r>
          </w:p>
        </w:tc>
      </w:tr>
      <w:tr>
        <w:trPr>
          <w:trHeight w:val="189"/>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Depreciation and amortization expense for the three months ended September 30, 2020 and 2019 was approximately $ 0.1 million, and for the nine months ended September 30, 2020 and 2019, was approximately $ 0.4 million and $ 0.5 million, respectively. At September 30, 2020 and December 31, 2019, the gross book value of assets under capital lease was $1.2 million and $0.8 million, respectively, and is classified in "Laboratory equipment" in the table above.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2020</w:t>
            </w:r>
          </w:p>
        </w:tc>
        <w:tc>
          <w:tcPr>
            <w:tcW w:w="2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2019</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2,362</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145</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727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study activity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238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588</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4,419</w:t>
            </w:r>
          </w:p>
        </w:tc>
      </w:tr>
      <w:tr>
        <w:trPr>
          <w:trHeight w:val="24"/>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September 30, 2020, no additional amounts remain available to borrow under the 2017 Term Loan.</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2019, the Company executed the First Amendment to the Loan and Security Agreement (the 2017 Loan Amendment). The interest rate on all borrowings under the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$1.0 million. This obligation is being accreted into interest expense over the term of Loan Amendment using the effective interest method. For the three months ended September 30, 2020 and 2019, the Company issued PIK Loans totaling $0.1 million and $0.2 million, respectively. For the nine months ended September 30, 2020 and 2019, the Company issued PIK Loans totaling $0.4 million and $0.5 million,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ind w:right="40"/>
        <w:spacing w:after="0" w:line="261" w:lineRule="auto"/>
        <w:rPr>
          <w:sz w:val="20"/>
          <w:szCs w:val="20"/>
          <w:color w:val="auto"/>
        </w:rPr>
      </w:pPr>
      <w:r>
        <w:rPr>
          <w:rFonts w:ascii="Arial" w:cs="Arial" w:eastAsia="Arial" w:hAnsi="Arial"/>
          <w:sz w:val="18"/>
          <w:szCs w:val="18"/>
          <w:color w:val="auto"/>
        </w:rPr>
        <w:t>If the Loan Amendment is prepaid before November 19, 2020, the Loan Amendment requires a prepayment premium of 3% of the aggregate outstanding principal. The prepayment premium decreases by 1% during each subsequent twelve-month period after November 19, 2020.</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on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and commencing with the quarter ending December 31, 2019.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Company's revenues for the twelve-month period ended September 30, 2020 were lower than the specified targets, and as a result, subsequent to September 30, 2020, the Company and Innovatus agreed on a new management plan and target to bring the Company back into compliance with the Loan Amendment. The Loan Amendment requires that the Company maintain certain levels of minimum liquidity. The Company is required to maintain an unrestricted cash balance of $2.0 million.</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the Company was in compliance with all covenants of the Loan Amendment, other than as described above.</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condensed financial statements. Accordingly, the Company has reflected the amounts of the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September 30, 2020, future minimum aggregate payments, including interest, for outstanding borrowings under the Loan Amendment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September 30, 2020</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(remaining)</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1,755</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15,619</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14,280</w:t>
            </w:r>
          </w:p>
        </w:tc>
      </w:tr>
      <w:tr>
        <w:trPr>
          <w:trHeight w:val="183"/>
        </w:trPr>
        <w:tc>
          <w:tcPr>
            <w:tcW w:w="9440" w:type="dxa"/>
            <w:vAlign w:val="bottom"/>
          </w:tcPr>
          <w:p>
            <w:pPr>
              <w:ind w:left="34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35,087</w:t>
            </w:r>
          </w:p>
        </w:tc>
      </w:tr>
      <w:tr>
        <w:trPr>
          <w:trHeight w:val="189"/>
        </w:trPr>
        <w:tc>
          <w:tcPr>
            <w:tcW w:w="9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89"/>
        </w:trPr>
        <w:tc>
          <w:tcPr>
            <w:tcW w:w="9440" w:type="dxa"/>
            <w:vAlign w:val="bottom"/>
          </w:tcPr>
          <w:p>
            <w:pPr>
              <w:ind w:left="660"/>
              <w:spacing w:after="0"/>
              <w:rPr>
                <w:sz w:val="20"/>
                <w:szCs w:val="20"/>
                <w:color w:val="auto"/>
              </w:rPr>
            </w:pPr>
            <w:r>
              <w:rPr>
                <w:rFonts w:ascii="Arial" w:cs="Arial" w:eastAsia="Arial" w:hAnsi="Arial"/>
                <w:sz w:val="14"/>
                <w:szCs w:val="14"/>
                <w:color w:val="auto"/>
              </w:rPr>
              <w:t>Unamortized debt discount and issuance costs</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9"/>
        </w:trPr>
        <w:tc>
          <w:tcPr>
            <w:tcW w:w="94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(8,314)</w:t>
            </w:r>
          </w:p>
        </w:tc>
      </w:tr>
      <w:tr>
        <w:trPr>
          <w:trHeight w:val="183"/>
        </w:trPr>
        <w:tc>
          <w:tcPr>
            <w:tcW w:w="9440" w:type="dxa"/>
            <w:vAlign w:val="bottom"/>
          </w:tcPr>
          <w:p>
            <w:pPr>
              <w:ind w:left="340"/>
              <w:spacing w:after="0"/>
              <w:rPr>
                <w:sz w:val="20"/>
                <w:szCs w:val="20"/>
                <w:color w:val="auto"/>
              </w:rPr>
            </w:pPr>
            <w:r>
              <w:rPr>
                <w:rFonts w:ascii="Arial" w:cs="Arial" w:eastAsia="Arial" w:hAnsi="Arial"/>
                <w:sz w:val="14"/>
                <w:szCs w:val="14"/>
                <w:color w:val="auto"/>
              </w:rPr>
              <w:t>Total borrowings, net of discounts and debt issuance costs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26,453</w:t>
            </w:r>
          </w:p>
        </w:tc>
      </w:tr>
      <w:tr>
        <w:trPr>
          <w:trHeight w:val="20"/>
        </w:trPr>
        <w:tc>
          <w:tcPr>
            <w:tcW w:w="9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30, 2020, the Company leases office and laboratory space in Vista, California, under leases that expire in January 2026, with an option to extend a portion of the lease for an additional 5-year period. In addition, the Company also leases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2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the three months ended September 30, 2020 and 2019, rent expense was $0.3 million and $0.1 million, respectively. For the nine months ended September 30, 2020 and 2019, rent expense was $0.5 million and $0.3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All milestone payments other than one have been paid as of December 31, 2017. The remaining milestone obligation is for an additional $2.0 million payment due to Prometheus Laboratories, Inc. (Prometheus) for which the fair value was determined to be zero at September 30, 2020 and December 31, 2019.</w:t>
      </w:r>
    </w:p>
    <w:p>
      <w:pPr>
        <w:spacing w:after="0" w:line="2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ranging from 2.5% to 7.5%. Future royalties payable under these arrangements are limited to the lesser of an aggregate of $4.2 million (including an upfront payment of $100,000) or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2.0% to 20.0%. Royalties are accrued when earned and recorded in costs of revenue in the accompanying condensed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2020, the Company entered into an amended supply agreement with one supplier for reagents which includes minimum annual purchase commitments of $ 2.8 million, $4.1 million and $6.0 million for the years ended December 31, 2020, 2021 and 2022, respectively, with a 15% annual increase thereafter through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of which of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b w:val="1"/>
                <w:bCs w:val="1"/>
                <w:color w:val="auto"/>
              </w:rPr>
              <w:t>September 30, 2020</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2"/>
        </w:trPr>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160"/>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Level 3</w:t>
            </w:r>
          </w:p>
        </w:tc>
      </w:tr>
      <w:tr>
        <w:trPr>
          <w:trHeight w:val="17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0"/>
        </w:trPr>
        <w:tc>
          <w:tcPr>
            <w:tcW w:w="6100" w:type="dxa"/>
            <w:vAlign w:val="bottom"/>
          </w:tcPr>
          <w:p>
            <w:pPr>
              <w:ind w:left="340"/>
              <w:spacing w:after="0"/>
              <w:rPr>
                <w:sz w:val="20"/>
                <w:szCs w:val="20"/>
                <w:color w:val="auto"/>
              </w:rPr>
            </w:pPr>
            <w:r>
              <w:rPr>
                <w:rFonts w:ascii="Arial" w:cs="Arial" w:eastAsia="Arial" w:hAnsi="Arial"/>
                <w:sz w:val="14"/>
                <w:szCs w:val="14"/>
                <w:color w:val="auto"/>
              </w:rPr>
              <w:t>Money market funds</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4,009</w:t>
            </w:r>
          </w:p>
        </w:tc>
        <w:tc>
          <w:tcPr>
            <w:tcW w:w="40" w:type="dxa"/>
            <w:vAlign w:val="bottom"/>
          </w:tcPr>
          <w:p>
            <w:pPr>
              <w:spacing w:after="0"/>
              <w:rPr>
                <w:sz w:val="16"/>
                <w:szCs w:val="16"/>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4,009</w:t>
            </w:r>
          </w:p>
        </w:tc>
        <w:tc>
          <w:tcPr>
            <w:tcW w:w="20" w:type="dxa"/>
            <w:vAlign w:val="bottom"/>
          </w:tcPr>
          <w:p>
            <w:pPr>
              <w:spacing w:after="0"/>
              <w:rPr>
                <w:sz w:val="16"/>
                <w:szCs w:val="16"/>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573"/>
        </w:trPr>
        <w:tc>
          <w:tcPr>
            <w:tcW w:w="6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420"/>
              <w:spacing w:after="0"/>
              <w:rPr>
                <w:sz w:val="20"/>
                <w:szCs w:val="20"/>
                <w:color w:val="auto"/>
              </w:rPr>
            </w:pPr>
            <w:r>
              <w:rPr>
                <w:rFonts w:ascii="Arial" w:cs="Arial" w:eastAsia="Arial" w:hAnsi="Arial"/>
                <w:sz w:val="13"/>
                <w:szCs w:val="13"/>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2"/>
        </w:trPr>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140"/>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r>
      <w:tr>
        <w:trPr>
          <w:trHeight w:val="17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0"/>
        </w:trPr>
        <w:tc>
          <w:tcPr>
            <w:tcW w:w="6100" w:type="dxa"/>
            <w:vAlign w:val="bottom"/>
          </w:tcPr>
          <w:p>
            <w:pPr>
              <w:ind w:left="340"/>
              <w:spacing w:after="0"/>
              <w:rPr>
                <w:sz w:val="20"/>
                <w:szCs w:val="20"/>
                <w:color w:val="auto"/>
              </w:rPr>
            </w:pPr>
            <w:r>
              <w:rPr>
                <w:rFonts w:ascii="Arial" w:cs="Arial" w:eastAsia="Arial" w:hAnsi="Arial"/>
                <w:sz w:val="14"/>
                <w:szCs w:val="14"/>
                <w:color w:val="auto"/>
              </w:rPr>
              <w:t>Money market funds</w:t>
            </w:r>
          </w:p>
        </w:tc>
        <w:tc>
          <w:tcPr>
            <w:tcW w:w="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70,760</w:t>
            </w:r>
          </w:p>
        </w:tc>
        <w:tc>
          <w:tcPr>
            <w:tcW w:w="40" w:type="dxa"/>
            <w:vAlign w:val="bottom"/>
          </w:tcPr>
          <w:p>
            <w:pPr>
              <w:spacing w:after="0"/>
              <w:rPr>
                <w:sz w:val="16"/>
                <w:szCs w:val="16"/>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ind w:left="440"/>
              <w:spacing w:after="0"/>
              <w:rPr>
                <w:sz w:val="20"/>
                <w:szCs w:val="20"/>
                <w:color w:val="auto"/>
              </w:rPr>
            </w:pPr>
            <w:r>
              <w:rPr>
                <w:rFonts w:ascii="Arial" w:cs="Arial" w:eastAsia="Arial" w:hAnsi="Arial"/>
                <w:sz w:val="14"/>
                <w:szCs w:val="14"/>
                <w:color w:val="auto"/>
              </w:rPr>
              <w:t>70,760</w:t>
            </w:r>
          </w:p>
        </w:tc>
        <w:tc>
          <w:tcPr>
            <w:tcW w:w="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3"/>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Redeemable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January 2019, the Company entered into an agreement with new and certain existing preferred stockholders to issue shares of Series G redeemable convertible preferred stock in multiple separate closings at a per share price of $0.078 in each closing. In conjunction with the issuance of the Series H redeemable convertible preferred stock, each share of issued and outstanding Series G redeemable convertible preferred stock was converted into shares of Series H redeemable convertible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H Financing</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July 2019, the Company entered into an agreement with a new investor to issue shares of Series H redeemable convertible preferred stock at a per share price of $0.04712. The Company accounted for the difference between the effective conversion price of $0.04712 and the fair value of the underlying common stock at the commitment date as a beneficial conversion feature, which was immediately accreted as a deemed dividend. As a result, the Company recognized a beneficial conversion feature in the amount of $6.7 million in the third quarter of 2019, that was recorded as additional paid-in capital (in the absence of retained earnings) in the accompanying condensed statement of redeemable convertible preferred stock and stockholders’ equity (deficit). Additionally, the Company concluded that the conversion of shares of Series G into shares of Series H redeemable convertible preferred stock in connection with the issuance of Series H redeemable convertible preferred stock represented an extinguishment of the Series G shares. As a result, the Company recognized a deemed dividend for the extinguishment charge in the amount of $6.9 million in the third quarter of 2019, that was recorded as additional paid-in capital (in the absence of retained earnings) in the accompanying condensed statement of redeemable convertible preferred stock and stockholders' equity (deficit).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Upon completion of the Company's IPO in September 2019,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 As a result, no shares of redeemable convertible preferred stock remain outstanding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September 23, 2019, the Company closed its IPO of 4,140,000 shares of its common stock at a price to the public of $14.00 per share, including the exercise in full by the underwriters of their option to purchase 540,000 additional shares of the Company's common stock. Including the exercise of the option to purchase additional shares, the aggregate net proceeds to the Company from the offering was approximately $50.4 million, net of underwriting discounts, commissions and other estimated offering expenses, for aggregate expenses of approximately $7.5 million. In addition,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September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69,176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8,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8, 2024</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84"/>
        </w:trPr>
        <w:tc>
          <w:tcPr>
            <w:tcW w:w="32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1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nine months ended September 30, 2020, warrants to purchase common stock were exercised resulting in the issuance of 32,120 shares of the Company's common stock and cash proceeds of an immaterial amount.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A total of (i) 2,011,832 shares of common stock plus (ii) shares subject to awards granted under the 2013 Plan on or before the effective date of the 2019 Plan became available for issuance under the 2019 Plan and was initially reserved for issuance under the 2019 Plan. Under the 2019 Plan,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September 30, 2020, 1,140,029 shares remained available for future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Average</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2019</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1,375,542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23,654</w:t>
            </w:r>
          </w:p>
        </w:tc>
        <w:tc>
          <w:tcPr>
            <w:tcW w:w="0" w:type="dxa"/>
            <w:vAlign w:val="bottom"/>
          </w:tcPr>
          <w:p>
            <w:pPr>
              <w:spacing w:after="0"/>
              <w:rPr>
                <w:sz w:val="1"/>
                <w:szCs w:val="1"/>
                <w:color w:val="auto"/>
              </w:rPr>
            </w:pPr>
          </w:p>
        </w:tc>
      </w:tr>
      <w:tr>
        <w:trPr>
          <w:trHeight w:val="189"/>
        </w:trPr>
        <w:tc>
          <w:tcPr>
            <w:tcW w:w="5400" w:type="dxa"/>
            <w:vAlign w:val="bottom"/>
          </w:tcPr>
          <w:p>
            <w:pPr>
              <w:ind w:left="34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901,531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16.14</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34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(244,749)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Outstanding, September 30, 2020</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1,975,250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5,064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September 30, 2020</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1,975,250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September 30, 2020</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394,739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ind w:right="120"/>
        <w:spacing w:after="0" w:line="261"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2980" w:type="dxa"/>
            <w:vAlign w:val="bottom"/>
            <w:gridSpan w:val="4"/>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880" w:type="dxa"/>
            <w:vAlign w:val="bottom"/>
            <w:gridSpan w:val="3"/>
          </w:tcPr>
          <w:p>
            <w:pPr>
              <w:ind w:left="400"/>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38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top w:val="single" w:sz="8" w:color="auto"/>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CEEFF"/>
            </w:tcBorders>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r>
      <w:tr>
        <w:trPr>
          <w:trHeight w:val="18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47%-52%</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59%</w:t>
            </w:r>
          </w:p>
        </w:tc>
      </w:tr>
      <w:tr>
        <w:trPr>
          <w:trHeight w:val="189"/>
        </w:trPr>
        <w:tc>
          <w:tcPr>
            <w:tcW w:w="53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0.4%-1.7%</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2.0%-2.6%</w:t>
            </w: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53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5.75-6.08</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5.75-6.08</w:t>
            </w:r>
          </w:p>
        </w:tc>
      </w:tr>
    </w:tbl>
    <w:p>
      <w:pPr>
        <w:spacing w:after="0" w:line="200" w:lineRule="exact"/>
        <w:rPr>
          <w:sz w:val="20"/>
          <w:szCs w:val="20"/>
          <w:color w:val="auto"/>
        </w:rPr>
      </w:pPr>
    </w:p>
    <w:p>
      <w:pPr>
        <w:spacing w:after="0" w:line="36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in the condensed statement of operations is as follows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3"/>
                <w:szCs w:val="13"/>
                <w:b w:val="1"/>
                <w:bCs w:val="1"/>
                <w:color w:val="auto"/>
              </w:rPr>
              <w:t>Nine Months Ended September 30,</w:t>
            </w:r>
          </w:p>
        </w:tc>
      </w:tr>
      <w:tr>
        <w:trPr>
          <w:trHeight w:val="172"/>
        </w:trPr>
        <w:tc>
          <w:tcPr>
            <w:tcW w:w="54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2019</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5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1"/>
        </w:trPr>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the ESPP was immaterial for the three and nine months ended September 30, 2020.</w:t>
      </w:r>
    </w:p>
    <w:p>
      <w:pPr>
        <w:spacing w:after="0" w:line="22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September 30, 2020, total unrecognized compensation cost was $9.3 million, which is expected to be recognized over a remaining weighted-average vesting period of 3.0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Parties</w:t>
      </w:r>
    </w:p>
    <w:p>
      <w:pPr>
        <w:spacing w:after="0" w:line="24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closings of the Series G financing described in Note 7 were issued to existing holders of the Company's redeemable convertible preferred stock, including certain members of our Board of Directors.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COVID-19</w:t>
      </w:r>
    </w:p>
    <w:p>
      <w:pPr>
        <w:spacing w:after="0" w:line="24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the Company's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As a result of these limitations and reordering of priorities across the U.S. healthcare system, which have resulted in a reduction in patient flow, the Company's test volumes began to decrease in the second half of March 2020. During the third quarter of 2020, the Company's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volumes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volumes in the first quarter. For the three months ended September 30, 2020 and for the nine months ended September 30, 2020 as compared to the same period a year ago, the Company has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approximately 4% and 8%, respectively. However, the continued spread of COVID-19 may adversely affect testing volumes in future periods, the extent of which is highly uncertain. In addition, the Company believes there are several other important factors that have impacted, and that it expects will impact its operating performance and results of operations, including shutdowns of its facilities and operations as well as those of its suppliers and courier services, disruptions to the supply chain of material needed for its tests, its sales and commercialization activities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ind w:right="120"/>
        <w:spacing w:after="0" w:line="253" w:lineRule="auto"/>
        <w:rPr>
          <w:sz w:val="20"/>
          <w:szCs w:val="20"/>
          <w:color w:val="auto"/>
        </w:rPr>
      </w:pPr>
      <w:r>
        <w:rPr>
          <w:rFonts w:ascii="Arial" w:cs="Arial" w:eastAsia="Arial" w:hAnsi="Arial"/>
          <w:sz w:val="18"/>
          <w:szCs w:val="18"/>
          <w:color w:val="auto"/>
        </w:rPr>
        <w:t>and its ability to receive specimens and perform or deliver the results from its tests, delays in reimbursement and coverage decisions from Medicare and third-party payors and in interactions with regulatory authorities, as well its inability to achieve volume-based pricing discounts with its key suppliers and absorb fixed laboratory expenses. In addition, the Company has experienced delays in patient enrollment for ongoing and planned clinical studies involving its tests. The Company may also face increased competition for laboratory employees due to the increased demand in the industry for such personnel.</w:t>
      </w:r>
    </w:p>
    <w:p>
      <w:pPr>
        <w:spacing w:after="0" w:line="20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While the full impact COVID-19 will have on the Company's future business is unpredictable at this time, the Company expects it to have a material impact on its financial results for at least the next quarter and potentially beyond, depending upon the timing of any lifting or re-imposition of COVID-19 limitations on the U.S. healthcare system and general economic recovery. In response to the COVID-19 pandemic, the Company has curtailed non-essential employee travel and equipped most of its employees with the ability to work remotely with the exception of its clinical laboratory employees, and implemented measures to protect the health of its employees and to support the functionality of its clinical laboratory. In addition, in the second quarter of 2020 the Company's salesforce recommenced certain field-based interactions and scaled marketing spend, although access to healthcare providers remains limited and the use of virtual sales tools has increased. From March 2020 through September 30, 2020, as a result of the COVID-19 pandemic, the Company terminated temporary employees and 18 full-time employees, which included three employees at the vice president level. The termination of full-time employees resulted in the recognition of a restructuring charge for termination benefits of $0.3 million which has been paid as of September 30, 2020. The restructuring charges were included in selling, general and administrative expenses in the condensed statements of operations.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3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The CARES Act did not have a material impact on the Company's effective tax rate or income tax provision for the three months ended March 31, 2020.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released valuation allowance against its deferred tax assets in the amount of $0.1 million. The release of valuation allowance resulted in a discrete tax benefit of $0.1 million in the first quarter of 2020.</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2020, the Company received $0.7 million of funding under the CARES Act Provider Relief Fund, subject to the Company's agreement to comply with the Department of Health &amp; Human Services' standard terms and conditions. The CARES Act Provider Relief Fund is a federal fund allocated for general distributions to Medicare facilities and providers impacted by the COVID-19 pandemic and is intended to support COVID-related expenses or lost revenue attributable to COVID-19. The funding received is considered a government grant which is recognized when there is reasonable assurance that the grant will be received and that conditions attached to the grant have been met. During the three and nine months ended September 30, 2020, the Company recognized $0 and $0.7 million, respectively, due to lost revenue attributable to COVID-19, which is reflected in other income, net, on its condensed statements of operations.</w:t>
      </w:r>
    </w:p>
    <w:p>
      <w:pPr>
        <w:spacing w:after="0" w:line="2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April 16, 2020, the Company entered into a promissory note (the Note) with BOKF, NA dba Bank of Oklahoma (BofO), the lender, evidencing an unsecured loan pursuant to the U.S. Small Business Administration (SBA) Paycheck Protection Program (PPP) of the CARES Act of approximately $2.9 million (the PPP Loan). The Company applied for and received the PPP Loan pursuant to the then published PPP qualification and certification requirements. On April 23, 2020, the SBA, in consultation with the Department of Treasury, issued new guidance that created uncertainty regarding the qualification requirements for the PPP Loan (the "New Guidance"). In light of the New Guidance, on May 11, 2020, the Company paid off in full the principal and interest on the PPP Loan, resulting in the termination of the Note.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2019 included in our Annual Report on Form 10-K for the year ended December 31, 2019, filed on March 25,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our ability to implement an integrated testing and therapeutics strategy,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1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71% and 83% of our revenue for the nine months ended September 30, 2020 and 2019,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 In order to advance our integrated testing and therapeutics strategy, in December 2018 we entered into the co-promotion agreement, or the Janssen Agreement, with Janssen Biotech, Inc., or Janssen,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January 2019 and in support of these promotion efforts we have a salesforce of 50 representatives as of September 30, 2020 compared to 55 representatives as of September 30, 2019.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$3.4 million and $0.8 million in revenue for the nine months ended September 30, 2020 and 2019, respectively, with our quarterly tiered promotion fee based on the incremental increase in total prescribed units above a predetermined average baseline. In June 2020, due in part to COVID-19, we amended the Janssen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ind w:right="80"/>
        <w:spacing w:after="0" w:line="253" w:lineRule="auto"/>
        <w:rPr>
          <w:sz w:val="20"/>
          <w:szCs w:val="20"/>
          <w:color w:val="auto"/>
        </w:rPr>
      </w:pPr>
      <w:r>
        <w:rPr>
          <w:rFonts w:ascii="Arial" w:cs="Arial" w:eastAsia="Arial" w:hAnsi="Arial"/>
          <w:sz w:val="18"/>
          <w:szCs w:val="18"/>
          <w:color w:val="auto"/>
        </w:rPr>
        <w:t>Agreement, pursuant to which the predetermined average baseline for total prescribed units of SIMPONI® for each remaining quarter in 2020, starting with the quarter ending June 30, 2020, was adjusted from approximately 29,000 to approximately 26,000 prescribed units per quarter, and subject to adjustment under certain circumstances. For each of the third and fourth quarters of 2020, we will receive a minimum promotion fee of $0.3 million and the fee will be capped at 5% above the adjusted predetermined baseline. See "-Janssen Promotion Agreement" below for additional terms of the agreement.</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also have additional agreements with other leading pharmaceutical companies and clinical research organizations, including GlaxoSmithKline plc., or GSK, Covance Inc. and Parexel that leverage our testing products and the information generated from such tests. We plan to pursue additional strategic partnerships with a focus on the commercialization of therapeutics that are synergistic with our testing products.</w:t>
      </w:r>
    </w:p>
    <w:p>
      <w:pPr>
        <w:spacing w:after="0" w:line="19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8,000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quarter of 2020, we began the build out of approximately 2,000 additional square feet to our clinical laboratory which is expected to be completed in the fourth quarter of 2020.</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September 30, 2020 we had an accumulated deficit of $177.8 million. We incurred net losses of $13.2 million and $8.6 million for the nine months ended September 30, 2020 and 2019,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Through the date of our initial public offering, or IPO, in September 2019, our operations were financed primarily from sales of our common and redeemable convertible preferred stock and borrowings under various debt financings. In September 2019, we completed our IPO of 4,140,000 shares of our common stock at a price to the public of $ 14.00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$7.5 million. As of September 30, 2020, we had $61.4 million of cash and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4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 June 2020, we entered into an exclusive worldwide license agreement with the Ohio State Innovation Foundation for the commercial diagnostic development and marketing rights for a novel blood test using vibrational spectroscopy and metabolic analysis to differentiate patients with fibromyalgia from RA, osteo arthritis, chronic lower back pain and SLE. Fibromyalgia is the most common cause of chronic widespread musculoskeletal pain in the United States, and approximately 90% of fibromyalgia sufferers are female. In the United States, there may be as many as 12 million undiagnosed patients with fibromyalgia. We are planning to start a multi-center clinical trial to clinically validate the fibromyalgia test with enrollment beginning in the fourth quarter of 2020.</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3" w:name="page24"/>
    <w:bookmarkEnd w:id="23"/>
    <w:p>
      <w:pPr>
        <w:ind w:right="220"/>
        <w:spacing w:after="0" w:line="225" w:lineRule="auto"/>
        <w:rPr>
          <w:sz w:val="20"/>
          <w:szCs w:val="20"/>
          <w:color w:val="auto"/>
        </w:rPr>
      </w:pPr>
      <w:r>
        <w:rPr>
          <w:rFonts w:ascii="Arial" w:cs="Arial" w:eastAsia="Arial" w:hAnsi="Arial"/>
          <w:sz w:val="18"/>
          <w:szCs w:val="18"/>
          <w:color w:val="auto"/>
        </w:rPr>
        <w:t>In July 2020, we entered into an agreement with Humana Military, a managed care support provider for TRICARE East, to offer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available on an in-network basis to approximately six million Humana Military members.</w:t>
      </w:r>
    </w:p>
    <w:p>
      <w:pPr>
        <w:spacing w:after="0" w:line="20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September 2020, we entered into a preferred provider network agreement with Provider Network of America, or PNOA, to offer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available on an in-network basis to approximately over eight million PNOA members.</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September 2020, we launched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Vasculitis AAV test which utilizes a testing panel of individual analytes designed to provide physicians with rapid and reliable results in the assessment and monitoring of anti-neutrophil cytoplasmic antibody-associated vasculitis, or AAV. AAV is a group of autoimmune diseases characterized by vascular inflammation and damage. Early signs and symptoms vary greatly and are not always indicative of the severity of the disease. Rapid and accurate testing is essential to prevent death and long-term disability.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Publications</w:t>
      </w:r>
    </w:p>
    <w:p>
      <w:pPr>
        <w:spacing w:after="0" w:line="24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Systemic Lupus Erythematosus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$2.0 million or $1,991 per patient. In addition, the year one savings was $655,403 or $655 per eligible patient, with the use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aligns with early benefit to health plans looking for savings in the first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As a result of these limitations and reordering of priorities across the U.S. healthcare system, which have resulted in a reduction in patient flow, our test volumes began to decrease in the second half of March 2020. During the third quarter of 2020,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volumes have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volumes in the first quarter. For the three months ended September 30, 2020 and for the nine months ended September 30, 2020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4% and 8%, respectively. However, the continued spread of COVID-19 may adversely affect testing volumes in future periods, the extent of which is highly uncertain. 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our inability to achieve volume-based pricing discounts with our key suppliers and absorb fixed laboratory expenses. In addition, we have experienced delays in patient enrollment for ongoing and planned clinical studies involving our tests. We may also face increased competition for laboratory employees due to the increased demand in the industry for such personnel.</w:t>
      </w:r>
    </w:p>
    <w:p>
      <w:pPr>
        <w:spacing w:after="0" w:line="22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While the full impact COVID-19 will have on our future business is unpredictable at this time, we expect it to have a material impact on our financial results for at least the next quarter and potentially beyond, depending upon the timing of any lifting or re-imposition of COVID-19 limitations on the U.S. healthcare system and general economic recovery. In response to the COVID-19 pandemic, we have curtailed non-essential employee travel and equipped most of our employees with the ability to work remotely with the exception of our clinical laboratory employees, and implemented measures to protect the health of our employees and to support the functionality of our clinical laboratory. In addition, in the second quarter of 2020, our salesforce recommenced certain field-based interactions and scaled marketing spend, although access to healthcare providers remains limited and the use of virtual sales tools has increased. From March 2020 through September 30, 2020, as a result of the COVID-19 pandemic, we terminated our temporary employees and 18 full-time employees, which included three employees at the vice president level. The full extent to which the COVID-19 pandemic will directly or indirectly continue to impact our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4" w:right="379" w:bottom="1440" w:gutter="0" w:footer="0" w:header="0"/>
        </w:sectPr>
      </w:pPr>
    </w:p>
    <w:bookmarkStart w:id="24" w:name="page25"/>
    <w:bookmarkEnd w:id="24"/>
    <w:p>
      <w:pPr>
        <w:ind w:right="140"/>
        <w:spacing w:after="0" w:line="256" w:lineRule="auto"/>
        <w:rPr>
          <w:sz w:val="20"/>
          <w:szCs w:val="20"/>
          <w:color w:val="auto"/>
        </w:rPr>
      </w:pPr>
      <w:r>
        <w:rPr>
          <w:rFonts w:ascii="Arial" w:cs="Arial" w:eastAsia="Arial" w:hAnsi="Arial"/>
          <w:sz w:val="18"/>
          <w:szCs w:val="18"/>
          <w:color w:val="auto"/>
        </w:rPr>
        <w:t>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right="20" w:hanging="328"/>
        <w:spacing w:after="0" w:line="229"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at a compound annual growth rate of 81%, with limited incremental investment in our commercial infrastructure. Over 105,000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in 2019, representing 26% growth over 2018. Through the third quarter of 2020, 71,849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8% decline over the same period in 2019, and the number of ordering healthcare providers in the third quarter of 2020 was 1,665, representing an approximate 5% increase over the same period in 2019. For the third quarter of 2020, we had 600 adopting healthcare providers (defined as those who had prescribed at least 11 diagnostic tests in the corresponding period) compared to 575 in the same period in 2019. A high percentage of adopting healthcare providers continue to order tests in subsequent quarters, as approximately 99% of adopting healthcare providers from the second quarter of 2020 ordered at least one diagnostic test in the third quarter of 2020. More than 459,000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have been delivered since launch. Revenue growth for our testing products will depend on our ability to continue to expand our base of ordering healthcare providers and increase our penetration with existing healthcare providers.</w:t>
      </w:r>
    </w:p>
    <w:p>
      <w:pPr>
        <w:spacing w:after="0" w:line="6" w:lineRule="exact"/>
        <w:rPr>
          <w:rFonts w:ascii="Arial" w:cs="Arial" w:eastAsia="Arial" w:hAnsi="Arial"/>
          <w:sz w:val="18"/>
          <w:szCs w:val="18"/>
          <w:color w:val="auto"/>
        </w:rPr>
      </w:pPr>
    </w:p>
    <w:p>
      <w:pPr>
        <w:ind w:left="660" w:right="60" w:hanging="328"/>
        <w:spacing w:after="0" w:line="250"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payers, including both commercial 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rFonts w:ascii="Arial" w:cs="Arial" w:eastAsia="Arial" w:hAnsi="Arial"/>
          <w:sz w:val="18"/>
          <w:szCs w:val="18"/>
          <w:color w:val="auto"/>
        </w:rPr>
      </w:pPr>
    </w:p>
    <w:p>
      <w:pPr>
        <w:ind w:left="660" w:right="20" w:hanging="328"/>
        <w:spacing w:after="0" w:line="233" w:lineRule="auto"/>
        <w:tabs>
          <w:tab w:leader="none" w:pos="656"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Promotion of SIMPONI</w:t>
      </w:r>
      <w:r>
        <w:rPr>
          <w:rFonts w:ascii="Arial" w:cs="Arial" w:eastAsia="Arial" w:hAnsi="Arial"/>
          <w:sz w:val="22"/>
          <w:szCs w:val="22"/>
          <w:color w:val="auto"/>
          <w:vertAlign w:val="superscript"/>
        </w:rPr>
        <w:t>®</w:t>
      </w:r>
      <w:r>
        <w:rPr>
          <w:rFonts w:ascii="Arial" w:cs="Arial" w:eastAsia="Arial" w:hAnsi="Arial"/>
          <w:sz w:val="17"/>
          <w:szCs w:val="17"/>
          <w:color w:val="auto"/>
        </w:rPr>
        <w:t>. We began promoting SIMPONI</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United States under the Janssen Agreement in January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promotion efforts contributed approximately $3.4 million and $0.8 million in revenue for the nine months ended September 30, 2020 and 2019, respectively. Pursuant to the amended Janssen Agreement, for each of the third and fourth quarters of 2020, we will receive a minimum promotion fee of $0.3 million and the fee will be capped at 5% above the adjusted predetermined baseline. We may continue to encounter difficulties in successfully promoting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generating significant revenue under the Janssen Agreement. Our estimate of the total U.S. addressable market for SIMPONI</w:t>
      </w:r>
      <w:r>
        <w:rPr>
          <w:rFonts w:ascii="Arial" w:cs="Arial" w:eastAsia="Arial" w:hAnsi="Arial"/>
          <w:sz w:val="22"/>
          <w:szCs w:val="22"/>
          <w:color w:val="auto"/>
          <w:vertAlign w:val="superscript"/>
        </w:rPr>
        <w:t>®'</w:t>
      </w:r>
      <w:r>
        <w:rPr>
          <w:rFonts w:ascii="Arial" w:cs="Arial" w:eastAsia="Arial" w:hAnsi="Arial"/>
          <w:sz w:val="17"/>
          <w:szCs w:val="17"/>
          <w:color w:val="auto"/>
        </w:rPr>
        <w:t>s approved indications is approximately $28 billion. Our ability to effectively promote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will require us to be successful in a range of activities, including creating demand for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through our own sales activities as well as those of Janssen. In interest of supporting these efforts we plan to continue to evaluate the reach and frequency of our salesforce. However, we may encounter difficulties being able to maintain meaningful co-promotion revenue based on sales over the predetermined baseline and we may not be successful in materially increasing market share, which would cause us to continue to rely on our existing testing products to drive revenue growth.</w:t>
      </w:r>
    </w:p>
    <w:p>
      <w:pPr>
        <w:spacing w:after="0" w:line="9" w:lineRule="exact"/>
        <w:rPr>
          <w:rFonts w:ascii="Arial" w:cs="Arial" w:eastAsia="Arial" w:hAnsi="Arial"/>
          <w:sz w:val="17"/>
          <w:szCs w:val="17"/>
          <w:color w:val="auto"/>
        </w:rPr>
      </w:pPr>
    </w:p>
    <w:p>
      <w:pPr>
        <w:ind w:left="660" w:hanging="328"/>
        <w:spacing w:after="0" w:line="229"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5" w:name="page26"/>
    <w:bookmarkEnd w:id="25"/>
    <w:p>
      <w:pPr>
        <w:ind w:left="660" w:right="220"/>
        <w:spacing w:after="0" w:line="250" w:lineRule="auto"/>
        <w:rPr>
          <w:sz w:val="20"/>
          <w:szCs w:val="20"/>
          <w:color w:val="auto"/>
        </w:rPr>
      </w:pPr>
      <w:r>
        <w:rPr>
          <w:rFonts w:ascii="Arial" w:cs="Arial" w:eastAsia="Arial" w:hAnsi="Arial"/>
          <w:sz w:val="18"/>
          <w:szCs w:val="18"/>
          <w:color w:val="auto"/>
        </w:rPr>
        <w:t>testing products will be important in our efforts to grow our business by expanding the potential market for our testing products and diversifying our sources of revenue.</w:t>
      </w:r>
    </w:p>
    <w:p>
      <w:pPr>
        <w:spacing w:after="0" w:line="1" w:lineRule="exact"/>
        <w:rPr>
          <w:sz w:val="20"/>
          <w:szCs w:val="20"/>
          <w:color w:val="auto"/>
        </w:rPr>
      </w:pPr>
    </w:p>
    <w:p>
      <w:pPr>
        <w:ind w:left="660" w:right="120" w:hanging="328"/>
        <w:spacing w:after="0" w:line="250"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our goal of achieving profitability. We realized an increase to our gross margins beginning in the first quarter of 2020 following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the Protecting Access to Medicare Act of 2014, or PAMA.</w:t>
      </w:r>
    </w:p>
    <w:p>
      <w:pPr>
        <w:spacing w:after="0" w:line="3" w:lineRule="exact"/>
        <w:rPr>
          <w:rFonts w:ascii="Arial" w:cs="Arial" w:eastAsia="Arial" w:hAnsi="Arial"/>
          <w:sz w:val="18"/>
          <w:szCs w:val="18"/>
          <w:color w:val="auto"/>
        </w:rPr>
      </w:pPr>
    </w:p>
    <w:p>
      <w:pPr>
        <w:ind w:left="660" w:right="20" w:hanging="328"/>
        <w:spacing w:after="0" w:line="242"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ind w:left="660" w:right="80" w:hanging="328"/>
        <w:spacing w:after="0" w:line="256"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payer. Changes to such estimates may increase or decrease revenue recognized in future periods.</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4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all periods presented, the tiered promotion fee ranged from $ 750 to $1,250 per prescription over a predetermined baseline. Due in part to COVID-19, in June 2020 we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each remaining quarter in 2020, starting with the quarter ending June 30, 2020, was adjusted to approximately 26,000 prescribed units per quarter, and subject to adjustment under certain circumstances. For each of the third and fourth quarters of 2020, we will receive a minimum promotion fee of $0.3 million and the fee will be capped at 5% above the adjusted predetermined baseline. The predetermined baseline for 2021 will be agreed upon by us and Janssen no later than November 30, 2020. The Janssen Agreement expires on December 31, 2021, unless extended by us for an additional 12 months upon 180 days written notice prior to the end of the current term. If we elect to extend the term, the predetermined baseline for 2022 will be subject to future agreement by us and Janssen. Janssen may terminate the Janssen Agreement at any time for any reason upon 30 days' notice to us, and we may terminate the Janssen Agreement for any reason at the end of any calendar quarter upon 30 days' notice to Janssen. Either party may terminate the Janssen Agreement in the event of the other party's default of any of its material obligations under the agreement if such default remains uncured for a specified period of time following receipt of written notice of such default.</w:t>
      </w:r>
    </w:p>
    <w:p>
      <w:pPr>
        <w:spacing w:after="0" w:line="21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recognized approximately $1.3 million and $ 0.4 million in revenue for the three months ended September 30, 2020 and 2019, respectively, and $ 3.4 million and $0.8 million in revenue for the nine months ended September 30, 2020 and 2019, respectively, for our promotional efforts under the Janssen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These assessments require significant judgment by management.</w:t>
      </w:r>
    </w:p>
    <w:p>
      <w:pPr>
        <w:spacing w:after="0" w:line="19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 discussed above, our test volumes in the third quarter of 2020 substantially recovered to pre-COVID-19 volume levels, however, the continued spread of COVID-19 may adversely affect testing volumes in future periods, the extent of which is highly uncertain.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Due to the COVID-19 pandemic, we expect that our costs of revenue will decrease in absolute dollars in 2020 as compared to 2019, related to the decrease in test volumes described above. We expect the decrease in test volumes may result in an increase in cost per test due to our inability to realize volume discounts on materials and absorb fixed laboratory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2020 as compared to 2019, as we continue to evaluate the reach and frequency of our sales and sales support functions and incur expenses from operating as a public company for the entire year, including expenses related to compliance with the rules and regulations of the Securities and Exchange Commission, or SEC, and the Nasdaq Global Market, additional insurance, investor relations activities and other administrative and professional services such as accounting, legal, regulatory and tax.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ind w:right="4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expect that our research and development expenses will increase in absolute dollars in 2020 as compared to 2019, as we continue to invest in research and development activities related to our existing testing products and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loan agreement with Innovatus Life Sciences Lending Fund I, LP, or Innovatus.</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expect interest expense to decrease in 2020 as compared to 2019, due to the lower interest rates. Although, we expect interest expense to remain consistent thereafter until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Other income, net, consists primarily of interest income earned on our cash and cash equivalents and amount received under the CARES Act Provider Relief Fund.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5"/>
          </w:tcPr>
          <w:p>
            <w:pPr>
              <w:ind w:left="110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Revenue increased $ 0.3 million, or 3.2%, for the three months ended September 30, 2020 compared to the three months ended September 30, 2019, primarily due to an increase in revenue to approximately $1.3 million from the co-promotion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during the three months ended September 30, 2020 compared to approximately $ 0.4 million during the three months ended September 30, 2019. The increase in revenue was partially offset by a decrease in the number of diagnostic tests delivered due in part to COVID-19 impacts, coupled with a decrease in</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8" w:name="page29"/>
    <w:bookmarkEnd w:id="28"/>
    <w:p>
      <w:pPr>
        <w:ind w:right="60"/>
        <w:spacing w:after="0" w:line="227" w:lineRule="auto"/>
        <w:rPr>
          <w:sz w:val="20"/>
          <w:szCs w:val="20"/>
          <w:color w:val="auto"/>
        </w:rPr>
      </w:pPr>
      <w:r>
        <w:rPr>
          <w:rFonts w:ascii="Arial" w:cs="Arial" w:eastAsia="Arial" w:hAnsi="Arial"/>
          <w:sz w:val="18"/>
          <w:szCs w:val="18"/>
          <w:color w:val="auto"/>
        </w:rPr>
        <w:t>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which accounted for 68% and 83% of revenue in the three months ended September 30, 2020 and 2019, respectively, decreased to 26,201 tests delivered in the three months ended September 30, 2020 compared to 27,159 tests delivered in the same 2019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three months ended September 30, 2020 increased to 1,665 ordering healthcare providers as compared to 1,591 ordering healthcare providers in the same 2019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Costs of revenue decreased $0.4 million, or 9.2%, for the three months ended September 30, 2020 compared to the three months ended September 30, 2019. This decrease was primarily due to decreased royalty costs associated with the expiration of a royalty on our CB-CAPs technology during the three months ended September 30, 2020 compared to the same 2019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general and administrative expenses increased $1.9 million, or 26.0%, for the three months ended September 30, 2020 compared to the three months ended September 30, 2019. This increase was due to increased employee related expenses, including stock-based compensation, of $1.2 million, insurance expenses of $0.3 million, legal fees of $0.2 million and audit and professional services of $0.1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Research and development expenses increased $0.5 million, or 100.8%, for the three months ended September 30, 2020 compared to the three months ended September 30, 2019. This increase was primarily due to increased employee related expenses, including stock-based compensation, of $0.5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Interest expense decreased $0.3 million, or 28.8%, for the three months ended September 30, 2020 compared to the three months ended September 30, 2019. This decrease was primarily due to the lower interest rate under our long-term borrowing arrangements for the three months ended September 30, 2020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change in fair value of financial instruments increased $0.2 million for the three months ended September 30, 2020 compared to the three months ended September 30, 2019. This increase is due to the conversion of warrants to purchase preferred stock into warrants to purchase our common stock in connection with the completion of our IPO in September 2019. As a result, such warrants no longer require liability accounting which resulted in the recognition of income or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1140"/>
        <w:spacing w:after="0" w:line="261" w:lineRule="auto"/>
        <w:rPr>
          <w:sz w:val="20"/>
          <w:szCs w:val="20"/>
          <w:color w:val="auto"/>
        </w:rPr>
      </w:pPr>
      <w:r>
        <w:rPr>
          <w:rFonts w:ascii="Arial" w:cs="Arial" w:eastAsia="Arial" w:hAnsi="Arial"/>
          <w:sz w:val="18"/>
          <w:szCs w:val="18"/>
          <w:color w:val="auto"/>
        </w:rPr>
        <w:t>Other income, net, remained consistent for the three months ended September 30, 2020 compared to the three months ended September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4" w:right="3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ind w:left="108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6,317</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48"/>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$0.9 million, or 2.9%, for the nine months ended September 30, 2020 compared to the nine months ended</w:t>
      </w:r>
    </w:p>
    <w:p>
      <w:pPr>
        <w:spacing w:after="0" w:line="9"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September 30, 2019, primarily due to a decrease in the number of diagnostic tests delivered due to COVID-19 impacts experienced from the second half of March through September 30, 2020 coupled with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which accounted for 71% and 83% of revenue in the nine months ended September 30, 2020 and 2019, respectively, decreased to 71,849 tests delivered in the nine months ended September 30, 2020 compared to 78,237 tests delivered in the same 2019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nine months ended September 30, 2020 increased to 2,273 ordering healthcare providers as compared to 2,040 healthcare providers in the same 2019 period. The decrease in testing revenue was partially offset by an increase in revenue to approximately $3.4 million from the co-promotion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during the nine months ended September 30, 2020 compared to approximately $0.8 million during the nine months ended September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Costs of revenue decreased $2.0 million, or 14.0%, for the nine months ended September 30, 2020 compared to the nine months ended September 30, 2019. This decrease was primarily due to decreased direct costs such as materials and supplies associated with the decrease in test volume and decreased royalty costs associated with the expiration of a royalty on our CB-CAPs technology during the nine months ended September 30, 2020 compared to the same 2019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Selling, general and administrative expenses increased $6.3 million, or 30.4%, for the nine months ended September 30, 2020 compared to the nine months ended September 30, 2019. This increase was due to increased employee related expenses, including stock-based compensation, of $3.6 million and increases related to insurance expenses of $0.9 million, legal fees of $0.7 million and audit and professional services of $0.6 million. The nine months ended September 30,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Research and development expenses increased $ 0.8 million, 49.3%, for the nine months ended September 30, 2020 compared to the nine months ended September 30, 2019. This increase was primarily due to increased employee related expenses, including stock-based compensation, of $0.7 million and professional service fees of $0.2 million, partially offset by a decrease in clinical trial expenses of $0.1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0" w:name="page31"/>
    <w:bookmarkEnd w:id="30"/>
    <w:p>
      <w:pPr>
        <w:jc w:val="both"/>
        <w:ind w:right="360"/>
        <w:spacing w:after="0" w:line="256" w:lineRule="auto"/>
        <w:rPr>
          <w:sz w:val="20"/>
          <w:szCs w:val="20"/>
          <w:color w:val="auto"/>
        </w:rPr>
      </w:pPr>
      <w:r>
        <w:rPr>
          <w:rFonts w:ascii="Arial" w:cs="Arial" w:eastAsia="Arial" w:hAnsi="Arial"/>
          <w:sz w:val="18"/>
          <w:szCs w:val="18"/>
          <w:color w:val="auto"/>
        </w:rPr>
        <w:t>Interest expense decreased $0.8 million, or 29.7%, for the nine months ended September 30, 2020 compared to the nine months ended September 30, 2019. This decrease was primarily due to the lower interest rate under our long-term borrowing arrangements for the nine months ended September 30, 2020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change in fair value of financial instruments decreased $0.3 million for the nine months ended September 30, 2020 compared to the nine months ended September 30, 2019. This decrease is due to the conversion of warrants to purchase preferred stock into warrants to purchase our common stock in connection with the completion of our IPO in September 2019. As a result, such warrants no longer require liability accounting which resulted in the recognition of income or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Other income, net, increased $0.7 million for the nine months ended September 30, 2020 compared to the nine months ended September 30, 2019. The increase is primarily due to the $0.7 million received under the CARES Act Provider Relief Fund due to lost revenues attributable to COVID-19 during the second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ind w:right="1220"/>
        <w:spacing w:after="0" w:line="261" w:lineRule="auto"/>
        <w:rPr>
          <w:sz w:val="20"/>
          <w:szCs w:val="20"/>
          <w:color w:val="auto"/>
        </w:rPr>
      </w:pPr>
      <w:r>
        <w:rPr>
          <w:rFonts w:ascii="Arial" w:cs="Arial" w:eastAsia="Arial" w:hAnsi="Arial"/>
          <w:sz w:val="18"/>
          <w:szCs w:val="18"/>
          <w:color w:val="auto"/>
        </w:rPr>
        <w:t>Income tax benefit increased $0.1 million for the nine months ended September 30, 2020 compared to the nine months ended September 30, 2019 due to a change in tax law under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incurred net losses since our inception. For the nine months ended September 30, 2020 and 2019, we incurred a net loss of $13.2 million and $8.6 million, respectively, and we expect to incur additional losses and increased operating expenses in future periods. As of September 30, 2020, we had an accumulated deficit of $177.8 million. To date, we have generated only limited revenue, and we may never achieve revenue sufficient to offset our expenses.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and redeemable convertible preferred stock and borrowings under various debt financings. In September 2019, we completed our IPO of 4,140,000 shares of its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$ 7.5 million. As of September 30, 2020, we had $61.4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November 2019, we amended the loan agreement, which we collectively refer to as the Amended Loan Agreement. Pursuant to the Amended Loan Agreement, the loan term is for five years with a final maturity date of November 2024. The Amended Loan Agreement accrues interest at an annual rate of 8.5%, of 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during each subsequent twelve-month period after the first anniversary of the Loan Amendment.</w:t>
      </w:r>
    </w:p>
    <w:p>
      <w:pPr>
        <w:spacing w:after="0" w:line="2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and achieve certain minimum amounts of revenue, and limiting our ability to dispose of assets, undergo a change in control, merge with or acquire other entities, incur debt, incur liens, pay dividends or</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1" w:name="page32"/>
    <w:bookmarkEnd w:id="31"/>
    <w:p>
      <w:pPr>
        <w:ind w:right="100"/>
        <w:spacing w:after="0" w:line="252" w:lineRule="auto"/>
        <w:rPr>
          <w:sz w:val="20"/>
          <w:szCs w:val="20"/>
          <w:color w:val="auto"/>
        </w:rPr>
      </w:pPr>
      <w:r>
        <w:rPr>
          <w:rFonts w:ascii="Arial" w:cs="Arial" w:eastAsia="Arial" w:hAnsi="Arial"/>
          <w:sz w:val="18"/>
          <w:szCs w:val="18"/>
          <w:color w:val="auto"/>
        </w:rPr>
        <w:t>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Our revenues for the twelve-month period ended September 30, 2020 were lower than the specified targets, subsequent to September 30, 2020, we and Innovatus agreed on a new management plan and target to bring us back into compliance with the Loan Amendment.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0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connection with the execution of the 2017 Term Loan Agreement, we issued the lender a seven-year warrant to purchase 15,384,615 shares of our Series F redeemable convertible preferred stock at an exercise price of $0.078 per share, and in December 2018, in connection with the additional $5.0 million borrowed under the 2017 Term Loan Agreement, we issued to the lender a seven-year warrant to purchase 3,846,154 shares of our Series F redeemable convertible preferred stock at an exercise price of $ 0.078 per share. In connection with the completion of our IPO in September 2019, the warrants were automatically converted into warrants exercisable for an aggregate of 104,722 shares of common stock at an exercise price of $14.32.</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promote SIMPONI</w:t>
      </w:r>
      <w:r>
        <w:rPr>
          <w:rFonts w:ascii="Arial" w:cs="Arial" w:eastAsia="Arial" w:hAnsi="Arial"/>
          <w:sz w:val="23"/>
          <w:szCs w:val="23"/>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our existing cash and cash equivalents and our anticipated future revenue, will be sufficient to meet our anticipated cash requirements for at least the next 12 months.</w:t>
      </w:r>
    </w:p>
    <w:p>
      <w:pPr>
        <w:spacing w:after="0" w:line="20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recent COVID-19 pandemic on our business, including challenges resulting from social distancing and stay-at home orders through a reduction in testing volumes;</w:t>
      </w:r>
    </w:p>
    <w:p>
      <w:pPr>
        <w:spacing w:after="0" w:line="25"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52" w:lineRule="exact"/>
        <w:rPr>
          <w:rFonts w:ascii="Arial" w:cs="Arial" w:eastAsia="Arial" w:hAnsi="Arial"/>
          <w:sz w:val="18"/>
          <w:szCs w:val="18"/>
          <w:color w:val="auto"/>
        </w:rPr>
      </w:pPr>
    </w:p>
    <w:p>
      <w:pPr>
        <w:ind w:left="660" w:right="120" w:hanging="328"/>
        <w:spacing w:after="0" w:line="22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 and</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3"/>
                <w:szCs w:val="13"/>
                <w:b w:val="1"/>
                <w:bCs w:val="1"/>
                <w:color w:val="auto"/>
              </w:rPr>
              <w:t>Nine Months Ended September 30,</w:t>
            </w:r>
          </w:p>
        </w:tc>
      </w:tr>
      <w:tr>
        <w:trPr>
          <w:trHeight w:val="169"/>
        </w:trPr>
        <w:tc>
          <w:tcPr>
            <w:tcW w:w="82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2019</w:t>
            </w:r>
          </w:p>
        </w:tc>
      </w:tr>
      <w:tr>
        <w:trPr>
          <w:trHeight w:val="17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5"/>
                <w:szCs w:val="15"/>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(10,185)</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(5,784)</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70,525</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(10,650)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64,664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Net cash used in operating activities for the nine months ended September 30, 2020 was $10.2 million and primarily resulted from our net loss of $13.2 million adjusted for non-cash charges of $2.8 million related to stock-based compensation, non-cash interest, depreciation, amortization and deferred income taxes and changes in our net operating assets of $0.3 million primarily related to net increases in account receivables, partially offset by net decreases in prepaid expenses and other current assets and net increases in accounts payables and accrued liabilities.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2019 was $5.8 million and primarily resulted from our net loss of $ 8.6 million adjusted for non-cash charges of $1.4 million for depreciation, amortization, stock-based compensation, non-cash interest and the revaluation of our preferred stock liabilities, and changes in our net operating assets of $1.5 million related to net increases in accounts payable and accrued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2020 and September 30, 2019 was $0.5 million and $0.1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3" w:name="page34"/>
    <w:bookmarkEnd w:id="33"/>
    <w:p>
      <w:pPr>
        <w:ind w:right="160"/>
        <w:spacing w:after="0" w:line="256" w:lineRule="auto"/>
        <w:rPr>
          <w:sz w:val="20"/>
          <w:szCs w:val="20"/>
          <w:color w:val="auto"/>
        </w:rPr>
      </w:pPr>
      <w:r>
        <w:rPr>
          <w:rFonts w:ascii="Arial" w:cs="Arial" w:eastAsia="Arial" w:hAnsi="Arial"/>
          <w:sz w:val="18"/>
          <w:szCs w:val="18"/>
          <w:color w:val="auto"/>
        </w:rPr>
        <w:t>Net cash used in financing activities for the nine months ended September 30, 2020 was $15,000 and primarily resulted from principal payments on capital lease obligations, as well as proceeds from the Paycheck Protection Program loan, which were subsequently repaid in May 2020, partially offset by proceeds from Employee Stock Purchase Plan purchases.</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2019 was $70.5 million and primarily resulted from net proceeds received from our IPO of $52.2 million as well as net proceeds received from the issuance of our redeemable convertible preferred stock of $18.4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Management Estimates" contained in the Annual Report on Form 10-K for the year ended December 31, 2019, filed on March 25, 2020. There have been no significant changes in our critical accounting policies and estimates during the three months ended September 30, 2020 as compared to the critical accounting policies and estimates disclosed in Management’s Discussion and Analysis of Financial Condition and Operations included in the Annual Report on Form 10-K for the year ended December 31, 2019, filed on March 25, 2020, other than as set forth in Note 2 to the unaudited condensed financial statements included in this quarterly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2 of Part I, Item 1 of this Quarterly Report on Form 10-Q for a summary of changes in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September 30, 2020,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9" w:right="3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2019, other than as previously reported in our Quarterly Report on Form 10-Q for the quarter ended March 31, 2020 and June 30, 2020 and changes to the risk factors set forth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recent global pandemic of the COVID-19 coronavirus.</w:t>
      </w:r>
    </w:p>
    <w:p>
      <w:pPr>
        <w:spacing w:after="0" w:line="180"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 pandemic, including COVID-19 or other public health epidemic, poses the risk that we or our employees, contractors, suppliers, third-party shipping carries, government and third-party payors and other partners may be prevented from conducting business activities for an indefinite period of time, including due to spread of the disease within these groups or due to shutdowns that may be requested or mandated by governmental authorities. As a result of current COVID-19 related limitations and reordering of priorities across the U.S. healthcare system, which have resulted in a reduction in patient flow, our test volumes began to decrease in the second half of March 2020. During the third quarter of 2020,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volumes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volumes in the first quarter. For the three months ended September 30, 2020 and for the nine months ended September 30, 2020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4% and 8%, respectively. However, the continued spread of COVID-19 may adversely affect testing volumes in future periods, the extent of which is highly uncertain. 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discounts with our key suppliers and to absorb fixed laboratory expenses. In addition, we have experienced delays in patient enrollment for ongoing and planned clinical studies involving our tests. We may also face increased competition for laboratory employees due to the increased demand in the industry for such personnel.</w:t>
      </w:r>
    </w:p>
    <w:p>
      <w:pPr>
        <w:spacing w:after="0" w:line="152"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Any disruption in our laboratory operations would have a material adverse effect on our business and would impede our ability to process tests in a timely manner, or at all. Additionally, as discussed above the demand for our testing products, and the demand for therapeutics, have significantly declined and may cease as COVID-19 continues to spread, including as a result of prioritization of hospital or clinical resources toward the pandemic or government imposed quarantines that impede patient flow or interrupt healthcare services or patients otherwise delaying or declining to seek treatment. The economic downturn may also result in closures of the practices of our primary customers. As it relates to our promotion efforts of SIMPONI</w:t>
      </w:r>
      <w:r>
        <w:rPr>
          <w:rFonts w:ascii="Arial" w:cs="Arial" w:eastAsia="Arial" w:hAnsi="Arial"/>
          <w:sz w:val="23"/>
          <w:szCs w:val="23"/>
          <w:color w:val="auto"/>
          <w:vertAlign w:val="superscript"/>
        </w:rPr>
        <w:t>®</w:t>
      </w:r>
      <w:r>
        <w:rPr>
          <w:rFonts w:ascii="Arial" w:cs="Arial" w:eastAsia="Arial" w:hAnsi="Arial"/>
          <w:sz w:val="18"/>
          <w:szCs w:val="18"/>
          <w:color w:val="auto"/>
        </w:rPr>
        <w:t>, we may experience decreased demand for or discontinued treatment 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patients who are infected by COVID-19 or who may be at higher risk of infection if it is determined that such patients should minimize exposure to immunosuppressant therapies. Additionally, if we are unable to renegotiate contract terms with our suppliers, we will not be able to utilize the volume-based price discounts due to the decrease in demand for our testing products.</w:t>
      </w:r>
    </w:p>
    <w:p>
      <w:pPr>
        <w:spacing w:after="0" w:line="15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 and in the "Risk Factors" section of our Annual Report on Form 10-K for the year ended December 31, 2019.</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6" w:name="page37"/>
    <w:bookmarkEnd w:id="36"/>
    <w:p>
      <w:pPr>
        <w:jc w:val="both"/>
        <w:ind w:right="24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September 2017, we entered into the 2017 Term Loan Agreement, and in November 2019, we entered into the Amended Loan Amendment.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The Loan Amendment (i) decreased the interest rate on all borrowings to 8.5%, of which 2.0% is paid in-kind and capitalized to the principal amount of the outstanding term loan on a monthly basis under December 2022; after which interest accrues at an annual rate of 8.5%; (ii) extended the interest only period to December 2022 and the maturity date to November 19, 2024; (iii) revised the prepayment terms to (x) restrict prepayments for the initial year following the date of the Loan Amendment and (y) set the prepayment premium at 3% of the principal amount of any term loans prepaid prior to November 19, 2020, with such prepayment premium decreasing by 1% during each subsequent twelve-month period after November 2020; and (iv) replaced the interest-only milestones with a financial covenant requiring that we achieve a specified level of revenue, as measured on a rolling twelve-month basis, and commencing with the quarter ending December 31, 2019, subject to exceptions based on achievement of performance milestones and the ability to cure any default thereof with the issuance of equity securities or subordinated indebtedness. As of September 30, 2020, there was $25.0 million in principal outstanding under the term loan and an additional $1.6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2022. Our revenues for the twelve-month period ended September 30, 2020 were lower than the specified targets in the Amended Loan Agreement, and as a result, subsequent to September 30, 2020, we and Innovatus agreed on a new management plan and target to bring us back into compliance with the Loan Amendment. We cannot be certain that we will be able to generate sufficient cash flow or revenue to meet the financial covenants or pay the principal and accrued interest on our debt.</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third-party in an amount exceeding $500,000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200" w:lineRule="exact"/>
        <w:rPr>
          <w:sz w:val="20"/>
          <w:szCs w:val="20"/>
          <w:color w:val="auto"/>
        </w:rPr>
      </w:pPr>
    </w:p>
    <w:p>
      <w:pPr>
        <w:spacing w:after="0" w:line="254" w:lineRule="exact"/>
        <w:rPr>
          <w:sz w:val="20"/>
          <w:szCs w:val="20"/>
          <w:color w:val="auto"/>
        </w:rPr>
      </w:pPr>
    </w:p>
    <w:p>
      <w:pPr>
        <w:ind w:right="2700" w:firstLine="2711"/>
        <w:spacing w:after="0" w:line="474"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37" w:name="page38"/>
    <w:bookmarkEnd w:id="37"/>
    <w:p>
      <w:pPr>
        <w:ind w:right="380"/>
        <w:spacing w:after="0" w:line="253" w:lineRule="auto"/>
        <w:rPr>
          <w:sz w:val="20"/>
          <w:szCs w:val="20"/>
          <w:color w:val="auto"/>
        </w:rPr>
      </w:pPr>
      <w:r>
        <w:rPr>
          <w:rFonts w:ascii="Arial" w:cs="Arial" w:eastAsia="Arial" w:hAnsi="Arial"/>
          <w:sz w:val="18"/>
          <w:szCs w:val="18"/>
          <w:color w:val="auto"/>
        </w:rPr>
        <w:t>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30, 2020, we have used approximately $12.8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8" w:name="page39"/>
    <w:bookmarkEnd w:id="38"/>
    <w:p>
      <w:pPr>
        <w:jc w:val="center"/>
        <w:ind w:right="377"/>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45" w:lineRule="exact"/>
        <w:rPr>
          <w:sz w:val="20"/>
          <w:szCs w:val="20"/>
          <w:color w:val="auto"/>
        </w:rPr>
      </w:pPr>
    </w:p>
    <w:tbl>
      <w:tblPr>
        <w:tblLayout w:type="fixed"/>
        <w:tblInd w:w="103"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18"/>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40" w:type="dxa"/>
            <w:vAlign w:val="bottom"/>
            <w:gridSpan w:val="18"/>
          </w:tcPr>
          <w:p>
            <w:pPr>
              <w:spacing w:after="0" w:line="155" w:lineRule="exact"/>
              <w:rPr>
                <w:rFonts w:ascii="Arial" w:cs="Arial" w:eastAsia="Arial" w:hAnsi="Arial"/>
                <w:sz w:val="14"/>
                <w:szCs w:val="14"/>
                <w:color w:val="0000FF"/>
              </w:rPr>
            </w:pPr>
            <w:hyperlink r:id="rId62">
              <w:r>
                <w:rPr>
                  <w:rFonts w:ascii="Arial" w:cs="Arial" w:eastAsia="Arial" w:hAnsi="Arial"/>
                  <w:sz w:val="14"/>
                  <w:szCs w:val="14"/>
                  <w:color w:val="0000FF"/>
                </w:rPr>
                <w:t>Form of Amended and Restated Certificate of</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62">
              <w:r>
                <w:rPr>
                  <w:rFonts w:ascii="Arial" w:cs="Arial" w:eastAsia="Arial" w:hAnsi="Arial"/>
                  <w:sz w:val="13"/>
                  <w:szCs w:val="13"/>
                  <w:color w:val="0000FF"/>
                </w:rPr>
                <w:t>Incorporation.</w:t>
              </w:r>
            </w:hyperlink>
          </w:p>
        </w:tc>
        <w:tc>
          <w:tcPr>
            <w:tcW w:w="2000" w:type="dxa"/>
            <w:vAlign w:val="bottom"/>
            <w:tcBorders>
              <w:top w:val="single" w:sz="8" w:color="0000FF"/>
            </w:tcBorders>
            <w:gridSpan w:val="11"/>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18"/>
          </w:tcPr>
          <w:p>
            <w:pPr>
              <w:spacing w:after="0"/>
              <w:rPr>
                <w:rFonts w:ascii="Arial" w:cs="Arial" w:eastAsia="Arial" w:hAnsi="Arial"/>
                <w:sz w:val="14"/>
                <w:szCs w:val="14"/>
                <w:u w:val="single" w:color="auto"/>
                <w:color w:val="0000FF"/>
              </w:rPr>
            </w:pPr>
            <w:hyperlink r:id="rId63">
              <w:r>
                <w:rPr>
                  <w:rFonts w:ascii="Arial" w:cs="Arial" w:eastAsia="Arial" w:hAnsi="Arial"/>
                  <w:sz w:val="14"/>
                  <w:szCs w:val="14"/>
                  <w:u w:val="single" w:color="auto"/>
                  <w:color w:val="0000FF"/>
                </w:rPr>
                <w:t>Form of Amended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3.2</w:t>
            </w:r>
          </w:p>
        </w:tc>
        <w:tc>
          <w:tcPr>
            <w:tcW w:w="1140" w:type="dxa"/>
            <w:vAlign w:val="bottom"/>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18"/>
          </w:tcPr>
          <w:p>
            <w:pPr>
              <w:spacing w:after="0"/>
              <w:rPr>
                <w:rFonts w:ascii="Arial" w:cs="Arial" w:eastAsia="Arial" w:hAnsi="Arial"/>
                <w:sz w:val="14"/>
                <w:szCs w:val="14"/>
                <w:color w:val="0000FF"/>
              </w:rPr>
            </w:pPr>
            <w:hyperlink r:id="rId64">
              <w:r>
                <w:rPr>
                  <w:rFonts w:ascii="Arial" w:cs="Arial" w:eastAsia="Arial" w:hAnsi="Arial"/>
                  <w:sz w:val="14"/>
                  <w:szCs w:val="14"/>
                  <w:color w:val="0000FF"/>
                </w:rPr>
                <w:t>Specimen stock certificate evidencing the shares</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2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64">
              <w:r>
                <w:rPr>
                  <w:rFonts w:ascii="Arial" w:cs="Arial" w:eastAsia="Arial" w:hAnsi="Arial"/>
                  <w:sz w:val="13"/>
                  <w:szCs w:val="13"/>
                  <w:color w:val="0000FF"/>
                </w:rPr>
                <w:t>of common stock.</w:t>
              </w:r>
            </w:hyperlink>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40" w:type="dxa"/>
            <w:vAlign w:val="bottom"/>
            <w:gridSpan w:val="18"/>
          </w:tcPr>
          <w:p>
            <w:pPr>
              <w:spacing w:after="0"/>
              <w:rPr>
                <w:rFonts w:ascii="Arial" w:cs="Arial" w:eastAsia="Arial" w:hAnsi="Arial"/>
                <w:sz w:val="14"/>
                <w:szCs w:val="14"/>
                <w:color w:val="0000FF"/>
              </w:rPr>
            </w:pPr>
            <w:hyperlink r:id="rId65">
              <w:r>
                <w:rPr>
                  <w:rFonts w:ascii="Arial" w:cs="Arial" w:eastAsia="Arial" w:hAnsi="Arial"/>
                  <w:sz w:val="14"/>
                  <w:szCs w:val="14"/>
                  <w:color w:val="0000FF"/>
                </w:rPr>
                <w:t>Amended and Restated Investors’ Rights</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20" w:type="dxa"/>
            <w:vAlign w:val="bottom"/>
            <w:tcBorders>
              <w:top w:val="single" w:sz="8" w:color="0000FF"/>
            </w:tcBorders>
            <w:gridSpan w:val="8"/>
          </w:tcPr>
          <w:p>
            <w:pPr>
              <w:spacing w:after="0" w:line="122" w:lineRule="exact"/>
              <w:rPr>
                <w:rFonts w:ascii="Arial" w:cs="Arial" w:eastAsia="Arial" w:hAnsi="Arial"/>
                <w:sz w:val="14"/>
                <w:szCs w:val="14"/>
                <w:color w:val="0000FF"/>
              </w:rPr>
            </w:pPr>
            <w:hyperlink r:id="rId65">
              <w:r>
                <w:rPr>
                  <w:rFonts w:ascii="Arial" w:cs="Arial" w:eastAsia="Arial" w:hAnsi="Arial"/>
                  <w:sz w:val="14"/>
                  <w:szCs w:val="14"/>
                  <w:color w:val="0000FF"/>
                </w:rPr>
                <w:t>Agreement, dated July 12, 2019, by and</w:t>
              </w:r>
            </w:hyperlink>
          </w:p>
        </w:tc>
        <w:tc>
          <w:tcPr>
            <w:tcW w:w="520" w:type="dxa"/>
            <w:vAlign w:val="bottom"/>
            <w:gridSpan w:val="10"/>
          </w:tcPr>
          <w:p>
            <w:pPr>
              <w:spacing w:after="0" w:line="122" w:lineRule="exact"/>
              <w:rPr>
                <w:rFonts w:ascii="Arial" w:cs="Arial" w:eastAsia="Arial" w:hAnsi="Arial"/>
                <w:sz w:val="14"/>
                <w:szCs w:val="14"/>
                <w:color w:val="0000FF"/>
              </w:rPr>
            </w:pPr>
            <w:hyperlink r:id="rId65">
              <w:r>
                <w:rPr>
                  <w:rFonts w:ascii="Arial" w:cs="Arial" w:eastAsia="Arial" w:hAnsi="Arial"/>
                  <w:sz w:val="14"/>
                  <w:szCs w:val="14"/>
                  <w:color w:val="0000FF"/>
                </w:rPr>
                <w:t>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40" w:type="dxa"/>
            <w:vAlign w:val="bottom"/>
            <w:vMerge w:val="continue"/>
          </w:tcPr>
          <w:p>
            <w:pPr>
              <w:spacing w:after="0"/>
              <w:rPr>
                <w:sz w:val="13"/>
                <w:szCs w:val="13"/>
                <w:color w:val="auto"/>
              </w:rPr>
            </w:pPr>
          </w:p>
        </w:tc>
        <w:tc>
          <w:tcPr>
            <w:tcW w:w="3020" w:type="dxa"/>
            <w:vAlign w:val="bottom"/>
            <w:tcBorders>
              <w:top w:val="single" w:sz="8" w:color="0000FF"/>
            </w:tcBorders>
            <w:gridSpan w:val="15"/>
          </w:tcPr>
          <w:p>
            <w:pPr>
              <w:spacing w:after="0"/>
              <w:rPr>
                <w:rFonts w:ascii="Arial" w:cs="Arial" w:eastAsia="Arial" w:hAnsi="Arial"/>
                <w:sz w:val="14"/>
                <w:szCs w:val="14"/>
                <w:u w:val="single" w:color="auto"/>
                <w:color w:val="0000FF"/>
              </w:rPr>
            </w:pPr>
            <w:hyperlink r:id="rId65">
              <w:r>
                <w:rPr>
                  <w:rFonts w:ascii="Arial" w:cs="Arial" w:eastAsia="Arial" w:hAnsi="Arial"/>
                  <w:sz w:val="14"/>
                  <w:szCs w:val="14"/>
                  <w:u w:val="single" w:color="auto"/>
                  <w:color w:val="0000FF"/>
                </w:rPr>
                <w:t>the Registrant and certain of its stockholders.</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18"/>
          </w:tcPr>
          <w:p>
            <w:pPr>
              <w:spacing w:after="0" w:line="144" w:lineRule="exact"/>
              <w:rPr>
                <w:rFonts w:ascii="Arial" w:cs="Arial" w:eastAsia="Arial" w:hAnsi="Arial"/>
                <w:sz w:val="14"/>
                <w:szCs w:val="14"/>
                <w:color w:val="0000FF"/>
              </w:rPr>
            </w:pPr>
            <w:hyperlink r:id="rId66">
              <w:r>
                <w:rPr>
                  <w:rFonts w:ascii="Arial" w:cs="Arial" w:eastAsia="Arial" w:hAnsi="Arial"/>
                  <w:sz w:val="14"/>
                  <w:szCs w:val="14"/>
                  <w:color w:val="0000FF"/>
                </w:rPr>
                <w:t>Amended and Restated Stockholders’</w:t>
              </w:r>
            </w:hyperlink>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18"/>
          </w:tcPr>
          <w:p>
            <w:pPr>
              <w:spacing w:after="0" w:line="115" w:lineRule="exact"/>
              <w:rPr>
                <w:rFonts w:ascii="Arial" w:cs="Arial" w:eastAsia="Arial" w:hAnsi="Arial"/>
                <w:sz w:val="13"/>
                <w:szCs w:val="13"/>
                <w:color w:val="0000FF"/>
              </w:rPr>
            </w:pPr>
            <w:hyperlink r:id="rId66">
              <w:r>
                <w:rPr>
                  <w:rFonts w:ascii="Arial" w:cs="Arial" w:eastAsia="Arial" w:hAnsi="Arial"/>
                  <w:sz w:val="13"/>
                  <w:szCs w:val="13"/>
                  <w:color w:val="0000FF"/>
                </w:rPr>
                <w:t>Agreement, dated July 12, 2019, by and 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40" w:type="dxa"/>
            <w:vAlign w:val="bottom"/>
            <w:vMerge w:val="continue"/>
          </w:tcPr>
          <w:p>
            <w:pPr>
              <w:spacing w:after="0"/>
              <w:rPr>
                <w:sz w:val="13"/>
                <w:szCs w:val="13"/>
                <w:color w:val="auto"/>
              </w:rPr>
            </w:pPr>
          </w:p>
        </w:tc>
        <w:tc>
          <w:tcPr>
            <w:tcW w:w="3020" w:type="dxa"/>
            <w:vAlign w:val="bottom"/>
            <w:tcBorders>
              <w:top w:val="single" w:sz="8" w:color="0000FF"/>
            </w:tcBorders>
            <w:gridSpan w:val="15"/>
          </w:tcPr>
          <w:p>
            <w:pPr>
              <w:spacing w:after="0"/>
              <w:rPr>
                <w:rFonts w:ascii="Arial" w:cs="Arial" w:eastAsia="Arial" w:hAnsi="Arial"/>
                <w:sz w:val="14"/>
                <w:szCs w:val="14"/>
                <w:u w:val="single" w:color="auto"/>
                <w:color w:val="0000FF"/>
              </w:rPr>
            </w:pPr>
            <w:hyperlink r:id="rId66">
              <w:r>
                <w:rPr>
                  <w:rFonts w:ascii="Arial" w:cs="Arial" w:eastAsia="Arial" w:hAnsi="Arial"/>
                  <w:sz w:val="14"/>
                  <w:szCs w:val="14"/>
                  <w:u w:val="single" w:color="auto"/>
                  <w:color w:val="0000FF"/>
                </w:rPr>
                <w:t>the Registrant and certain of its stockholders.</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18"/>
          </w:tcPr>
          <w:p>
            <w:pPr>
              <w:spacing w:after="0" w:line="144" w:lineRule="exact"/>
              <w:rPr>
                <w:rFonts w:ascii="Arial" w:cs="Arial" w:eastAsia="Arial" w:hAnsi="Arial"/>
                <w:sz w:val="14"/>
                <w:szCs w:val="14"/>
                <w:color w:val="0000FF"/>
              </w:rPr>
            </w:pPr>
            <w:hyperlink r:id="rId67">
              <w:r>
                <w:rPr>
                  <w:rFonts w:ascii="Arial" w:cs="Arial" w:eastAsia="Arial" w:hAnsi="Arial"/>
                  <w:sz w:val="14"/>
                  <w:szCs w:val="14"/>
                  <w:color w:val="0000FF"/>
                </w:rPr>
                <w:t>Form of Common Stock Purchase Warrant</w:t>
              </w:r>
            </w:hyperlink>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9"/>
          </w:tcPr>
          <w:p>
            <w:pPr>
              <w:spacing w:after="0" w:line="115" w:lineRule="exact"/>
              <w:rPr>
                <w:rFonts w:ascii="Arial" w:cs="Arial" w:eastAsia="Arial" w:hAnsi="Arial"/>
                <w:sz w:val="13"/>
                <w:szCs w:val="13"/>
                <w:color w:val="0000FF"/>
              </w:rPr>
            </w:pPr>
            <w:hyperlink r:id="rId67">
              <w:r>
                <w:rPr>
                  <w:rFonts w:ascii="Arial" w:cs="Arial" w:eastAsia="Arial" w:hAnsi="Arial"/>
                  <w:sz w:val="13"/>
                  <w:szCs w:val="13"/>
                  <w:color w:val="0000FF"/>
                </w:rPr>
                <w:t>issued to investors by the Registrant in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vMerge w:val="continue"/>
          </w:tcPr>
          <w:p>
            <w:pPr>
              <w:spacing w:after="0"/>
              <w:rPr>
                <w:sz w:val="13"/>
                <w:szCs w:val="13"/>
                <w:color w:val="auto"/>
              </w:rPr>
            </w:pPr>
          </w:p>
        </w:tc>
        <w:tc>
          <w:tcPr>
            <w:tcW w:w="3140" w:type="dxa"/>
            <w:vAlign w:val="bottom"/>
            <w:gridSpan w:val="18"/>
          </w:tcPr>
          <w:p>
            <w:pPr>
              <w:spacing w:after="0"/>
              <w:rPr>
                <w:rFonts w:ascii="Arial" w:cs="Arial" w:eastAsia="Arial" w:hAnsi="Arial"/>
                <w:sz w:val="14"/>
                <w:szCs w:val="14"/>
                <w:u w:val="single" w:color="auto"/>
                <w:color w:val="0000FF"/>
              </w:rPr>
            </w:pPr>
            <w:hyperlink r:id="rId67">
              <w:r>
                <w:rPr>
                  <w:rFonts w:ascii="Arial" w:cs="Arial" w:eastAsia="Arial" w:hAnsi="Arial"/>
                  <w:sz w:val="14"/>
                  <w:szCs w:val="14"/>
                  <w:u w:val="single" w:color="auto"/>
                  <w:color w:val="0000FF"/>
                </w:rPr>
                <w:t>connection with private placement financings.</w:t>
              </w:r>
            </w:hyperlink>
          </w:p>
        </w:tc>
        <w:tc>
          <w:tcPr>
            <w:tcW w:w="8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18"/>
          </w:tcPr>
          <w:p>
            <w:pPr>
              <w:spacing w:after="0" w:line="144" w:lineRule="exact"/>
              <w:rPr>
                <w:rFonts w:ascii="Arial" w:cs="Arial" w:eastAsia="Arial" w:hAnsi="Arial"/>
                <w:sz w:val="14"/>
                <w:szCs w:val="14"/>
                <w:color w:val="0000FF"/>
              </w:rPr>
            </w:pPr>
            <w:hyperlink w:anchor="page41">
              <w:r>
                <w:rPr>
                  <w:rFonts w:ascii="Arial" w:cs="Arial" w:eastAsia="Arial" w:hAnsi="Arial"/>
                  <w:sz w:val="14"/>
                  <w:szCs w:val="14"/>
                  <w:color w:val="0000FF"/>
                </w:rPr>
                <w:t>Acknowledgement Letter to Loan and Security</w:t>
              </w:r>
            </w:hyperlink>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294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41">
              <w:r>
                <w:rPr>
                  <w:rFonts w:ascii="Arial" w:cs="Arial" w:eastAsia="Arial" w:hAnsi="Arial"/>
                  <w:sz w:val="13"/>
                  <w:szCs w:val="13"/>
                  <w:color w:val="0000FF"/>
                </w:rPr>
                <w:t>Agreement, by and between Innovatus Life</w:t>
              </w:r>
            </w:hyperlink>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0"/>
        </w:trPr>
        <w:tc>
          <w:tcPr>
            <w:tcW w:w="840" w:type="dxa"/>
            <w:vAlign w:val="bottom"/>
            <w:vMerge w:val="continue"/>
          </w:tcPr>
          <w:p>
            <w:pPr>
              <w:spacing w:after="0"/>
              <w:rPr>
                <w:sz w:val="13"/>
                <w:szCs w:val="13"/>
                <w:color w:val="auto"/>
              </w:rPr>
            </w:pPr>
          </w:p>
        </w:tc>
        <w:tc>
          <w:tcPr>
            <w:tcW w:w="2740" w:type="dxa"/>
            <w:vAlign w:val="bottom"/>
            <w:tcBorders>
              <w:top w:val="single" w:sz="8" w:color="0000FF"/>
            </w:tcBorders>
            <w:gridSpan w:val="11"/>
          </w:tcPr>
          <w:p>
            <w:pPr>
              <w:spacing w:after="0"/>
              <w:rPr>
                <w:rFonts w:ascii="Arial" w:cs="Arial" w:eastAsia="Arial" w:hAnsi="Arial"/>
                <w:sz w:val="14"/>
                <w:szCs w:val="14"/>
                <w:u w:val="single" w:color="auto"/>
                <w:color w:val="0000FF"/>
              </w:rPr>
            </w:pPr>
            <w:hyperlink w:anchor="page41">
              <w:r>
                <w:rPr>
                  <w:rFonts w:ascii="Arial" w:cs="Arial" w:eastAsia="Arial" w:hAnsi="Arial"/>
                  <w:sz w:val="14"/>
                  <w:szCs w:val="14"/>
                  <w:u w:val="single" w:color="auto"/>
                  <w:color w:val="0000FF"/>
                </w:rPr>
                <w:t>Sciences Lending I, LP and the Registrant.</w:t>
              </w:r>
            </w:hyperlink>
          </w:p>
        </w:tc>
        <w:tc>
          <w:tcPr>
            <w:tcW w:w="2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40" w:type="dxa"/>
            <w:vAlign w:val="bottom"/>
            <w:gridSpan w:val="18"/>
          </w:tcPr>
          <w:p>
            <w:pPr>
              <w:spacing w:after="0" w:line="144" w:lineRule="exact"/>
              <w:rPr>
                <w:rFonts w:ascii="Arial" w:cs="Arial" w:eastAsia="Arial" w:hAnsi="Arial"/>
                <w:sz w:val="14"/>
                <w:szCs w:val="14"/>
                <w:color w:val="0000FF"/>
              </w:rPr>
            </w:pPr>
            <w:hyperlink w:anchor="page43">
              <w:r>
                <w:rPr>
                  <w:rFonts w:ascii="Arial" w:cs="Arial" w:eastAsia="Arial" w:hAnsi="Arial"/>
                  <w:sz w:val="14"/>
                  <w:szCs w:val="14"/>
                  <w:color w:val="0000FF"/>
                </w:rPr>
                <w:t>Certificate of Principal Executive Officer,</w:t>
              </w:r>
            </w:hyperlink>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18"/>
          </w:tcPr>
          <w:p>
            <w:pPr>
              <w:spacing w:after="0" w:line="115" w:lineRule="exact"/>
              <w:rPr>
                <w:rFonts w:ascii="Arial" w:cs="Arial" w:eastAsia="Arial" w:hAnsi="Arial"/>
                <w:sz w:val="13"/>
                <w:szCs w:val="13"/>
                <w:color w:val="0000FF"/>
              </w:rPr>
            </w:pPr>
            <w:hyperlink w:anchor="page43">
              <w:r>
                <w:rPr>
                  <w:rFonts w:ascii="Arial" w:cs="Arial" w:eastAsia="Arial" w:hAnsi="Arial"/>
                  <w:sz w:val="13"/>
                  <w:szCs w:val="13"/>
                  <w:color w:val="0000FF"/>
                </w:rPr>
                <w:t>pursuant to Rule 13a-14(a)/15d-14(a), as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31.1</w:t>
            </w:r>
          </w:p>
        </w:tc>
        <w:tc>
          <w:tcPr>
            <w:tcW w:w="2600" w:type="dxa"/>
            <w:vAlign w:val="bottom"/>
            <w:tcBorders>
              <w:top w:val="single" w:sz="8" w:color="0000FF"/>
            </w:tcBorders>
            <w:gridSpan w:val="7"/>
          </w:tcPr>
          <w:p>
            <w:pPr>
              <w:spacing w:after="0" w:line="106" w:lineRule="exact"/>
              <w:rPr>
                <w:rFonts w:ascii="Arial" w:cs="Arial" w:eastAsia="Arial" w:hAnsi="Arial"/>
                <w:sz w:val="12"/>
                <w:szCs w:val="12"/>
                <w:u w:val="single" w:color="auto"/>
                <w:color w:val="0000FF"/>
              </w:rPr>
            </w:pPr>
            <w:hyperlink w:anchor="page43">
              <w:r>
                <w:rPr>
                  <w:rFonts w:ascii="Arial" w:cs="Arial" w:eastAsia="Arial" w:hAnsi="Arial"/>
                  <w:sz w:val="12"/>
                  <w:szCs w:val="12"/>
                  <w:u w:val="single" w:color="auto"/>
                  <w:color w:val="0000FF"/>
                </w:rPr>
                <w:t>adopted pursuant to Section 302 of the</w:t>
              </w:r>
            </w:hyperlink>
          </w:p>
        </w:tc>
        <w:tc>
          <w:tcPr>
            <w:tcW w:w="120" w:type="dxa"/>
            <w:vAlign w:val="bottom"/>
            <w:gridSpan w:val="3"/>
          </w:tcPr>
          <w:p>
            <w:pPr>
              <w:spacing w:after="0"/>
              <w:rPr>
                <w:sz w:val="9"/>
                <w:szCs w:val="9"/>
                <w:color w:val="auto"/>
              </w:rPr>
            </w:pPr>
          </w:p>
        </w:tc>
        <w:tc>
          <w:tcPr>
            <w:tcW w:w="260" w:type="dxa"/>
            <w:vAlign w:val="bottom"/>
            <w:gridSpan w:val="4"/>
          </w:tcPr>
          <w:p>
            <w:pPr>
              <w:spacing w:after="0"/>
              <w:rPr>
                <w:sz w:val="9"/>
                <w:szCs w:val="9"/>
                <w:color w:val="auto"/>
              </w:rPr>
            </w:pPr>
          </w:p>
        </w:tc>
        <w:tc>
          <w:tcPr>
            <w:tcW w:w="12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Sarbanes-Oxley Act of 2002.</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 w:type="dxa"/>
            <w:vAlign w:val="bottom"/>
          </w:tcPr>
          <w:p>
            <w:pPr>
              <w:spacing w:after="0"/>
              <w:rPr>
                <w:sz w:val="13"/>
                <w:szCs w:val="13"/>
                <w:color w:val="auto"/>
              </w:rPr>
            </w:pPr>
          </w:p>
        </w:tc>
        <w:tc>
          <w:tcPr>
            <w:tcW w:w="3140" w:type="dxa"/>
            <w:vAlign w:val="bottom"/>
            <w:gridSpan w:val="18"/>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Certificate of Principal Financial Officer, pursuant</w:t>
              </w:r>
            </w:hyperlink>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3100" w:type="dxa"/>
            <w:vAlign w:val="bottom"/>
            <w:tcBorders>
              <w:top w:val="single" w:sz="8" w:color="0000FF"/>
            </w:tcBorders>
            <w:gridSpan w:val="16"/>
          </w:tcPr>
          <w:p>
            <w:pPr>
              <w:spacing w:after="0" w:line="106" w:lineRule="exact"/>
              <w:rPr>
                <w:rFonts w:ascii="Arial" w:cs="Arial" w:eastAsia="Arial" w:hAnsi="Arial"/>
                <w:sz w:val="12"/>
                <w:szCs w:val="12"/>
                <w:color w:val="0000FF"/>
              </w:rPr>
            </w:pPr>
            <w:hyperlink w:anchor="page45">
              <w:r>
                <w:rPr>
                  <w:rFonts w:ascii="Arial" w:cs="Arial" w:eastAsia="Arial" w:hAnsi="Arial"/>
                  <w:sz w:val="12"/>
                  <w:szCs w:val="12"/>
                  <w:color w:val="0000FF"/>
                </w:rPr>
                <w:t>to Rule 13a-14(a)/15d-14(a), as adopted</w:t>
              </w:r>
            </w:hyperlink>
          </w:p>
        </w:tc>
        <w:tc>
          <w:tcPr>
            <w:tcW w:w="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6"/>
          </w:tcPr>
          <w:p>
            <w:pPr>
              <w:spacing w:after="0" w:line="113" w:lineRule="exact"/>
              <w:rPr>
                <w:rFonts w:ascii="Arial" w:cs="Arial" w:eastAsia="Arial" w:hAnsi="Arial"/>
                <w:sz w:val="13"/>
                <w:szCs w:val="13"/>
                <w:u w:val="single" w:color="auto"/>
                <w:color w:val="0000FF"/>
              </w:rPr>
            </w:pPr>
            <w:hyperlink w:anchor="page45">
              <w:r>
                <w:rPr>
                  <w:rFonts w:ascii="Arial" w:cs="Arial" w:eastAsia="Arial" w:hAnsi="Arial"/>
                  <w:sz w:val="13"/>
                  <w:szCs w:val="13"/>
                  <w:u w:val="single" w:color="auto"/>
                  <w:color w:val="0000FF"/>
                </w:rPr>
                <w:t>pursuant to Section 302 of the Sarbanes</w:t>
              </w:r>
            </w:hyperlink>
          </w:p>
        </w:tc>
        <w:tc>
          <w:tcPr>
            <w:tcW w:w="580" w:type="dxa"/>
            <w:vAlign w:val="bottom"/>
            <w:gridSpan w:val="12"/>
          </w:tcPr>
          <w:p>
            <w:pPr>
              <w:spacing w:after="0" w:line="113" w:lineRule="exact"/>
              <w:rPr>
                <w:rFonts w:ascii="Arial" w:cs="Arial" w:eastAsia="Arial" w:hAnsi="Arial"/>
                <w:sz w:val="13"/>
                <w:szCs w:val="13"/>
                <w:u w:val="single" w:color="auto"/>
                <w:color w:val="0000FF"/>
              </w:rPr>
            </w:pPr>
            <w:hyperlink w:anchor="page45">
              <w:r>
                <w:rPr>
                  <w:rFonts w:ascii="Arial" w:cs="Arial" w:eastAsia="Arial" w:hAnsi="Arial"/>
                  <w:sz w:val="13"/>
                  <w:szCs w:val="13"/>
                  <w:u w:val="single" w:color="auto"/>
                  <w:color w:val="0000FF"/>
                </w:rPr>
                <w:t>-Oxley</w:t>
              </w:r>
            </w:hyperlink>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Act of 2002.</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 w:type="dxa"/>
            <w:vAlign w:val="bottom"/>
          </w:tcPr>
          <w:p>
            <w:pPr>
              <w:spacing w:after="0"/>
              <w:rPr>
                <w:sz w:val="13"/>
                <w:szCs w:val="13"/>
                <w:color w:val="auto"/>
              </w:rPr>
            </w:pPr>
          </w:p>
        </w:tc>
        <w:tc>
          <w:tcPr>
            <w:tcW w:w="3140" w:type="dxa"/>
            <w:vAlign w:val="bottom"/>
            <w:gridSpan w:val="18"/>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Certifications Pursuant to U.S.C. Section 1350,</w:t>
              </w:r>
            </w:hyperlink>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w:anchor="page47">
              <w:r>
                <w:rPr>
                  <w:rFonts w:ascii="Arial" w:cs="Arial" w:eastAsia="Arial" w:hAnsi="Arial"/>
                  <w:sz w:val="13"/>
                  <w:szCs w:val="13"/>
                  <w:color w:val="0000FF"/>
                </w:rPr>
                <w:t>As Adopted Pursuant to Section 906 of the</w:t>
              </w:r>
            </w:hyperlink>
          </w:p>
        </w:tc>
        <w:tc>
          <w:tcPr>
            <w:tcW w:w="16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0"/>
          </w:tcPr>
          <w:p>
            <w:pPr>
              <w:spacing w:after="0" w:line="106" w:lineRule="exact"/>
              <w:rPr>
                <w:rFonts w:ascii="Arial" w:cs="Arial" w:eastAsia="Arial" w:hAnsi="Arial"/>
                <w:sz w:val="12"/>
                <w:szCs w:val="12"/>
                <w:u w:val="single" w:color="auto"/>
                <w:color w:val="0000FF"/>
              </w:rPr>
            </w:pPr>
            <w:hyperlink w:anchor="page47">
              <w:r>
                <w:rPr>
                  <w:rFonts w:ascii="Arial" w:cs="Arial" w:eastAsia="Arial" w:hAnsi="Arial"/>
                  <w:sz w:val="12"/>
                  <w:szCs w:val="12"/>
                  <w:u w:val="single" w:color="auto"/>
                  <w:color w:val="0000FF"/>
                </w:rPr>
                <w:t>Public Company Accounting Reform and</w:t>
              </w:r>
            </w:hyperlink>
          </w:p>
        </w:tc>
        <w:tc>
          <w:tcPr>
            <w:tcW w:w="420" w:type="dxa"/>
            <w:vAlign w:val="bottom"/>
            <w:gridSpan w:val="8"/>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Investor Protection Act of 2002.</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18"/>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101.CAL</w:t>
            </w:r>
          </w:p>
        </w:tc>
        <w:tc>
          <w:tcPr>
            <w:tcW w:w="3140" w:type="dxa"/>
            <w:vAlign w:val="bottom"/>
            <w:gridSpan w:val="18"/>
          </w:tcPr>
          <w:p>
            <w:pPr>
              <w:spacing w:after="0" w:line="152" w:lineRule="exact"/>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101.DEF</w:t>
            </w:r>
          </w:p>
        </w:tc>
        <w:tc>
          <w:tcPr>
            <w:tcW w:w="3140" w:type="dxa"/>
            <w:vAlign w:val="bottom"/>
            <w:gridSpan w:val="18"/>
          </w:tcPr>
          <w:p>
            <w:pPr>
              <w:spacing w:after="0" w:line="152" w:lineRule="exact"/>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101.LAB</w:t>
            </w:r>
          </w:p>
        </w:tc>
        <w:tc>
          <w:tcPr>
            <w:tcW w:w="3140" w:type="dxa"/>
            <w:vAlign w:val="bottom"/>
            <w:gridSpan w:val="18"/>
          </w:tcPr>
          <w:p>
            <w:pPr>
              <w:spacing w:after="0" w:line="152" w:lineRule="exact"/>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101.PRE</w:t>
            </w:r>
          </w:p>
        </w:tc>
        <w:tc>
          <w:tcPr>
            <w:tcW w:w="3140" w:type="dxa"/>
            <w:vAlign w:val="bottom"/>
            <w:gridSpan w:val="18"/>
          </w:tcPr>
          <w:p>
            <w:pPr>
              <w:spacing w:after="0" w:line="152" w:lineRule="exact"/>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18"/>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643" w:hanging="643"/>
        <w:spacing w:after="0" w:line="261" w:lineRule="auto"/>
        <w:tabs>
          <w:tab w:leader="none" w:pos="31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22"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3"/>
          </w:cols>
          <w:pgMar w:left="1057" w:top="1129" w:right="679" w:bottom="1440" w:gutter="0" w:footer="0" w:header="0"/>
        </w:sectPr>
      </w:pPr>
    </w:p>
    <w:bookmarkStart w:id="39" w:name="page40"/>
    <w:bookmarkEnd w:id="39"/>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4020" w:type="dxa"/>
            <w:vAlign w:val="bottom"/>
          </w:tcPr>
          <w:p>
            <w:pPr>
              <w:spacing w:after="0"/>
              <w:rPr>
                <w:sz w:val="20"/>
                <w:szCs w:val="20"/>
                <w:color w:val="auto"/>
              </w:rPr>
            </w:pPr>
            <w:r>
              <w:rPr>
                <w:rFonts w:ascii="Arial" w:cs="Arial" w:eastAsia="Arial" w:hAnsi="Arial"/>
                <w:sz w:val="18"/>
                <w:szCs w:val="18"/>
                <w:color w:val="auto"/>
              </w:rPr>
              <w:t>Date: November 10, 2020</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020" w:type="dxa"/>
            <w:vAlign w:val="bottom"/>
          </w:tcPr>
          <w:p>
            <w:pPr>
              <w:spacing w:after="0"/>
              <w:rPr>
                <w:sz w:val="20"/>
                <w:szCs w:val="20"/>
                <w:color w:val="auto"/>
              </w:rPr>
            </w:pPr>
            <w:r>
              <w:rPr>
                <w:rFonts w:ascii="Arial" w:cs="Arial" w:eastAsia="Arial" w:hAnsi="Arial"/>
                <w:sz w:val="18"/>
                <w:szCs w:val="18"/>
                <w:color w:val="auto"/>
              </w:rPr>
              <w:t>Date: November 10, 2020</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3"/>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30"/>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1129"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EXAGEN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1261 Liberty Way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 CA 92081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7, 2020</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Innovatus Life Sciences Lending Fund I, LP</w:t>
      </w:r>
    </w:p>
    <w:p>
      <w:pPr>
        <w:ind w:left="100"/>
        <w:spacing w:after="0" w:line="238" w:lineRule="auto"/>
        <w:rPr>
          <w:sz w:val="20"/>
          <w:szCs w:val="20"/>
          <w:color w:val="auto"/>
        </w:rPr>
      </w:pPr>
      <w:r>
        <w:rPr>
          <w:rFonts w:ascii="Arial" w:cs="Arial" w:eastAsia="Arial" w:hAnsi="Arial"/>
          <w:sz w:val="22"/>
          <w:szCs w:val="22"/>
          <w:color w:val="auto"/>
        </w:rPr>
        <w:t>777 Third Avenue, 25th Floor</w:t>
      </w:r>
    </w:p>
    <w:p>
      <w:pPr>
        <w:ind w:left="100"/>
        <w:spacing w:after="0" w:line="230" w:lineRule="auto"/>
        <w:rPr>
          <w:sz w:val="20"/>
          <w:szCs w:val="20"/>
          <w:color w:val="auto"/>
        </w:rPr>
      </w:pPr>
      <w:r>
        <w:rPr>
          <w:rFonts w:ascii="Arial" w:cs="Arial" w:eastAsia="Arial" w:hAnsi="Arial"/>
          <w:sz w:val="22"/>
          <w:szCs w:val="22"/>
          <w:color w:val="auto"/>
        </w:rPr>
        <w:t>New York, NY 10017</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Attentionn: Claes Ekstrom</w:t>
      </w:r>
    </w:p>
    <w:p>
      <w:pPr>
        <w:spacing w:after="0" w:line="200" w:lineRule="exact"/>
        <w:rPr>
          <w:sz w:val="20"/>
          <w:szCs w:val="20"/>
          <w:color w:val="auto"/>
        </w:rPr>
      </w:pPr>
    </w:p>
    <w:p>
      <w:pPr>
        <w:spacing w:after="0" w:line="25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New Management Plan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We refer to that certain Loan and Security Agreement, dated as of September 7,</w:t>
      </w:r>
    </w:p>
    <w:p>
      <w:pPr>
        <w:spacing w:after="0" w:line="8" w:lineRule="exact"/>
        <w:rPr>
          <w:sz w:val="20"/>
          <w:szCs w:val="20"/>
          <w:color w:val="auto"/>
        </w:rPr>
      </w:pPr>
    </w:p>
    <w:p>
      <w:pPr>
        <w:jc w:val="both"/>
        <w:ind w:firstLine="90"/>
        <w:spacing w:after="0" w:line="233" w:lineRule="auto"/>
        <w:rPr>
          <w:sz w:val="20"/>
          <w:szCs w:val="20"/>
          <w:color w:val="auto"/>
        </w:rPr>
      </w:pPr>
      <w:r>
        <w:rPr>
          <w:rFonts w:ascii="Arial" w:cs="Arial" w:eastAsia="Arial" w:hAnsi="Arial"/>
          <w:sz w:val="22"/>
          <w:szCs w:val="22"/>
          <w:color w:val="auto"/>
        </w:rPr>
        <w:t>2017 (as the same may from time to time be amended, modified, supplemented or restated, the “</w:t>
      </w:r>
      <w:r>
        <w:rPr>
          <w:rFonts w:ascii="Arial" w:cs="Arial" w:eastAsia="Arial" w:hAnsi="Arial"/>
          <w:sz w:val="22"/>
          <w:szCs w:val="22"/>
          <w:b w:val="1"/>
          <w:bCs w:val="1"/>
          <w:color w:val="auto"/>
        </w:rPr>
        <w:t>Loan Agreement</w:t>
      </w:r>
      <w:r>
        <w:rPr>
          <w:rFonts w:ascii="Arial" w:cs="Arial" w:eastAsia="Arial" w:hAnsi="Arial"/>
          <w:sz w:val="22"/>
          <w:szCs w:val="22"/>
          <w:color w:val="auto"/>
        </w:rPr>
        <w:t>”), among Innovatus Life Sciences Lending Fund I, LP (the “</w:t>
      </w:r>
      <w:r>
        <w:rPr>
          <w:rFonts w:ascii="Arial" w:cs="Arial" w:eastAsia="Arial" w:hAnsi="Arial"/>
          <w:sz w:val="22"/>
          <w:szCs w:val="22"/>
          <w:b w:val="1"/>
          <w:bCs w:val="1"/>
          <w:color w:val="auto"/>
        </w:rPr>
        <w:t>Agent</w:t>
      </w:r>
      <w:r>
        <w:rPr>
          <w:rFonts w:ascii="Arial" w:cs="Arial" w:eastAsia="Arial" w:hAnsi="Arial"/>
          <w:sz w:val="22"/>
          <w:szCs w:val="22"/>
          <w:color w:val="auto"/>
        </w:rPr>
        <w:t>”), the lenders party thereto (the “</w:t>
      </w:r>
      <w:r>
        <w:rPr>
          <w:rFonts w:ascii="Arial" w:cs="Arial" w:eastAsia="Arial" w:hAnsi="Arial"/>
          <w:sz w:val="22"/>
          <w:szCs w:val="22"/>
          <w:b w:val="1"/>
          <w:bCs w:val="1"/>
          <w:color w:val="auto"/>
        </w:rPr>
        <w:t>Lenders</w:t>
      </w:r>
      <w:r>
        <w:rPr>
          <w:rFonts w:ascii="Arial" w:cs="Arial" w:eastAsia="Arial" w:hAnsi="Arial"/>
          <w:sz w:val="22"/>
          <w:szCs w:val="22"/>
          <w:color w:val="auto"/>
        </w:rPr>
        <w:t>”), and Exagen Inc. (the “</w:t>
      </w:r>
      <w:r>
        <w:rPr>
          <w:rFonts w:ascii="Arial" w:cs="Arial" w:eastAsia="Arial" w:hAnsi="Arial"/>
          <w:sz w:val="22"/>
          <w:szCs w:val="22"/>
          <w:b w:val="1"/>
          <w:bCs w:val="1"/>
          <w:color w:val="auto"/>
        </w:rPr>
        <w:t>Borrower</w:t>
      </w:r>
      <w:r>
        <w:rPr>
          <w:rFonts w:ascii="Arial" w:cs="Arial" w:eastAsia="Arial" w:hAnsi="Arial"/>
          <w:sz w:val="22"/>
          <w:szCs w:val="22"/>
          <w:color w:val="auto"/>
        </w:rPr>
        <w:t>”). Any capitalized term used herein and not defined herein shall have the meaning assigned to such term in the Financing Agreement.</w:t>
      </w:r>
    </w:p>
    <w:p>
      <w:pPr>
        <w:spacing w:after="0" w:line="215" w:lineRule="exact"/>
        <w:rPr>
          <w:sz w:val="20"/>
          <w:szCs w:val="20"/>
          <w:color w:val="auto"/>
        </w:rPr>
      </w:pPr>
    </w:p>
    <w:p>
      <w:pPr>
        <w:jc w:val="both"/>
        <w:ind w:firstLine="1386"/>
        <w:spacing w:after="0" w:line="271" w:lineRule="auto"/>
        <w:rPr>
          <w:sz w:val="20"/>
          <w:szCs w:val="20"/>
          <w:color w:val="auto"/>
        </w:rPr>
      </w:pPr>
      <w:r>
        <w:rPr>
          <w:rFonts w:ascii="Arial" w:cs="Arial" w:eastAsia="Arial" w:hAnsi="Arial"/>
          <w:sz w:val="19"/>
          <w:szCs w:val="19"/>
          <w:color w:val="auto"/>
        </w:rPr>
        <w:t xml:space="preserve">In accordance with the terms of the Loan Agreement, the Borrower intends to exercise its Equity Cure right as of the date hereof and replace the Management Plan with a New Management Plan (attached hereto as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 By its signature below, the Agent and the Lenders each agree and acknowledge that, effective as of the date hereof, (i) the New Management Plan is approved in all respects, (ii) </w:t>
      </w:r>
      <w:r>
        <w:rPr>
          <w:rFonts w:ascii="Arial" w:cs="Arial" w:eastAsia="Arial" w:hAnsi="Arial"/>
          <w:sz w:val="19"/>
          <w:szCs w:val="19"/>
          <w:u w:val="single" w:color="auto"/>
          <w:color w:val="auto"/>
        </w:rPr>
        <w:t>Annex Q (Management Plan)</w:t>
      </w:r>
      <w:r>
        <w:rPr>
          <w:rFonts w:ascii="Arial" w:cs="Arial" w:eastAsia="Arial" w:hAnsi="Arial"/>
          <w:sz w:val="19"/>
          <w:szCs w:val="19"/>
          <w:color w:val="auto"/>
        </w:rPr>
        <w:t xml:space="preserve"> to the Loan Agreement is replaced with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attached hereto and</w:t>
      </w:r>
    </w:p>
    <w:p>
      <w:pPr>
        <w:spacing w:after="0" w:line="3" w:lineRule="exact"/>
        <w:rPr>
          <w:sz w:val="20"/>
          <w:szCs w:val="20"/>
          <w:color w:val="auto"/>
        </w:rPr>
      </w:pPr>
    </w:p>
    <w:p>
      <w:pPr>
        <w:ind w:firstLine="8"/>
        <w:spacing w:after="0" w:line="236" w:lineRule="auto"/>
        <w:tabs>
          <w:tab w:leader="none" w:pos="405"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Section 6.15</w:t>
      </w:r>
      <w:r>
        <w:rPr>
          <w:rFonts w:ascii="Arial" w:cs="Arial" w:eastAsia="Arial" w:hAnsi="Arial"/>
          <w:sz w:val="22"/>
          <w:szCs w:val="22"/>
          <w:color w:val="auto"/>
        </w:rPr>
        <w:t xml:space="preserve"> of the Loan Agreement is amended to replace the percentage “seventy percent (70%)” with “one hundred percent (100%)”.</w:t>
      </w:r>
    </w:p>
    <w:p>
      <w:pPr>
        <w:spacing w:after="0" w:line="214" w:lineRule="exact"/>
        <w:rPr>
          <w:sz w:val="20"/>
          <w:szCs w:val="20"/>
          <w:color w:val="auto"/>
        </w:rPr>
      </w:pPr>
    </w:p>
    <w:p>
      <w:pPr>
        <w:jc w:val="both"/>
        <w:ind w:firstLine="1386"/>
        <w:spacing w:after="0" w:line="236" w:lineRule="auto"/>
        <w:rPr>
          <w:sz w:val="20"/>
          <w:szCs w:val="20"/>
          <w:color w:val="auto"/>
        </w:rPr>
      </w:pPr>
      <w:r>
        <w:rPr>
          <w:rFonts w:ascii="Arial" w:cs="Arial" w:eastAsia="Arial" w:hAnsi="Arial"/>
          <w:sz w:val="22"/>
          <w:szCs w:val="22"/>
          <w:color w:val="auto"/>
        </w:rPr>
        <w:t>This letter agreement shall be construed under and governed by the laws of the State of New York, and may be executed in any number of counterparts and by different parties on separate counterparts. Each of such counterparts shall be deemed to be an original, and all of such counterparts, taken together, shall constitute but one and the same agreement. Delivery of an executed counterpart of this letter agreement by facsimile or electronic mail shall be equally effective as delivery of a manually executed counterpart.</w:t>
      </w:r>
    </w:p>
    <w:p>
      <w:pPr>
        <w:sectPr>
          <w:pgSz w:w="11900" w:h="16838" w:orient="portrait"/>
          <w:cols w:equalWidth="0" w:num="1">
            <w:col w:w="11240"/>
          </w:cols>
          <w:pgMar w:left="320" w:top="1408" w:right="339" w:bottom="1440" w:gutter="0" w:footer="0" w:header="0"/>
        </w:sectPr>
      </w:pPr>
    </w:p>
    <w:bookmarkStart w:id="41" w:name="page42"/>
    <w:bookmarkEnd w:id="41"/>
    <w:p>
      <w:pPr>
        <w:ind w:firstLine="1386"/>
        <w:spacing w:after="0" w:line="250" w:lineRule="auto"/>
        <w:rPr>
          <w:sz w:val="20"/>
          <w:szCs w:val="20"/>
          <w:color w:val="auto"/>
        </w:rPr>
      </w:pPr>
      <w:r>
        <w:rPr>
          <w:rFonts w:ascii="Arial" w:cs="Arial" w:eastAsia="Arial" w:hAnsi="Arial"/>
          <w:sz w:val="22"/>
          <w:szCs w:val="22"/>
          <w:color w:val="auto"/>
        </w:rPr>
        <w:t>IN WITNESS WHEREOF, the undersigned have caused this letter agreement to be executed by their respective officers thereunto duly authorized, as of the date first above written.</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EXAGEN INC.</w:t>
      </w:r>
    </w:p>
    <w:p>
      <w:pPr>
        <w:spacing w:after="0" w:line="28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15875</wp:posOffset>
            </wp:positionV>
            <wp:extent cx="14916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Kamal Adawi</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 AND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INNOVATUS LIFE SCIENCES LENDING FUND I, LP</w:t>
      </w:r>
    </w:p>
    <w:p>
      <w:pPr>
        <w:spacing w:after="0" w:line="238" w:lineRule="auto"/>
        <w:rPr>
          <w:sz w:val="20"/>
          <w:szCs w:val="20"/>
          <w:color w:val="auto"/>
        </w:rPr>
      </w:pPr>
      <w:r>
        <w:rPr>
          <w:rFonts w:ascii="Arial" w:cs="Arial" w:eastAsia="Arial" w:hAnsi="Arial"/>
          <w:sz w:val="22"/>
          <w:szCs w:val="22"/>
          <w:color w:val="auto"/>
        </w:rPr>
        <w:t>By: Innovatus Life Sciences GP, LP</w:t>
      </w:r>
    </w:p>
    <w:p>
      <w:pPr>
        <w:spacing w:after="0"/>
        <w:rPr>
          <w:sz w:val="20"/>
          <w:szCs w:val="20"/>
          <w:color w:val="auto"/>
        </w:rPr>
      </w:pPr>
      <w:r>
        <w:rPr>
          <w:rFonts w:ascii="Arial" w:cs="Arial" w:eastAsia="Arial" w:hAnsi="Arial"/>
          <w:sz w:val="22"/>
          <w:szCs w:val="22"/>
          <w:color w:val="auto"/>
        </w:rPr>
        <w:t>Its: General Partner</w:t>
      </w:r>
    </w:p>
    <w:p>
      <w:pPr>
        <w:spacing w:after="0" w:line="25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Andrew Dym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15875</wp:posOffset>
            </wp:positionV>
            <wp:extent cx="2177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Andrew Dym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11040"/>
          </w:cols>
          <w:pgMar w:left="320" w:top="1414" w:right="5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120" w:firstLine="332"/>
        <w:spacing w:after="0" w:line="355" w:lineRule="auto"/>
        <w:tabs>
          <w:tab w:leader="none" w:pos="7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43" w:name="page44"/>
    <w:bookmarkEnd w:id="43"/>
    <w:p>
      <w:pPr>
        <w:ind w:left="-20" w:firstLine="332"/>
        <w:spacing w:after="0" w:line="355"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November 10, 2020</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340" w:top="1111" w:right="6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120" w:firstLine="332"/>
        <w:spacing w:after="0" w:line="355" w:lineRule="auto"/>
        <w:tabs>
          <w:tab w:leader="none" w:pos="7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45" w:name="page46"/>
    <w:bookmarkEnd w:id="45"/>
    <w:p>
      <w:pPr>
        <w:ind w:left="-20" w:firstLine="332"/>
        <w:spacing w:after="0" w:line="355"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November 10, 2020</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0860"/>
          </w:cols>
          <w:pgMar w:left="340" w:top="1111" w:right="6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50"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2020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2020</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50" w:lineRule="auto"/>
        <w:tabs>
          <w:tab w:leader="none" w:pos="11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2020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2020</w:t>
      </w:r>
    </w:p>
    <w:p>
      <w:pPr>
        <w:sectPr>
          <w:pgSz w:w="11900" w:h="16838" w:orient="portrait"/>
          <w:cols w:equalWidth="0" w:num="1">
            <w:col w:w="11240"/>
          </w:cols>
          <w:pgMar w:left="320" w:top="954" w:right="339" w:bottom="1440" w:gutter="0" w:footer="0" w:header="0"/>
        </w:sectPr>
      </w:pPr>
    </w:p>
    <w:bookmarkStart w:id="47" w:name="page48"/>
    <w:bookmarkEnd w:id="47"/>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1"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Roman"/>
      <w:start w:val="3"/>
    </w:lvl>
  </w:abstractNum>
  <w:abstractNum w:abstractNumId="9">
    <w:nsid w:val="7FDCC233"/>
    <w:multiLevelType w:val="hybridMultilevel"/>
    <w:lvl w:ilvl="0">
      <w:lvlJc w:val="left"/>
      <w:lvlText w:val="%1."/>
      <w:numFmt w:val="decimal"/>
      <w:start w:val="1"/>
    </w:lvl>
    <w:lvl w:ilvl="1">
      <w:lvlJc w:val="left"/>
      <w:lvlText w:val="(%2)"/>
      <w:numFmt w:val="lowerLetter"/>
      <w:start w:val="1"/>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5"/>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62" Type="http://schemas.openxmlformats.org/officeDocument/2006/relationships/hyperlink" Target="http://www.sec.gov/Archives/edgar/data/1274737/000119312519252366/d769261dex31.htm" TargetMode="External"/><Relationship Id="rId63" Type="http://schemas.openxmlformats.org/officeDocument/2006/relationships/hyperlink" Target="http://www.sec.gov/Archives/edgar/data/1274737/000119312519252366/d769261dex32.htm" TargetMode="External"/><Relationship Id="rId64" Type="http://schemas.openxmlformats.org/officeDocument/2006/relationships/hyperlink" Target="http://www.sec.gov/Archives/edgar/data/1274737/000119312519240403/d692844dex41.htm" TargetMode="External"/><Relationship Id="rId65" Type="http://schemas.openxmlformats.org/officeDocument/2006/relationships/hyperlink" Target="http://www.sec.gov/Archives/edgar/data/1274737/000119312519228011/d692844dex42.htm" TargetMode="External"/><Relationship Id="rId66" Type="http://schemas.openxmlformats.org/officeDocument/2006/relationships/hyperlink" Target="http://www.sec.gov/Archives/edgar/data/1274737/000119312519228011/d692844dex43.htm" TargetMode="External"/><Relationship Id="rId67" Type="http://schemas.openxmlformats.org/officeDocument/2006/relationships/hyperlink" Target="http://www.sec.gov/Archives/edgar/data/1274737/000119312519228011/d6928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2020-11-10T16:20:24Z</dcterms:created>
  <dcterms:modified xsi:type="dcterms:W3CDTF">2020-11-10T16:20:24Z</dcterms:modified>
</cp:coreProperties>
</file>