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 filed with the Securities and Exchange Commission on June 20, 2025</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Registration No. 333-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ans-serif" w:hAnsi="Times New Roman;sans-serif"/>
          <w:b/>
          <w:color w:val="000000"/>
          <w:sz w:val="36"/>
        </w:rPr>
      </w:pPr>
      <w:r>
        <w:rPr>
          <w:rFonts w:ascii="Times New Roman;sans-serif" w:hAnsi="Times New Roman;sans-serif"/>
          <w:b/>
          <w:color w:val="000000"/>
          <w:sz w:val="36"/>
        </w:rPr>
        <w:t>FORM S-3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REGISTRATION STATEMENT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UNDER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SECURITIES ACT OF 1933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EXAGEN INC.</w:t>
      </w:r>
    </w:p>
    <w:p>
      <w:pPr>
        <w:pStyle w:val="TextBody"/>
        <w:bidi w:val="0"/>
        <w:spacing w:lineRule="auto" w:line="288" w:before="0" w:after="6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622"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972"/>
        <w:gridCol w:w="972"/>
        <w:gridCol w:w="1386"/>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20-0434866</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Number</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1261 Liberty Way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Vista, CA 92081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(760) 560-1501</w:t>
      </w:r>
    </w:p>
    <w:p>
      <w:pPr>
        <w:pStyle w:val="TextBody"/>
        <w:bidi w:val="0"/>
        <w:spacing w:lineRule="auto" w:line="288" w:before="0" w:after="60"/>
        <w:jc w:val="center"/>
        <w:rPr>
          <w:rFonts w:ascii="Times New Roman;sans-serif" w:hAnsi="Times New Roman;sans-serif"/>
          <w:b w:val="false"/>
          <w:color w:val="000000"/>
          <w:sz w:val="16"/>
        </w:rPr>
      </w:pPr>
      <w:r>
        <w:rPr>
          <w:rFonts w:ascii="Times New Roman;sans-serif" w:hAnsi="Times New Roman;sans-serif"/>
          <w:b w:val="false"/>
          <w:color w:val="000000"/>
          <w:sz w:val="16"/>
        </w:rPr>
        <w:t>(Address, including zip code, and telephone number, including area code, of registrant’s principal executive offices)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John Aballi</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President and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Exagen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1261 Liberty Way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Vista, California 92081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(760) 560-1501</w:t>
      </w:r>
    </w:p>
    <w:p>
      <w:pPr>
        <w:pStyle w:val="TextBody"/>
        <w:bidi w:val="0"/>
        <w:spacing w:lineRule="auto" w:line="288" w:before="0" w:after="60"/>
        <w:jc w:val="center"/>
        <w:rPr>
          <w:rFonts w:ascii="Times New Roman;sans-serif" w:hAnsi="Times New Roman;sans-serif"/>
          <w:b w:val="false"/>
          <w:color w:val="000000"/>
          <w:sz w:val="16"/>
        </w:rPr>
      </w:pPr>
      <w:r>
        <w:rPr>
          <w:rFonts w:ascii="Times New Roman;sans-serif" w:hAnsi="Times New Roman;sans-serif"/>
          <w:b w:val="false"/>
          <w:color w:val="000000"/>
          <w:sz w:val="16"/>
        </w:rPr>
        <w:t>(Address, including zip code, and telephone number, including area code, of agent for service)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Copies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Scott M. Stanton, Esq.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Melanie Ruthrauff Levy, Esq.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Jason Miller, Esq.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Mintz, Levin, Cohn, Ferris, Glovsky and Popeo, P.C.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 Diego, CA 92130</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Tel: (858) 314-1500</w:t>
      </w:r>
    </w:p>
    <w:p>
      <w:pPr>
        <w:pStyle w:val="TextBody"/>
        <w:bidi w:val="0"/>
        <w:spacing w:lineRule="auto" w:line="288" w:before="0" w:after="60"/>
        <w:jc w:val="left"/>
        <w:rPr/>
      </w:pPr>
      <w:r>
        <w:rPr>
          <w:rFonts w:ascii="Times New Roman;sans-serif" w:hAnsi="Times New Roman;sans-serif"/>
          <w:b/>
          <w:color w:val="000000"/>
          <w:sz w:val="16"/>
        </w:rPr>
        <w:t>Approximate date of commencement of proposed sale to the public:</w:t>
      </w:r>
      <w:r>
        <w:rPr>
          <w:color w:val="000000"/>
        </w:rPr>
        <w:t> </w:t>
      </w:r>
      <w:r>
        <w:rPr>
          <w:rFonts w:ascii="Times New Roman;sans-serif" w:hAnsi="Times New Roman;sans-serif"/>
          <w:b w:val="false"/>
          <w:color w:val="000000"/>
          <w:sz w:val="16"/>
        </w:rPr>
        <w:t>From time to time after the effective date of this registration statement.</w:t>
      </w:r>
    </w:p>
    <w:p>
      <w:pPr>
        <w:pStyle w:val="TextBody"/>
        <w:bidi w:val="0"/>
        <w:spacing w:lineRule="auto" w:line="288" w:before="0" w:after="60"/>
        <w:jc w:val="left"/>
        <w:rPr/>
      </w:pPr>
      <w:r>
        <w:rPr>
          <w:rFonts w:ascii="Times New Roman;sans-serif" w:hAnsi="Times New Roman;sans-serif"/>
          <w:b w:val="false"/>
          <w:color w:val="000000"/>
          <w:sz w:val="16"/>
        </w:rPr>
        <w:t xml:space="preserve">If the only securities being registered on this Form are being offered pursuant to dividend or interest reinvestment plans, please check the following box. </w:t>
      </w:r>
      <w:r>
        <w:rPr>
          <w:color w:val="000000"/>
        </w:rPr>
        <w:t>☐</w:t>
      </w:r>
    </w:p>
    <w:p>
      <w:pPr>
        <w:pStyle w:val="TextBody"/>
        <w:bidi w:val="0"/>
        <w:spacing w:lineRule="auto" w:line="288" w:before="0" w:after="120"/>
        <w:jc w:val="left"/>
        <w:rPr/>
      </w:pPr>
      <w:r>
        <w:rPr>
          <w:rFonts w:ascii="Times New Roman;sans-serif" w:hAnsi="Times New Roman;sans-serif"/>
          <w:b w:val="false"/>
          <w:color w:val="000000"/>
          <w:sz w:val="16"/>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color w:val="000000"/>
        </w:rPr>
        <w:t>☒</w:t>
      </w:r>
    </w:p>
    <w:p>
      <w:pPr>
        <w:pStyle w:val="TextBody"/>
        <w:bidi w:val="0"/>
        <w:spacing w:lineRule="auto" w:line="288" w:before="0" w:after="60"/>
        <w:jc w:val="left"/>
        <w:rPr/>
      </w:pPr>
      <w:r>
        <w:rPr>
          <w:rFonts w:ascii="Times New Roman;sans-serif" w:hAnsi="Times New Roman;sans-serif"/>
          <w:b w:val="false"/>
          <w:color w:val="000000"/>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color w:val="000000"/>
        </w:rPr>
        <w:t>☐</w:t>
      </w:r>
    </w:p>
    <w:p>
      <w:pPr>
        <w:pStyle w:val="TextBody"/>
        <w:bidi w:val="0"/>
        <w:spacing w:lineRule="auto" w:line="288" w:before="0" w:after="60"/>
        <w:jc w:val="left"/>
        <w:rPr/>
      </w:pPr>
      <w:r>
        <w:rPr>
          <w:rFonts w:ascii="Times New Roman;sans-serif" w:hAnsi="Times New Roman;sans-serif"/>
          <w:b w:val="false"/>
          <w:color w:val="000000"/>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color w:val="000000"/>
        </w:rPr>
        <w:t>☐</w:t>
      </w:r>
    </w:p>
    <w:p>
      <w:pPr>
        <w:pStyle w:val="TextBody"/>
        <w:bidi w:val="0"/>
        <w:spacing w:lineRule="auto" w:line="288" w:before="0" w:after="120"/>
        <w:jc w:val="left"/>
        <w:rPr/>
      </w:pPr>
      <w:r>
        <w:rPr>
          <w:rFonts w:ascii="Times New Roman;sans-serif" w:hAnsi="Times New Roman;sans-serif"/>
          <w:b w:val="false"/>
          <w:color w:val="000000"/>
          <w:sz w:val="16"/>
        </w:rPr>
        <w:t xml:space="preserve">If this Form is a registration statement pursuant to General Instruction I.D. or a post-effective amendment thereto that shall become effective on filing with the Commission pursuant to Rule 462(e) under the Securities Act, check the following box. </w:t>
      </w:r>
      <w:r>
        <w:rPr>
          <w:color w:val="000000"/>
        </w:rPr>
        <w:t>☐</w:t>
      </w:r>
    </w:p>
    <w:p>
      <w:pPr>
        <w:pStyle w:val="TextBody"/>
        <w:bidi w:val="0"/>
        <w:spacing w:lineRule="auto" w:line="288" w:before="0" w:after="60"/>
        <w:jc w:val="left"/>
        <w:rPr/>
      </w:pPr>
      <w:r>
        <w:rPr>
          <w:rFonts w:ascii="Times New Roman;sans-serif" w:hAnsi="Times New Roman;sans-serif"/>
          <w:b w:val="false"/>
          <w:color w:val="000000"/>
          <w:sz w:val="16"/>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color w:val="000000"/>
        </w:rPr>
        <w:t>☐</w:t>
      </w:r>
    </w:p>
    <w:p>
      <w:pPr>
        <w:pStyle w:val="TextBody"/>
        <w:bidi w:val="0"/>
        <w:spacing w:lineRule="auto" w:line="288" w:before="0" w:after="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301" w:type="dxa"/>
        <w:jc w:val="left"/>
        <w:tblInd w:w="0" w:type="dxa"/>
        <w:tblLayout w:type="fixed"/>
        <w:tblCellMar>
          <w:top w:w="28" w:type="dxa"/>
          <w:left w:w="28" w:type="dxa"/>
          <w:bottom w:w="28" w:type="dxa"/>
          <w:right w:w="28" w:type="dxa"/>
        </w:tblCellMar>
      </w:tblPr>
      <w:tblGrid>
        <w:gridCol w:w="711"/>
        <w:gridCol w:w="626"/>
        <w:gridCol w:w="628"/>
        <w:gridCol w:w="109"/>
        <w:gridCol w:w="109"/>
        <w:gridCol w:w="109"/>
        <w:gridCol w:w="109"/>
        <w:gridCol w:w="109"/>
        <w:gridCol w:w="109"/>
        <w:gridCol w:w="769"/>
        <w:gridCol w:w="769"/>
        <w:gridCol w:w="772"/>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0" w:after="60"/>
        <w:jc w:val="left"/>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w:t>
      </w:r>
      <w:r>
        <w:rPr>
          <w:rFonts w:ascii="Times New Roman;sans-serif" w:hAnsi="Times New Roman;sans-serif"/>
          <w:b w:val="false"/>
          <w:color w:val="000000"/>
          <w:sz w:val="20"/>
        </w:rPr>
        <w:t xml:space="preserve">l </w:t>
      </w:r>
      <w:r>
        <w:rPr>
          <w:rFonts w:ascii="Times New Roman;sans-serif" w:hAnsi="Times New Roman;sans-serif"/>
          <w:b w:val="false"/>
          <w:color w:val="000000"/>
          <w:sz w:val="16"/>
        </w:rPr>
        <w:t xml:space="preserve">accounting standards provided pursuant to Section 7(a)(2)(B) of Securities Act. </w:t>
      </w:r>
      <w:r>
        <w:rPr>
          <w:color w:val="000000"/>
        </w:rPr>
        <w:t>☐</w:t>
      </w:r>
    </w:p>
    <w:p>
      <w:pPr>
        <w:pStyle w:val="TextBody"/>
        <w:bidi w:val="0"/>
        <w:spacing w:lineRule="auto" w:line="288" w:before="0" w:after="60"/>
        <w:jc w:val="left"/>
        <w:rPr>
          <w:rFonts w:ascii="Times New Roman;sans-serif" w:hAnsi="Times New Roman;sans-serif"/>
          <w:b/>
          <w:color w:val="000000"/>
          <w:sz w:val="16"/>
        </w:rPr>
      </w:pPr>
      <w:r>
        <w:rPr>
          <w:rFonts w:ascii="Times New Roman;sans-serif" w:hAnsi="Times New Roman;sans-serif"/>
          <w:b/>
          <w:color w:val="000000"/>
          <w:sz w:val="16"/>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left"/>
        <w:rPr>
          <w:rFonts w:ascii="Times New Roman;sans-serif" w:hAnsi="Times New Roman;sans-serif"/>
          <w:b/>
          <w:color w:val="F1665F"/>
          <w:sz w:val="20"/>
        </w:rPr>
      </w:pPr>
      <w:r>
        <w:rPr>
          <w:rFonts w:ascii="Times New Roman;sans-serif" w:hAnsi="Times New Roman;sans-serif"/>
          <w:b/>
          <w:color w:val="F1665F"/>
          <w:sz w:val="20"/>
        </w:rPr>
        <w:t>The information in this preliminary prospectus is not complete and may be amended or completed. These securities may not be sold until the registration statement filed with the U.S. Securities and Exchange Commission is effective. This preliminary prospectus is not an offer to sell these securities and it is not soliciting an offer to buy these securities in any jurisdiction where the offer or sale is not permitted.</w:t>
      </w:r>
    </w:p>
    <w:p>
      <w:pPr>
        <w:pStyle w:val="TextBody"/>
        <w:bidi w:val="0"/>
        <w:spacing w:lineRule="auto" w:line="288" w:before="0" w:after="180"/>
        <w:jc w:val="center"/>
        <w:rPr>
          <w:rFonts w:ascii="Times New Roman;sans-serif" w:hAnsi="Times New Roman;sans-serif"/>
          <w:b/>
          <w:color w:val="F1665F"/>
          <w:sz w:val="20"/>
        </w:rPr>
      </w:pPr>
      <w:r>
        <w:rPr>
          <w:rFonts w:ascii="Times New Roman;sans-serif" w:hAnsi="Times New Roman;sans-serif"/>
          <w:b/>
          <w:color w:val="F1665F"/>
          <w:sz w:val="20"/>
        </w:rPr>
        <w:t>SUBJECT TO COMPLETION, DATED JUNE 20, 2025</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PROSPECTUS</w:t>
      </w:r>
    </w:p>
    <w:p>
      <w:pPr>
        <w:pStyle w:val="TextBody"/>
        <w:bidi w:val="0"/>
        <w:spacing w:before="0" w:after="180"/>
        <w:jc w:val="center"/>
        <w:rPr/>
      </w:pPr>
      <w:r>
        <w:rPr/>
        <w:drawing>
          <wp:inline distT="0" distB="0" distL="0" distR="0">
            <wp:extent cx="2476500" cy="9048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476500" cy="904875"/>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Exagen Inc.</w:t>
      </w:r>
    </w:p>
    <w:p>
      <w:pPr>
        <w:pStyle w:val="TextBody"/>
        <w:bidi w:val="0"/>
        <w:spacing w:lineRule="auto" w:line="288" w:before="0" w:after="180"/>
        <w:jc w:val="center"/>
        <w:rPr>
          <w:rFonts w:ascii="Times New Roman;sans-serif" w:hAnsi="Times New Roman;sans-serif"/>
          <w:b/>
          <w:color w:val="000000"/>
          <w:sz w:val="36"/>
        </w:rPr>
      </w:pPr>
      <w:r>
        <w:rPr>
          <w:rFonts w:ascii="Times New Roman;sans-serif" w:hAnsi="Times New Roman;sans-serif"/>
          <w:b/>
          <w:color w:val="000000"/>
          <w:sz w:val="36"/>
        </w:rPr>
        <w:t>Up to 1,150,000 Shares of Common Stock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This prospectus relates to the resale by the selling stockholder named herein, or its pledgees, donees, transferees or other successors in interest, from time to time, of up to 1,150,000 shares, or the Shares, of our common stock, par value $0.001 per share, or common stock, issuable upon exercise of a warrant certificate, or the Warrant Certificate, granted to Perceptive Credit Holdings IV, LP, or Perceptive, in connection with that certain Credit Agreement and Guaranty, or the Credit Agreement, dated as of April 25, 2025, by and between us and Perceptive, as lender and administrative agent. 400,000 Shares vested and became exercisable on the Closing Date (as defined below), 150,000 Shares will vest and become exercisable on the Tranche B Borrowing Date (as defined below), 150,000 Shares will vest and become exercisable on the Tranche C Borrowing Date (as defined below) and 450,000 Shares will vest and become exercisable on the Tranche D Borrowing Date (as defined below). We are registering the Shares on behalf of the selling stockholder, to be offered and sold from time to time, to satisfy certain registration rights that we have granted to the selling stockholder.</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selling stockholder may resell or dispose of the Shares, or interests therein, at fixed prices, at prevailing market prices at the time of sale or at prices negotiated with purchasers, to or through underwriters, broker-dealers, agents, or through any other means described in the section of this prospectus entitled “Plan of Distribution.” The selling stockholder will bear its respective commissions and discounts, if any, attributable to the sale or disposition of the Shares, or interests therein, held by such selling stockholder. We will bear all costs, expenses and fees in connection with the registration of the Shares. We will not receive any of the proceeds from the sale of the Shares by the selling stockholder. To the extent the Warrant Certificate is exercised on a cash basis, if at all, we will receive proceeds from the exercise of the Warrant Certificate.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on the Nasdaq Global Market under the symbol “XGN.” On June 18, 2025, the last reported sale price of our common stock on the Nasdaq Global Market was $7.36 per share.</w:t>
      </w:r>
    </w:p>
    <w:p>
      <w:pPr>
        <w:pStyle w:val="TextBody"/>
        <w:bidi w:val="0"/>
        <w:spacing w:lineRule="auto" w:line="288" w:before="0" w:after="180"/>
        <w:jc w:val="left"/>
        <w:rPr/>
      </w:pPr>
      <w:r>
        <w:rPr>
          <w:rFonts w:ascii="Times New Roman;sans-serif" w:hAnsi="Times New Roman;sans-serif"/>
          <w:b/>
          <w:color w:val="000000"/>
          <w:sz w:val="20"/>
        </w:rPr>
        <w:t>INVESTING IN OUR SECURITIES INVOLVES RISKS. SEE THE “</w:t>
      </w:r>
      <w:hyperlink w:anchor="i5ecf4447730447c281632288ae7798db_19">
        <w:r>
          <w:rPr>
            <w:rStyle w:val="InternetLink"/>
            <w:rFonts w:ascii="Times New Roman;sans-serif" w:hAnsi="Times New Roman;sans-serif"/>
            <w:b/>
            <w:color w:val="0000FF"/>
            <w:sz w:val="20"/>
            <w:u w:val="single"/>
          </w:rPr>
          <w:t>RISK FACTORS</w:t>
        </w:r>
      </w:hyperlink>
      <w:r>
        <w:rPr>
          <w:color w:val="000000"/>
        </w:rPr>
        <w:t xml:space="preserve">” </w:t>
      </w:r>
      <w:r>
        <w:rPr>
          <w:rFonts w:ascii="Times New Roman;sans-serif" w:hAnsi="Times New Roman;sans-serif"/>
          <w:b/>
          <w:color w:val="000000"/>
          <w:sz w:val="20"/>
        </w:rPr>
        <w:t xml:space="preserve">BEGINNING ON PAGE </w:t>
      </w:r>
      <w:hyperlink w:anchor="i5ecf4447730447c281632288ae7798db_19">
        <w:r>
          <w:rPr>
            <w:rStyle w:val="InternetLink"/>
            <w:rFonts w:ascii="Times New Roman;sans-serif" w:hAnsi="Times New Roman;sans-serif"/>
            <w:b/>
            <w:color w:val="0000FF"/>
            <w:sz w:val="20"/>
            <w:u w:val="single"/>
          </w:rPr>
          <w:t>6</w:t>
        </w:r>
      </w:hyperlink>
      <w:r>
        <w:rPr>
          <w:color w:val="000000"/>
        </w:rPr>
        <w:t xml:space="preserve"> </w:t>
      </w:r>
      <w:r>
        <w:rPr>
          <w:rFonts w:ascii="Times New Roman;sans-serif" w:hAnsi="Times New Roman;sans-serif"/>
          <w:b/>
          <w:color w:val="000000"/>
          <w:sz w:val="20"/>
        </w:rPr>
        <w:t>OR INCORPORATED BY REFERENCE IN THIS PROSPECTUS CONCERNING FACTORS YOU SHOULD CONSIDER BEFORE INVESTING IN OUR SHARES.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The date of this prospectus is                         ,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6840" w:type="dxa"/>
        <w:jc w:val="left"/>
        <w:tblInd w:w="0" w:type="dxa"/>
        <w:tblLayout w:type="fixed"/>
        <w:tblCellMar>
          <w:top w:w="28" w:type="dxa"/>
          <w:left w:w="28" w:type="dxa"/>
          <w:bottom w:w="28" w:type="dxa"/>
          <w:right w:w="28" w:type="dxa"/>
        </w:tblCellMar>
      </w:tblPr>
      <w:tblGrid>
        <w:gridCol w:w="2291"/>
        <w:gridCol w:w="2014"/>
        <w:gridCol w:w="2024"/>
        <w:gridCol w:w="149"/>
        <w:gridCol w:w="149"/>
        <w:gridCol w:w="213"/>
      </w:tblGrid>
      <w:tr>
        <w:trPr/>
        <w:tc>
          <w:tcPr>
            <w:tcW w:w="2291"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5ecf4447730447c281632288ae7798db_10">
              <w:r>
                <w:rPr>
                  <w:rStyle w:val="InternetLink"/>
                  <w:rFonts w:ascii="Times New Roman;sans-serif" w:hAnsi="Times New Roman;sans-serif"/>
                  <w:b w:val="false"/>
                  <w:color w:val="0000FF"/>
                  <w:sz w:val="20"/>
                  <w:u w:val="single"/>
                </w:rPr>
                <w:t>ABOUT THIS PROSPECTUS</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5ecf4447730447c281632288ae7798db_10">
              <w:r>
                <w:rPr>
                  <w:rStyle w:val="InternetLink"/>
                  <w:rFonts w:ascii="Times New Roman;sans-serif" w:hAnsi="Times New Roman;sans-serif"/>
                  <w:b w:val="false"/>
                  <w:color w:val="0000FF"/>
                  <w:sz w:val="20"/>
                  <w:u w:val="single"/>
                </w:rPr>
                <w:t>1</w:t>
              </w:r>
            </w:hyperlink>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5ecf4447730447c281632288ae7798db_13">
              <w:r>
                <w:rPr>
                  <w:rStyle w:val="InternetLink"/>
                  <w:rFonts w:ascii="Times New Roman;sans-serif" w:hAnsi="Times New Roman;sans-serif"/>
                  <w:b w:val="false"/>
                  <w:color w:val="0000FF"/>
                  <w:sz w:val="20"/>
                  <w:u w:val="single"/>
                </w:rPr>
                <w:t>SUMMARY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cf4447730447c281632288ae7798db_13">
              <w:r>
                <w:rPr>
                  <w:rStyle w:val="InternetLink"/>
                  <w:rFonts w:ascii="Times New Roman;sans-serif" w:hAnsi="Times New Roman;sans-serif"/>
                  <w:b w:val="false"/>
                  <w:color w:val="0000FF"/>
                  <w:sz w:val="20"/>
                  <w:u w:val="single"/>
                </w:rPr>
                <w:t>2</w:t>
              </w:r>
            </w:hyperlink>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5ecf4447730447c281632288ae7798db_16">
              <w:r>
                <w:rPr>
                  <w:rStyle w:val="InternetLink"/>
                  <w:rFonts w:ascii="Times New Roman;sans-serif" w:hAnsi="Times New Roman;sans-serif"/>
                  <w:b w:val="false"/>
                  <w:color w:val="0000FF"/>
                  <w:sz w:val="20"/>
                  <w:u w:val="single"/>
                </w:rPr>
                <w:t>THE OFFERING</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cf4447730447c281632288ae7798db_16">
              <w:r>
                <w:rPr>
                  <w:rStyle w:val="InternetLink"/>
                  <w:rFonts w:ascii="Times New Roman;sans-serif" w:hAnsi="Times New Roman;sans-serif"/>
                  <w:b w:val="false"/>
                  <w:color w:val="0000FF"/>
                  <w:sz w:val="20"/>
                  <w:u w:val="single"/>
                </w:rPr>
                <w:t>5</w:t>
              </w:r>
            </w:hyperlink>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5ecf4447730447c281632288ae7798db_19">
              <w:r>
                <w:rPr>
                  <w:rStyle w:val="InternetLink"/>
                  <w:rFonts w:ascii="Times New Roman;sans-serif" w:hAnsi="Times New Roman;sans-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cf4447730447c281632288ae7798db_19">
              <w:r>
                <w:rPr>
                  <w:rStyle w:val="InternetLink"/>
                  <w:rFonts w:ascii="Times New Roman;sans-serif" w:hAnsi="Times New Roman;sans-serif"/>
                  <w:b w:val="false"/>
                  <w:color w:val="0000FF"/>
                  <w:sz w:val="20"/>
                  <w:u w:val="single"/>
                </w:rPr>
                <w:t>6</w:t>
              </w:r>
            </w:hyperlink>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5ecf4447730447c281632288ae7798db_22">
              <w:r>
                <w:rPr>
                  <w:rStyle w:val="InternetLink"/>
                  <w:rFonts w:ascii="Times New Roman;sans-serif" w:hAnsi="Times New Roman;sans-serif"/>
                  <w:b w:val="false"/>
                  <w:color w:val="0000FF"/>
                  <w:sz w:val="20"/>
                  <w:u w:val="single"/>
                </w:rPr>
                <w:t>CAUTIONARY NOTE REGARDING 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cf4447730447c281632288ae7798db_22">
              <w:r>
                <w:rPr>
                  <w:rStyle w:val="InternetLink"/>
                  <w:rFonts w:ascii="Times New Roman;sans-serif" w:hAnsi="Times New Roman;sans-serif"/>
                  <w:b w:val="false"/>
                  <w:color w:val="0000FF"/>
                  <w:sz w:val="20"/>
                  <w:u w:val="single"/>
                </w:rPr>
                <w:t>7</w:t>
              </w:r>
            </w:hyperlink>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5ecf4447730447c281632288ae7798db_28">
              <w:r>
                <w:rPr>
                  <w:rStyle w:val="InternetLink"/>
                  <w:rFonts w:ascii="Times New Roman;sans-serif" w:hAnsi="Times New Roman;sans-serif"/>
                  <w:b w:val="false"/>
                  <w:color w:val="0000FF"/>
                  <w:sz w:val="20"/>
                  <w:u w:val="single"/>
                </w:rPr>
                <w:t>SELLING STOCKHOLDER</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cf4447730447c281632288ae7798db_28">
              <w:r>
                <w:rPr>
                  <w:rStyle w:val="InternetLink"/>
                  <w:rFonts w:ascii="Times New Roman;sans-serif" w:hAnsi="Times New Roman;sans-serif"/>
                  <w:b w:val="false"/>
                  <w:color w:val="0000FF"/>
                  <w:sz w:val="20"/>
                  <w:u w:val="single"/>
                </w:rPr>
                <w:t>10</w:t>
              </w:r>
            </w:hyperlink>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5ecf4447730447c281632288ae7798db_31">
              <w:r>
                <w:rPr>
                  <w:rStyle w:val="InternetLink"/>
                  <w:rFonts w:ascii="Times New Roman;sans-serif" w:hAnsi="Times New Roman;sans-serif"/>
                  <w:b w:val="false"/>
                  <w:color w:val="0000FF"/>
                  <w:sz w:val="20"/>
                  <w:u w:val="single"/>
                </w:rPr>
                <w:t>PLAN OF DISTRIBUTION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cf4447730447c281632288ae7798db_31">
              <w:r>
                <w:rPr>
                  <w:rStyle w:val="InternetLink"/>
                  <w:rFonts w:ascii="Times New Roman;sans-serif" w:hAnsi="Times New Roman;sans-serif"/>
                  <w:b w:val="false"/>
                  <w:color w:val="0000FF"/>
                  <w:sz w:val="20"/>
                  <w:u w:val="single"/>
                </w:rPr>
                <w:t>12</w:t>
              </w:r>
            </w:hyperlink>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5ecf4447730447c281632288ae7798db_34">
              <w:r>
                <w:rPr>
                  <w:rStyle w:val="InternetLink"/>
                  <w:rFonts w:ascii="Times New Roman;sans-serif" w:hAnsi="Times New Roman;sans-serif"/>
                  <w:b w:val="false"/>
                  <w:color w:val="0000FF"/>
                  <w:sz w:val="20"/>
                  <w:u w:val="single"/>
                </w:rPr>
                <w:t>DESCRIPTION OF CAPITAL STOCK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cf4447730447c281632288ae7798db_34">
              <w:r>
                <w:rPr>
                  <w:rStyle w:val="InternetLink"/>
                  <w:rFonts w:ascii="Times New Roman;sans-serif" w:hAnsi="Times New Roman;sans-serif"/>
                  <w:b w:val="false"/>
                  <w:color w:val="0000FF"/>
                  <w:sz w:val="20"/>
                  <w:u w:val="single"/>
                </w:rPr>
                <w:t>15</w:t>
              </w:r>
            </w:hyperlink>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5ecf4447730447c281632288ae7798db_37">
              <w:r>
                <w:rPr>
                  <w:rStyle w:val="InternetLink"/>
                  <w:rFonts w:ascii="Times New Roman;sans-serif" w:hAnsi="Times New Roman;sans-serif"/>
                  <w:b w:val="false"/>
                  <w:color w:val="0000FF"/>
                  <w:sz w:val="20"/>
                  <w:u w:val="single"/>
                </w:rPr>
                <w:t>LEGAL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cf4447730447c281632288ae7798db_37">
              <w:r>
                <w:rPr>
                  <w:rStyle w:val="InternetLink"/>
                  <w:rFonts w:ascii="Times New Roman;sans-serif" w:hAnsi="Times New Roman;sans-serif"/>
                  <w:b w:val="false"/>
                  <w:color w:val="0000FF"/>
                  <w:sz w:val="20"/>
                  <w:u w:val="single"/>
                </w:rPr>
                <w:t>19</w:t>
              </w:r>
            </w:hyperlink>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5ecf4447730447c281632288ae7798db_40">
              <w:r>
                <w:rPr>
                  <w:rStyle w:val="InternetLink"/>
                  <w:rFonts w:ascii="Times New Roman;sans-serif" w:hAnsi="Times New Roman;sans-serif"/>
                  <w:b w:val="false"/>
                  <w:color w:val="0000FF"/>
                  <w:sz w:val="20"/>
                  <w:u w:val="single"/>
                </w:rPr>
                <w:t>EXPERTS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cf4447730447c281632288ae7798db_40">
              <w:r>
                <w:rPr>
                  <w:rStyle w:val="InternetLink"/>
                  <w:rFonts w:ascii="Times New Roman;sans-serif" w:hAnsi="Times New Roman;sans-serif"/>
                  <w:b w:val="false"/>
                  <w:color w:val="0000FF"/>
                  <w:sz w:val="20"/>
                  <w:u w:val="single"/>
                </w:rPr>
                <w:t>19</w:t>
              </w:r>
            </w:hyperlink>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5ecf4447730447c281632288ae7798db_43">
              <w:r>
                <w:rPr>
                  <w:rStyle w:val="InternetLink"/>
                  <w:rFonts w:ascii="Times New Roman;sans-serif" w:hAnsi="Times New Roman;sans-serif"/>
                  <w:b w:val="false"/>
                  <w:color w:val="0000FF"/>
                  <w:sz w:val="20"/>
                  <w:u w:val="single"/>
                </w:rPr>
                <w:t>WHERE YOU CAN FIND MORE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cf4447730447c281632288ae7798db_43">
              <w:r>
                <w:rPr>
                  <w:rStyle w:val="InternetLink"/>
                  <w:rFonts w:ascii="Times New Roman;sans-serif" w:hAnsi="Times New Roman;sans-serif"/>
                  <w:b w:val="false"/>
                  <w:color w:val="0000FF"/>
                  <w:sz w:val="20"/>
                  <w:u w:val="single"/>
                </w:rPr>
                <w:t>19</w:t>
              </w:r>
            </w:hyperlink>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5ecf4447730447c281632288ae7798db_46">
              <w:r>
                <w:rPr>
                  <w:rStyle w:val="InternetLink"/>
                  <w:rFonts w:ascii="Times New Roman;sans-serif" w:hAnsi="Times New Roman;sans-serif"/>
                  <w:b w:val="false"/>
                  <w:color w:val="0000FF"/>
                  <w:sz w:val="20"/>
                  <w:u w:val="single"/>
                </w:rPr>
                <w:t>INCORPORATION BY REFERENCE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cf4447730447c281632288ae7798db_46">
              <w:r>
                <w:rPr>
                  <w:rStyle w:val="InternetLink"/>
                  <w:rFonts w:ascii="Times New Roman;sans-serif" w:hAnsi="Times New Roman;sans-serif"/>
                  <w:b w:val="false"/>
                  <w:color w:val="0000FF"/>
                  <w:sz w:val="20"/>
                  <w:u w:val="single"/>
                </w:rPr>
                <w:t>20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ABOUT THIS PROSPECTUS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This prospectus is part of a registration statement that we filed with the U.S. Securities and Exchange Commission, or the SEC, pursuant to which the selling stockholder named herein may, from time to time, offer and sell or otherwise dispose of the shares of our common stock covered by this prospectus. You should not assume that the information contained in this prospectus is accurate on any date subsequent to the date set forth on the front cover of this prospectus or that any information we have incorporated by reference is correct on any date subsequent to the date of the document incorporated by reference, even though this prospectus is delivered or shares of common stock are sold or otherwise disposed of on a later date. It is important for you to read and consider all information contained in this prospectus, including the documents incorporated by reference therein, in making your investment decision. You should also read and consider the information in the documents to which we have referred you under “Where You Can Find Additional Information” and “Information Incorporated by Reference” in this prospectus.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Neither we, nor the selling stockholder, have authorized anyone to provide you with any information or to make any representations other than those contained or incorporated by reference in this prospectus, any post-effective amendment, or any applicable prospectus supplement prepared by or on behalf of us or to which we have referred you. We and the selling stockholder take no responsibility for and can provide no assurance as to the reliability of any other information that others may give you. We and the selling stockholder will not make an offer to sell these securities in any jurisdiction where the offer or sale is not permitted. You should assume that the information appearing in this prospectus, any post-effective amendment and any applicable prospectus supplement to this prospectus is accurate only as of the date on its respective cover. Our business, financial condition, results of operations and prospects may have changed since those dates. This prospectus incorporates by reference, and any post-effective amendment or any prospectus supplement may contain or incorporate by reference, market data and industry statistics and forecasts that are based on independent industry publications and other publicly available information.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believe these sources are reliable, we do not guarantee the accuracy or completeness of this information and we have not independently verified this information. In addition, the market and industry data and forecasts that may be incorporated by reference in this prospectus, any post-effective amendment or any prospectus supplement may involve estimates, assumptions and other risks and uncertainties and are subject to change based on various factors, including those discussed under the heading “Risk Factors” incorporated by reference in this prospectus, any post-effective amendment and any applicable prospectus supplement. Accordingly, investors should not place undue reliance on this information.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When we refer to “Exagen,” “we,” “our,” “us” and the “Company” in this prospectus, we mean Exagen Inc., unless otherwise specified. When we refer to “you,” we mean the potential purchasers of the Shares.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Solely for convenience, the trademarks and trade names in this prospectus are referred to without the ® and ™ symbols, but such references should not be construed as any indicator that their respective owners will not assert, to the fullest extent under applicable law, their rights thereto. All other trademarks, trade names and service marks appearing in this prospectus are the property of their respective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SUMMARY</w:t>
      </w:r>
    </w:p>
    <w:p>
      <w:pPr>
        <w:pStyle w:val="TextBody"/>
        <w:bidi w:val="0"/>
        <w:spacing w:lineRule="auto" w:line="288" w:before="0" w:after="180"/>
        <w:jc w:val="left"/>
        <w:rPr>
          <w:rFonts w:ascii="Times New Roman;sans-serif" w:hAnsi="Times New Roman;sans-serif"/>
          <w:b w:val="false"/>
          <w:i/>
          <w:color w:val="000000"/>
          <w:sz w:val="20"/>
          <w:bdr w:val="single" w:sz="8" w:space="36" w:color="000000"/>
        </w:rPr>
      </w:pPr>
      <w:r>
        <w:rPr>
          <w:rFonts w:ascii="Times New Roman;sans-serif" w:hAnsi="Times New Roman;sans-serif"/>
          <w:b w:val="false"/>
          <w:i/>
          <w:color w:val="000000"/>
          <w:sz w:val="20"/>
          <w:bdr w:val="single" w:sz="8" w:space="36" w:color="000000"/>
        </w:rPr>
        <w:t>The following summary highlights information contained elsewhere in this prospectus. This summary is not complete and does not contain all of the information that you need to consider before making an investment decision. For a more complete understanding of our company, you should read and consider carefully the more detailed information included or incorporated by reference in this prospectus and any applicable prospectus supplement, including the factors described under the heading “Risk Factors” of this prospectus, as well as the information incorporated by reference from our most recent Annual Report on Form 10-K and our most recent Quarterly Report on Form 10-Q, before making an investment decision.</w:t>
      </w:r>
    </w:p>
    <w:p>
      <w:pPr>
        <w:pStyle w:val="TextBody"/>
        <w:bidi w:val="0"/>
        <w:spacing w:lineRule="auto" w:line="288" w:before="0" w:after="180"/>
        <w:jc w:val="left"/>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Overview of the Company</w:t>
      </w:r>
    </w:p>
    <w:p>
      <w:pPr>
        <w:pStyle w:val="TextBody"/>
        <w:bidi w:val="0"/>
        <w:spacing w:lineRule="auto" w:line="288" w:before="0" w:after="180"/>
        <w:jc w:val="left"/>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We are a medical technology company primarily focused on the design, development and commercialization of a next-generation portfolio of innovative testing products under our AVISE® brand, which allow for the differential diagnosis, prognosis and monitoring of complex rheumatic, autoimmune and autoimmune-related disease including, among others, systemic lupus erythematosus and rheumatoid arthritis. We believe our strong focus and extensive background in the field of rheumatology, combined with our commitment to exceptional customer service and support, position us well to respond to the needs of rheumatologists, primary care physicians, other specialists, and the patients they serve.</w:t>
      </w:r>
    </w:p>
    <w:p>
      <w:pPr>
        <w:pStyle w:val="TextBody"/>
        <w:bidi w:val="0"/>
        <w:spacing w:lineRule="auto" w:line="288" w:before="0" w:after="180"/>
        <w:jc w:val="left"/>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Recent Developments</w:t>
      </w:r>
    </w:p>
    <w:p>
      <w:pPr>
        <w:pStyle w:val="TextBody"/>
        <w:bidi w:val="0"/>
        <w:spacing w:lineRule="auto" w:line="288" w:before="0" w:after="180"/>
        <w:jc w:val="left"/>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Perceptive Term Loan Facility</w:t>
      </w:r>
    </w:p>
    <w:p>
      <w:pPr>
        <w:pStyle w:val="TextBody"/>
        <w:bidi w:val="0"/>
        <w:spacing w:lineRule="auto" w:line="288" w:before="0" w:after="180"/>
        <w:jc w:val="left"/>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On April 25, 2025, or the Closing Date, we entered into the Credit Agreement with Perceptive, as lender and administrative agent, which provides for a senior secured delayed draw term loan facility in an aggregate principal amount of up to $75.0 million, or the Perceptive Term Loan Facility. An initial tranche of $25.0 million, or the Tranche A Loan, was funded under the Perceptive Term Loan Facility on the Closing Date. In addition to the Tranche A Loan, the Perceptive Term Loan Facility includes (i) available through March 31, 2026, an additional Tranche B Loan in an aggregate amount of up to $10.0 million, or the Tranche B Loan, (ii) available from March 31, 2026 through December 31, 2026, an additional Tranche C Loan in an aggregate amount of up to $10.0 million, or the Tranche C Loan and (iii) until March 31, 2027, an additional Tranche D Loan in an aggregate amount of up to $30.0 million, or the Tranche D Loan, and together with the Tranche A Loan, the Tranche B Loan, and the Tranche C Loan, the Term Loans, each of which will be accessible by us so long as we satisfy certain customary conditions precedent, including specified revenue milestones (the funding date of the Tranche B Loan, will be known as the Tranche B Borrowing Date, the funding date of the Tranche C Loan, will be known as the Tranche C Borrowing Date, and the funding date of the Tranche D Loan, will be known as the Tranche D Borrowing Date) and, for the Tranche D Loan, subject to certain business development milestones. The Perceptive Term Loan Facility has a maturity date of April 25, 2030, or the Maturity Date, and provides for an interest-only period during the term of the loan with principal due at the Maturity Date. The Perceptive Term Loan Facility accrues interest at an annual rate equal to the greater of (a) Term SOFR (as defined in the Credit Agreement) and (b) 4.75% per annum, plus an applicable margin of 7%. Accrued interest on the Term Loans is payable monthly in arrears. These interest rates are subject to adjustment as described further in the Credit Agreement and the Term Loans may be redeemed at a premium as described further in the Credit Agreement. In connection with the Credit Agreement, we also entered into a Security Agreement, dated as of the Closing Date, with Perceptive, pursuant to which all of our obligations under the Credit Agreement are secured by a first lien perfected security interest on substantially all of our existing and after-acquired assets, subject to customary exceptions.</w:t>
      </w:r>
    </w:p>
    <w:p>
      <w:pPr>
        <w:pStyle w:val="TextBody"/>
        <w:bidi w:val="0"/>
        <w:spacing w:lineRule="auto" w:line="288" w:before="0" w:after="180"/>
        <w:jc w:val="left"/>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In addition, on the Closing Date, as consideration for the Credit Agreement, we issued to Perceptive the Warrant Certificate to purchase up to 1,150,000 shares, or the Warrant Shares, of our common stock. 400,000 Warrant Shares, or the Tranche A Warrant Shares, vested and became exercisable on the Closing Date, 150,000 Warrant Shares, or the Tranche B Warrant Shares, will vest and become exercisable on the Tranche B Borrowing Date, 150,000 Warrant Shares, or the Tranche C Warrant Shares, will vest and become exercisable on the Tranche C Borrowing Date and 450,000 Warrant Shares, or the Tranche D Warrant Shares, will vest and become exercisable on the Tranche D Borrowing Date, if such borrowing is made. The per share exercise price for (i) 50%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of the Tranche A Warrant Shares is $4.96 and (ii) the remaining balance of the Tranche A Warrant Shares is $5.58. Additionally, the per share exercise price for (i) 50% of each of the Tranche B Warrant Shares, the Tranche C Warrant Shares and the Tranche D Warrant Shares will be equal to the 10-day volume-weighted average price, or VWAP, of our common stock on the business day immediately preceding the Tranche B Borrowing Date, Tranche C Borrowing Date and Tranche D Borrowing Date, as applicable, and (ii) the remaining balance of each of the Tranche B Warrant Shares, the Tranche C Warrant Shares and the Tranche D Warrant Shares will be equal to 1.125 multiplied by the 10-day VWAP of our common stock on the business day immediately preceding the Tranche B Borrowing Date, Tranche C Borrowing Date and Tranche D Borrowing Date, respectively. The Warrant Certificate will be exercisable, in whole or in part, until the 10th anniversary of the applicable vesting date, and may be exercised on a cashless or “net” basis. Our net proceeds from the Tranche A Loan were approximately $22.8 million, after deducting estimated debt issuance costs, fees and expenses. Out of these proceeds, we repaid our outstanding obligations pursuant to our credit facility with Innovatus Life Sciences Lending Fund I, LP.</w:t>
      </w:r>
    </w:p>
    <w:p>
      <w:pPr>
        <w:pStyle w:val="TextBody"/>
        <w:bidi w:val="0"/>
        <w:spacing w:lineRule="auto" w:line="288" w:before="0" w:after="180"/>
        <w:jc w:val="left"/>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 xml:space="preserve">Underwritten Public Offering </w:t>
      </w:r>
    </w:p>
    <w:p>
      <w:pPr>
        <w:pStyle w:val="TextBody"/>
        <w:bidi w:val="0"/>
        <w:spacing w:lineRule="auto" w:line="288" w:before="0" w:after="180"/>
        <w:jc w:val="left"/>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On May 8, 2025, we entered into an underwriting agreement, or the Underwriting Agreement, with Canaccord Genuity LLC, or the Underwriter, relating to the issuance and sale of an aggregate of 3,350,000 shares, or the Firm Shares, of our common stock, to the Underwriter at a price to the public of $5.25 per share, or the Offering. Pursuant to the terms of the Underwriting Agreement, we granted to the Underwriter a 30-day option to purchase up to an additional 502,500 shares of common stock in the Offering, or the Option Shares, and together with the Firm Shares, the Shares. The Underwriter exercised its option to purchase the Option Shares on May 8, 2025. The Offering (including the issuance of the Option Shares) closed on May 9, 2025. All of the Shares in the Offering were sold by us.</w:t>
      </w:r>
    </w:p>
    <w:p>
      <w:pPr>
        <w:pStyle w:val="TextBody"/>
        <w:bidi w:val="0"/>
        <w:spacing w:lineRule="auto" w:line="288" w:before="0" w:after="180"/>
        <w:jc w:val="left"/>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The Shares were offered and sold pursuant to a prospectus supplement, dated May 8, 2025, filed with the SEC on May 8, 2025, and an accompanying base prospectus that forms a part of the our Registration Statement on Form S-3 (File No. 333-275632), which was previously filed with the SEC on November 17, 2023 and declared effective on November 29, 2023.</w:t>
      </w:r>
    </w:p>
    <w:p>
      <w:pPr>
        <w:pStyle w:val="TextBody"/>
        <w:bidi w:val="0"/>
        <w:spacing w:lineRule="auto" w:line="288" w:before="0" w:after="180"/>
        <w:jc w:val="left"/>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Implications of Being a Smaller Reporting Company</w:t>
      </w:r>
    </w:p>
    <w:p>
      <w:pPr>
        <w:pStyle w:val="TextBody"/>
        <w:bidi w:val="0"/>
        <w:spacing w:lineRule="auto" w:line="288" w:before="0" w:after="180"/>
        <w:jc w:val="left"/>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We are a “smaller reporting company” as defined in the Exchange Act. We will be able to take advantage of the scaled disclosures available to smaller reporting companies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bidi w:val="0"/>
        <w:spacing w:lineRule="auto" w:line="288" w:before="0" w:after="180"/>
        <w:jc w:val="left"/>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Additional Information</w:t>
      </w:r>
    </w:p>
    <w:p>
      <w:pPr>
        <w:pStyle w:val="TextBody"/>
        <w:bidi w:val="0"/>
        <w:spacing w:lineRule="auto" w:line="288" w:before="0" w:after="180"/>
        <w:jc w:val="left"/>
        <w:rPr/>
      </w:pPr>
      <w:r>
        <w:rPr>
          <w:rFonts w:ascii="Times New Roman;sans-serif" w:hAnsi="Times New Roman;sans-serif"/>
          <w:b w:val="false"/>
          <w:color w:val="000000"/>
          <w:sz w:val="20"/>
          <w:bdr w:val="single" w:sz="8" w:space="36" w:color="000000"/>
        </w:rPr>
        <w:t>For additional information related to our business and operations, please refer to the reports incorporated herein by reference, as described under the caption “</w:t>
      </w:r>
      <w:hyperlink w:anchor="i5ecf4447730447c281632288ae7798db_46">
        <w:r>
          <w:rPr>
            <w:rStyle w:val="InternetLink"/>
            <w:rFonts w:ascii="Times New Roman;sans-serif" w:hAnsi="Times New Roman;sans-serif"/>
            <w:b w:val="false"/>
            <w:color w:val="0000FF"/>
            <w:sz w:val="20"/>
            <w:u w:val="single"/>
            <w:bdr w:val="single" w:sz="8" w:space="36" w:color="000000"/>
          </w:rPr>
          <w:t>Incorporation of Certain Documents by Reference</w:t>
        </w:r>
      </w:hyperlink>
      <w:r>
        <w:rPr>
          <w:color w:val="000000"/>
          <w:bdr w:val="single" w:sz="8" w:space="36" w:color="000000"/>
        </w:rPr>
        <w:t xml:space="preserve">” </w:t>
      </w:r>
      <w:r>
        <w:rPr>
          <w:rFonts w:ascii="Times New Roman;sans-serif" w:hAnsi="Times New Roman;sans-serif"/>
          <w:b w:val="false"/>
          <w:color w:val="000000"/>
          <w:sz w:val="20"/>
          <w:bdr w:val="single" w:sz="8" w:space="36" w:color="000000"/>
        </w:rPr>
        <w:t>on page </w:t>
      </w:r>
      <w:hyperlink w:anchor="i5ecf4447730447c281632288ae7798db_46">
        <w:r>
          <w:rPr>
            <w:rStyle w:val="InternetLink"/>
            <w:rFonts w:ascii="Times New Roman;sans-serif" w:hAnsi="Times New Roman;sans-serif"/>
            <w:b w:val="false"/>
            <w:color w:val="0000FF"/>
            <w:sz w:val="20"/>
            <w:u w:val="single"/>
            <w:bdr w:val="single" w:sz="8" w:space="36" w:color="000000"/>
          </w:rPr>
          <w:t>20</w:t>
        </w:r>
      </w:hyperlink>
      <w:r>
        <w:rPr>
          <w:color w:val="000000"/>
          <w:bdr w:val="single" w:sz="8" w:space="36" w:color="000000"/>
        </w:rPr>
        <w:t> </w:t>
      </w:r>
      <w:r>
        <w:rPr>
          <w:rFonts w:ascii="Times New Roman;sans-serif" w:hAnsi="Times New Roman;sans-serif"/>
          <w:b w:val="false"/>
          <w:color w:val="000000"/>
          <w:sz w:val="20"/>
          <w:bdr w:val="single" w:sz="8" w:space="36" w:color="000000"/>
        </w:rPr>
        <w:t>of this prospectus.</w:t>
      </w:r>
    </w:p>
    <w:p>
      <w:pPr>
        <w:pStyle w:val="TextBody"/>
        <w:bidi w:val="0"/>
        <w:spacing w:lineRule="auto" w:line="288" w:before="0" w:after="180"/>
        <w:jc w:val="left"/>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Our Corporate Information</w:t>
      </w:r>
    </w:p>
    <w:p>
      <w:pPr>
        <w:pStyle w:val="TextBody"/>
        <w:bidi w:val="0"/>
        <w:spacing w:lineRule="auto" w:line="288" w:before="0" w:after="180"/>
        <w:jc w:val="left"/>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We were incorporated under the laws of the state of New Mexico in 2002, under the name Exagen Corporation. In 2003, we changed our state of incorporation from New Mexico to Delaware by merging with and into Exagen Diagnostics, Inc., pursuant to which we changed our name to Exagen Diagnostics, Inc. In January 2019 we changed our name to Exagen Inc. In September 2019, we completed our initial public offering and in March 2021, we completed our secondary public offering. Our principal executive offices are located at 1261 Liberty Way, Vista, California 92081. Our telephone number is (760) 560-1501.</w:t>
      </w:r>
    </w:p>
    <w:p>
      <w:pPr>
        <w:pStyle w:val="TextBody"/>
        <w:bidi w:val="0"/>
        <w:spacing w:lineRule="auto" w:line="288" w:before="0" w:after="180"/>
        <w:jc w:val="left"/>
        <w:rPr>
          <w:bdr w:val="single" w:sz="8" w:space="36" w:color="000000"/>
        </w:rPr>
      </w:pPr>
      <w:r>
        <w:rPr>
          <w:rFonts w:ascii="Times New Roman;sans-serif" w:hAnsi="Times New Roman;sans-serif"/>
          <w:b w:val="false"/>
          <w:color w:val="000000"/>
          <w:sz w:val="20"/>
          <w:bdr w:val="single" w:sz="8" w:space="36" w:color="000000"/>
        </w:rPr>
        <w:t>We maintain a website at </w:t>
      </w:r>
      <w:r>
        <w:rPr>
          <w:rFonts w:ascii="Times New Roman;sans-serif" w:hAnsi="Times New Roman;sans-serif"/>
          <w:b w:val="false"/>
          <w:i/>
          <w:color w:val="000000"/>
          <w:sz w:val="20"/>
          <w:bdr w:val="single" w:sz="8" w:space="36" w:color="000000"/>
        </w:rPr>
        <w:t>http://www.exagen.com</w:t>
      </w:r>
      <w:r>
        <w:rPr>
          <w:color w:val="000000"/>
          <w:bdr w:val="single" w:sz="8" w:space="36" w:color="000000"/>
        </w:rPr>
        <w:t> </w:t>
      </w:r>
      <w:r>
        <w:rPr>
          <w:rFonts w:ascii="Times New Roman;sans-serif" w:hAnsi="Times New Roman;sans-serif"/>
          <w:b w:val="false"/>
          <w:color w:val="000000"/>
          <w:sz w:val="20"/>
          <w:bdr w:val="single" w:sz="8" w:space="36" w:color="000000"/>
        </w:rPr>
        <w:t xml:space="preserve">to which we regularly post copies of our press releases as well as additional information about us. The information contained on, or that can be accessed through, our website is not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a part of this prospectus. We have included our website address in this prospectus solely as an inactive textual reference.</w:t>
      </w:r>
    </w:p>
    <w:p>
      <w:pPr>
        <w:pStyle w:val="TextBody"/>
        <w:bidi w:val="0"/>
        <w:spacing w:lineRule="auto" w:line="288" w:before="0" w:after="180"/>
        <w:jc w:val="left"/>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Our Annual Reports on Form 10-K, Quarterly Reports on Form 10-Q, Current Reports on Form 8-K and all amendments to those reports filed or furnished pursuant to Section 13(a) or 15(d) of the Exchange are available free of charge through the investor relations page of our website as soon as reasonably practicable after we electronically file such material with, or furnish it to, the SEC.</w:t>
      </w:r>
    </w:p>
    <w:p>
      <w:pPr>
        <w:pStyle w:val="TextBody"/>
        <w:bidi w:val="0"/>
        <w:spacing w:lineRule="auto" w:line="288" w:before="0" w:after="180"/>
        <w:jc w:val="left"/>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All brand names or trademarks appearing in this prospectus are the property of their respective holders. Use or display by us of other parties’ trademarks, trade dress, or products in this prospectus is not intended to, and does not, imply a relationship with, or endorsements or sponsorship of, us by the trademark or trade dress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THE OFFERING</w:t>
      </w:r>
    </w:p>
    <w:tbl>
      <w:tblPr>
        <w:tblW w:w="10205" w:type="dxa"/>
        <w:jc w:val="left"/>
        <w:tblInd w:w="0" w:type="dxa"/>
        <w:tblLayout w:type="fixed"/>
        <w:tblCellMar>
          <w:top w:w="28" w:type="dxa"/>
          <w:left w:w="28" w:type="dxa"/>
          <w:bottom w:w="28" w:type="dxa"/>
          <w:right w:w="28" w:type="dxa"/>
        </w:tblCellMar>
      </w:tblPr>
      <w:tblGrid>
        <w:gridCol w:w="723"/>
        <w:gridCol w:w="636"/>
        <w:gridCol w:w="639"/>
        <w:gridCol w:w="2473"/>
        <w:gridCol w:w="2364"/>
        <w:gridCol w:w="3370"/>
      </w:tblGrid>
      <w:tr>
        <w:trPr/>
        <w:tc>
          <w:tcPr>
            <w:tcW w:w="72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473"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3370" w:type="dxa"/>
            <w:tcBorders/>
            <w:vAlign w:val="center"/>
          </w:tcPr>
          <w:p>
            <w:pPr>
              <w:pStyle w:val="TableContents"/>
              <w:bidi w:val="0"/>
              <w:spacing w:before="0" w:after="283"/>
              <w:ind w:left="0" w:right="0" w:hanging="180"/>
              <w:jc w:val="left"/>
              <w:rPr>
                <w:sz w:val="4"/>
                <w:szCs w:val="4"/>
              </w:rPr>
            </w:pPr>
            <w:r>
              <w:rPr>
                <w:sz w:val="4"/>
                <w:szCs w:val="4"/>
              </w:rPr>
            </w:r>
          </w:p>
        </w:tc>
      </w:tr>
      <w:tr>
        <w:trPr/>
        <w:tc>
          <w:tcPr>
            <w:tcW w:w="19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common stock that may be offered by the selling stockholder</w:t>
            </w:r>
          </w:p>
        </w:tc>
        <w:tc>
          <w:tcPr>
            <w:tcW w:w="8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 to 1,150,000 shares of our common stock, issuable upon the vesting and exercise of the Warrant Certificate.</w:t>
            </w:r>
          </w:p>
        </w:tc>
      </w:tr>
      <w:tr>
        <w:trPr/>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Terms of the offering</w:t>
            </w:r>
          </w:p>
        </w:tc>
        <w:tc>
          <w:tcPr>
            <w:tcW w:w="8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selling stockholder will determine when and how they will sell the Shares offered in this prospectus, as described in the “Plan of Distribution.”</w:t>
            </w:r>
          </w:p>
        </w:tc>
      </w:tr>
      <w:tr>
        <w:trPr/>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 of proceeds</w:t>
            </w:r>
          </w:p>
        </w:tc>
        <w:tc>
          <w:tcPr>
            <w:tcW w:w="8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will not receive any proceeds from the sale of the Shares by the selling stockholder in this offering. See “Use of Proceeds.” To the extent the Warrant Certificate is exercised on a cash basis, if at all, we will receive proceeds from the exercise of the Warrant Certificate. We currently intend to use these proceeds (if any) for working capital and general corporate purposes. See the section under the heading “Use of Proceeds” in this prospectus for more information.</w:t>
            </w:r>
          </w:p>
        </w:tc>
      </w:tr>
      <w:tr>
        <w:trPr/>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factors</w:t>
            </w:r>
          </w:p>
        </w:tc>
        <w:tc>
          <w:tcPr>
            <w:tcW w:w="8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the section under the heading “Risk Factors” in this prospectus and the other information included in, or incorporated by reference into, this prospectus or any prospectus supplement for a discussion of certain factors you should carefully consider before deciding to invest in shares of our common stock.</w:t>
            </w:r>
          </w:p>
        </w:tc>
      </w:tr>
      <w:tr>
        <w:trPr/>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 Global Market symbol</w:t>
            </w:r>
          </w:p>
        </w:tc>
        <w:tc>
          <w:tcPr>
            <w:tcW w:w="82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val="false"/>
                <w:color w:val="000000"/>
                <w:sz w:val="20"/>
              </w:rPr>
              <w:t>XGN”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RISK FACTORS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the Shares offered pursuant to this prospectus and any applicable prospectus supplement involves risks. You should carefully consider the risk factors incorporated by reference herein from our most recent Annual Report on Form 10-K, our most recent Quarterly Report on Form 10-Q, and our recently filed Current Reports on Form 8-K, as well as any subsequent Annual Report on Form 10-K,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before acquiring any of such Shares. The occurrence of any of these risks might cause you to lose all or part of your investment in the offered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This prospectus, including documents incorporated by reference herein and therein, and any free writing prospectus that we have authorized for use in connection with this offering, contain forward-looking statements within the meaning of Section 27A of the Securities Act of 1933, as amended, or Securities Act, and Section 21E of the Securities Exchange Act of 1934, as amended, or Exchange Act. Forward-looking statements are statements other than historical facts and relate to future events or circumstances or our future performance, and they are based on our current assumptions, expectations and beliefs concerning future developments and their potential effect on our business. The words “believe,” “may,” “will,” “potentially,” “estimate,” “continue,” “anticipate,” “intend,” “could,” “would,” “project,” “plan,” “expect,” “possible,” “likely,” “probable,” and similar expressions that convey uncertainty of future events or outcomes identify forward-looking statements. These statements include, among other things, statements regarding: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have a history of losses, we expect to incur net losses in the future and we may not be able to generate sufficient revenue to achieve and maintain profitability;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In the near-term, we expect that our financial results will depend primarily on sales of our testing products, and we will need to generate sufficient revenue from these testing products to grow our business;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may be unable to manage our ongoing growth effectively, which could make it difficult to execute our business strategy;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commercial success depends on attaining and maintaining significant market acceptance of our testing products and promoted therapeutics among rheumatologists, patients, third-party payors and others in the medical community;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rely on sole suppliers for some of the reagents, equipment and other materials used in our testing products, and we may not be able to fund replacements or transition to alternative suppliers;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If we are unable to support demand for our current testing products or any of our future testing products or solutions, our business could suffer;</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If third-party payors do not provide coverage and adequate reimbursement for our testing products, or they breach, rescind or modify their contracts or reimbursement policies or delay payments for our tests, or if we or our partners are unable to successfully negotiate payor contracts, gross margins and commercial success could be materially adversely affected;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If we are unable to compete successfully, we may be unable to increase or sustain our revenue or achieve profitability;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Developing new testing products involves a lengthy and complex process, and we may not be able to commercialize on a timely basis, or at all, other testing products we are developing;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If our sole laboratory facility becomes damaged or inoperable, we are required to vacate our existing facility or we are unable to expand our existing facility as needed, we will be unable to perform our testing services and our business will be harmed and, in addition, we are in the process of converting warehouse space into additional laboratory facilities, but this may not be successful;</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may require substantial additional capital to finance our planned operations, which may not be available to us on acceptable terms or at all. Our failure to obtain additional financing when needed on acceptable terms, or at all, could force us to delay, limit, reduce or eliminate our product development programs, commercialization efforts or other operations;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conduct business in a heavily regulated industry. Complying with the numerous statutes and regulations pertaining to our business is expensive and time-consuming, and any failure by us, our consultants or commercial partners to comply could result in substantial penalties;</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If we are unable to maintain intellectual property protection our competitive position could be harmed;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impact of the above factors and other future events on the market price of our common stock;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anticipated use of proceeds from this offering, if any.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Although forward-looking statements in this prospectus, including the documents incorporated by reference herein and therein, and in any free writing prospectus that we have authorized for use in connection with this offering, reflect the good faith judgment of our management, such statements can only be based on facts and factors currently known by us. Consequently, forward-looking statements are inherently subject to risks and uncertainties and actual results and outcomes may differ materially from the results and outcomes discussed in or anticipated by the forward-looking statements. Factors that could cause or contribute to such differences in results and outcomes include, without limitation, those specifically addressed under the heading “Risk Factors” contained in this prospectus and any related free writing prospectus, and under similar headings in the other documents that are incorporated by reference into this prospectus, including our most recent Annual Report on Form 10-K and Quarterly Report on Form 10-Q, as well as any amendments thereto reflected in subsequent filings with the SEC. Readers are urged not to place undue reliance on these forward-looking statements, which speak only as of the date made. We file reports with the SEC, and our electronic filings with the SEC (including our Annual Reports on Form 10-K, Quarterly Reports on Form 10-Q and Current Reports on Form 8-K, and any amendments to these reports) are available free of charge on the SEC’s website at www.sec.gov.</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undertake no obligation to revise or update any forward-looking statements in order to reflect any event or circumstance that may arise after the date of this prospectus, except as required by law. Readers are urged to carefully review and consider the various disclosures made throughout the entirety of this prospectus and any related free writing prospectus, and the documents incorporated by reference into this prospectus, which disclosures are designed to advise interested parties of the risks and factors that may affect our business, financial condition, results of operations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USE OF PROCEEDS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not receive any proceeds from the sale of the Shares covered by this prospectus and any accompanying prospectus supplement. All proceeds from the sale of the Shares will be for the account of the selling stockholder named herein. We will bear all other costs, fees and expenses incurred in effecting the registration of the Shares covered by this prospectus and any accompanying prospectus supplement, including, without limitation, all registration and filing fees, Nasdaq listing fees and fees and expenses of our counsel and our accountants, in accordance with the terms of the Warrant Certificate. The selling stockholder will pay any discounts, commissions, and fees of underwriters, selling brokers, dealer managers or similar securities industry professionals incurred by such selling stockholder in disposing of the Shares covered by this prospectus.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holder of the Warrant Certificate is not obligated to exercise the Warrant Certificate, and we cannot predict whether the holder of the Warrant Certificate will choose to exercise the Warrant Certificate. We may receive proceeds from any cash exercise of the Warrant Certificate. We currently intend to use such proceeds, if any, for working capital and general corporate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SELLING STOCKHOLDER</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This prospectus covers the resale from time to time of up to 1,150,000 Shares issuable upon the vesting and exercise of the Warrant Certificate.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selling stockholder may offer and sell, from time to time, any of the Shares described under the column “Number of Shares Being Offered Hereby” in the table below. Except for the ownership of the securities and the Credit and Security Agreements described above, the selling stockholder has not had any material relationship with us within the past three years.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used in this prospectus, the term “selling stockholder” includes the selling stockholder listed in the table below, together with any additional selling stockholders listed in a subsequent amendment to this prospectus, and their donees, pledgees, assignees, transferees, distributees and successors-in-interest that receive shares in any non-sale transfer after the date of this prospectus.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lists the selling stockholder and other information regarding the beneficial ownership of the Shares by the selling stockholder as of June 1, 2025. The following table also provides the number of Shares that may be sold by the selling stockholder under this prospectus and that the selling stockholder will beneficially own assuming all the Shares that may be offered pursuant to this prospectus are sold. The number of shares described under the column “Shares of Common Stock Beneficially Owned Before this Offering” for the selling stockholder includes all shares of our common stock beneficially held by the selling stockholder as of June 5, 2025, which includes shares of common stock issuable upon the vesting and exercise of the Warrant Certificate. There is a limitation on the aggregate number of shares of common stock beneficially owned by the selling stockholder set forth in the Warrant Certificate, or the Beneficial Ownership Limitation, due to which the Warrant Certificate may not be exercised if the aggregate number of shares of common stock beneficially owned by the selling stockholder immediately following such exercise would exceed 9.99%. Because the selling stockholder may dispose of all, none or some portion of their Shares, no estimate can be given as to the number of Shares that will be beneficially owned by a selling stockholder upon termination of this offering.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purposes of the table below, however, we have assumed that after termination of this offering none of the Shares covered by this prospectus will be beneficially owned by the selling stockholder and further assumed that the selling stockholder will not acquire beneficial ownership of any additional Shares during the offering. In addition, the selling stockholder may have sold, transferred or otherwise disposed of, or may sell, transfer or otherwise dispose of, at any time and from time to time, the Shares in transactions exempt from the registration requirements of the Securities Act after the date on which the information in the table is presented. See the section titled “Plan of Distribution.”</w:t>
      </w:r>
    </w:p>
    <w:tbl>
      <w:tblPr>
        <w:tblW w:w="10205" w:type="dxa"/>
        <w:jc w:val="left"/>
        <w:tblInd w:w="0" w:type="dxa"/>
        <w:tblLayout w:type="fixed"/>
        <w:tblCellMar>
          <w:top w:w="28" w:type="dxa"/>
          <w:left w:w="28" w:type="dxa"/>
          <w:bottom w:w="28" w:type="dxa"/>
          <w:right w:w="28" w:type="dxa"/>
        </w:tblCellMar>
      </w:tblPr>
      <w:tblGrid>
        <w:gridCol w:w="863"/>
        <w:gridCol w:w="757"/>
        <w:gridCol w:w="759"/>
        <w:gridCol w:w="109"/>
        <w:gridCol w:w="109"/>
        <w:gridCol w:w="109"/>
        <w:gridCol w:w="819"/>
        <w:gridCol w:w="788"/>
        <w:gridCol w:w="790"/>
        <w:gridCol w:w="109"/>
        <w:gridCol w:w="109"/>
        <w:gridCol w:w="109"/>
        <w:gridCol w:w="619"/>
        <w:gridCol w:w="523"/>
        <w:gridCol w:w="504"/>
        <w:gridCol w:w="109"/>
        <w:gridCol w:w="109"/>
        <w:gridCol w:w="109"/>
        <w:gridCol w:w="344"/>
        <w:gridCol w:w="344"/>
        <w:gridCol w:w="346"/>
        <w:gridCol w:w="169"/>
        <w:gridCol w:w="169"/>
        <w:gridCol w:w="169"/>
        <w:gridCol w:w="251"/>
        <w:gridCol w:w="251"/>
        <w:gridCol w:w="759"/>
      </w:tblGrid>
      <w:tr>
        <w:trPr/>
        <w:tc>
          <w:tcPr>
            <w:tcW w:w="86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SHARES BENEFICIALLY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OWNED AFTER THE </w:t>
            </w:r>
          </w:p>
          <w:p>
            <w:pPr>
              <w:pStyle w:val="TableContents"/>
              <w:bidi w:val="0"/>
              <w:spacing w:lineRule="auto" w:line="240" w:before="0" w:after="0"/>
              <w:jc w:val="center"/>
              <w:rPr/>
            </w:pPr>
            <w:r>
              <w:rPr>
                <w:rFonts w:ascii="Times New Roman;sans-serif" w:hAnsi="Times New Roman;sans-serif"/>
                <w:b/>
                <w:color w:val="000000"/>
                <w:sz w:val="16"/>
              </w:rPr>
              <w:t>OFFERING</w:t>
            </w:r>
            <w:r>
              <w:rPr>
                <w:rFonts w:ascii="Times New Roman;sans-serif" w:hAnsi="Times New Roman;sans-serif"/>
                <w:b/>
                <w:color w:val="000000"/>
                <w:sz w:val="10"/>
              </w:rPr>
              <w:t>(4)</w:t>
            </w:r>
          </w:p>
        </w:tc>
      </w:tr>
      <w:tr>
        <w:trPr/>
        <w:tc>
          <w:tcPr>
            <w:tcW w:w="23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 xml:space="preserve">SELLING STOCKHOLDER </w:t>
            </w:r>
            <w:r>
              <w:rPr>
                <w:rFonts w:ascii="Times New Roman;sans-serif" w:hAnsi="Times New Roman;sans-serif"/>
                <w:b/>
                <w:color w:val="000000"/>
                <w:sz w:val="10"/>
              </w:rPr>
              <w:t xml:space="preserve">(1)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SHARES OF COMMON STOCK</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BENEFICIALLY</w:t>
            </w:r>
          </w:p>
          <w:p>
            <w:pPr>
              <w:pStyle w:val="TableContents"/>
              <w:bidi w:val="0"/>
              <w:spacing w:lineRule="auto" w:line="240" w:before="0" w:after="0"/>
              <w:jc w:val="center"/>
              <w:rPr/>
            </w:pPr>
            <w:r>
              <w:rPr>
                <w:rFonts w:ascii="Times New Roman;sans-serif" w:hAnsi="Times New Roman;sans-serif"/>
                <w:b/>
                <w:color w:val="000000"/>
                <w:sz w:val="16"/>
              </w:rPr>
              <w:t>OWNED BEFORE THIS OFFERING</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NUMBER OF SHARES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BEING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OFFERED </w:t>
            </w:r>
          </w:p>
          <w:p>
            <w:pPr>
              <w:pStyle w:val="TableContents"/>
              <w:bidi w:val="0"/>
              <w:spacing w:lineRule="auto" w:line="240" w:before="0" w:after="0"/>
              <w:jc w:val="center"/>
              <w:rPr/>
            </w:pPr>
            <w:r>
              <w:rPr>
                <w:rFonts w:ascii="Times New Roman;sans-serif" w:hAnsi="Times New Roman;sans-serif"/>
                <w:b/>
                <w:color w:val="000000"/>
                <w:sz w:val="16"/>
              </w:rPr>
              <w:t>HEREBY</w:t>
            </w:r>
            <w:r>
              <w:rPr>
                <w:rFonts w:ascii="Times New Roman;sans-serif" w:hAnsi="Times New Roman;sans-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OF </w:t>
              <w:br/>
              <w:t>SHARES</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 xml:space="preserve">PERCENTAGE </w:t>
            </w:r>
          </w:p>
        </w:tc>
      </w:tr>
      <w:tr>
        <w:trPr/>
        <w:tc>
          <w:tcPr>
            <w:tcW w:w="2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Perceptive Credit Holdings IV, LP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1,150,000 </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1,150,000 </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(1)All information regarding the selling stockholder was provided by the selling stockholder as of June 5, 2025. Perceptive Credit Advisors, LLC, or Perceptive Credit, is the investment manager to Perceptive, and accordingly, may be deemed to beneficially own the securities directly held by Perceptive. Perceptive Advisors LLC is the general partner of Perceptive Credit, Joseph Edelman is the managing member of Perceptive Advisors LLC, and accordingly, Perceptive Advisors LLC or Mr. Edelman may be deemed to beneficially own the securities held by the Perceptive. Perceptive Credit, Perceptive Advisors LLC and Mr. Edelman disclaim beneficial ownership of such shares except to the extent of its or his pecuniary interest therein. The principal business address and address for notice of Perceptive is 51 Astor Place, 10th Floor, New York, New York 10003.</w:t>
      </w:r>
    </w:p>
    <w:p>
      <w:pPr>
        <w:pStyle w:val="TextBody"/>
        <w:bidi w:val="0"/>
        <w:spacing w:lineRule="auto" w:line="288"/>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(2)The shares reported under “Shares of Common Stock Beneficially Owned Before this Offering” includes 1,150,000 shares of common stock underlying the Warrant Certificate held by Perceptive.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(3)The number of shares of common stock in the column “Number of Shares Being Offered Hereby” represents all of the Shares that the selling stockholder may offer and sell from time to time under this prospectus, consisting of all of the shares of common stock issuable upon the vesting and exercise of the Warrant Certificate, without giving effect to the Beneficial Ownership Limitation. </w:t>
      </w:r>
    </w:p>
    <w:p>
      <w:pPr>
        <w:pStyle w:val="TextBody"/>
        <w:bidi w:val="0"/>
        <w:spacing w:lineRule="auto" w:line="288" w:before="0" w:after="18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(4)The selling stockholder has not informed us, and we do not know, when or in what amounts the selling stockholder may offer for sale the Shares pursuant to this offering. For purposes of this table, we have assumed that the selling stockholder will have sold all of the Shares covered by this prospectus upon the completion of this offering.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PLAN OF DISTRIBUTION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selling stockholder, including its pledgees, donees, transferees, distributees, beneficiaries or other successors in interest, may from time to time offer some or all of the Shares by this prospectus. We will not receive any of the proceeds from the sale of the Shares covered by this prospectus by the selling stockholder. The selling stockholder will act independently of us in making decisions with respect to the timing, manner and size of each sale. We will bear all fees and expenses incident to our obligation to register the Shares covered by this prospectus.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selling stockholder may sell all or a portion of the Shares beneficially owned by it and offered hereby from time to time directly or through one or more underwriters, broker-dealers or agents. If the Shares are sold through underwriters or broker-dealers, the selling stockholder will be responsible for underwriting discounts or commissions or agent’s commissions in connection with the Shares held by such selling stockholder. The Shares may be sold on any national securities exchange or quotation service on which the Shares may be listed or quoted at the time of sale, in the over-the-counter market or in transactions otherwise than on these exchanges or systems or in the over-the-counter market and in one or more transactions at fixed prices, at prevailing market prices at the time of the sale, at varying prices determined at the time of sale, or at privately negotiated prices. These sales may be effected in transactions, which may involve crosses or block transactions.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selling stockholder may use any one or more of the following methods when disposing of Shares or interests therein: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ordinary brokerage transactions and transactions in which the broker-dealer solicits purchasers;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block trades in which the broker-dealer will attempt to sell the Shares as agent, but may position and resell a portion of the block as principal to facilitate the transaction;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purchases by a broker-dealer as principal and resale by the broker-dealer for its account;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 over-the-counter distribution;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 exchange distribution in accordance with the rules of the applicable exchange;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privately negotiated transactions;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short sales effected after the effective date of the registration statement of which this prospectus is a part;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through the writing or settlement of options or other hedging transactions, whether through an options exchange or otherwise;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in “at the market” offerings, as defined in Rule 415 under the Securities Act, at negotiated prices, at prices prevailing at the time of sale or prices related to such prevailing market prices, including sales made directly on a national securities exchange or sales made through a market maker other than on an exchange or other similar offerings through sales agents;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through trading plans entered into by the selling stockholder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through firm-commitment underwritten public offerings;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 combination of any such methods of sale; or</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other method permitted pursuant to applicable law.</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selling stockholder may, from time to time, pledge or grant a security interest in some or all of the Shares owned and, if the selling stockholder defaults in the performance of its secured obligations, the pledgees or secured parties may offer and sell the Shares, from time to time, under this prospectus, or under an amendment to this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prospectus under Rule 424(b)(3) or other applicable provision of the Securities Act amending the list of the selling stockholder to include the pledgee, transferee, or other successors in interest as the selling stockholder under this prospectus. The selling stockholder also may transfer the Shares in other circumstances, in which case the transferees, pledgees or other successors in interest will be the beneficial owners for purposes of this prospectus.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sale of Shares, or interests therein, the selling stockholder may enter into hedging transactions with broker-dealers or other financial institutions, which may in turn engage in short sales of our common stock in the course of hedging the positions it assumes. The selling stockholder may also sell Shares short and deliver the Shares to close out any such short positions, or loan or pledge the Shares to broker-dealers that in turn may sell these Shares. The selling stockholder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Broker-dealers engaged by the selling stockholder may arrange for other broker-dealers to participate in sales. If the selling stockholder effects certain transactions by selling Shares to or through underwriters, broker-dealers or agents, such underwriters, broker-dealers or agents may receive commissions in the form of discounts, concessions or commissions from such selling stockholder or commissions from purchasers of the Shares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applicable rules of the Financial Industry Regulatory Authority, or FINRA, and in the case of a principal transaction, a markup or markdown in compliance with applicable FINRA rules.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proceeds to the selling stockholder from the sale of the Shares offered will be the purchase price of the Shares less discounts or commissions, if any. The selling stockholder reserves the right to accept and, together with its respective agents from time to time, to reject, in whole or in part, any proposed purchase of Shares to be made directly or through agents. The selling stockholder also may resell all or a portion of the Shares in open market transactions in reliance upon Rule 144 under the Securities Act, rather than under this prospectus, provided that each meets the criteria and conforms to the requirements of that rule.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selling stockholder and any underwriters, broker-dealers or agents that participate in the sale of the Shares, or interests therein, may be deemed to be “underwriters” within the meaning of Section 2(a)(11) of the Securities Act. Any discounts, commissions, concessions or profit they earn on any resale of the Shares may be underwriting discounts and commissions under the Securities Act. If selling securities pursuant to this prospectus, the selling stockholder is subject to the prospectus delivery requirements of the Securities Act.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required pursuant to Rule 424(b) under the Securities Act, the Shares to be sold, the name of the selling stockholder, the purchase price and public offering price, the names of any agents,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comply with the securities laws of some states, if applicable, the Shares may be sold in these jurisdictions only through registered or licensed brokers or dealers. In addition, in some states the Shares may not be sold unless they have been registered or qualified for sale, or an exemption from registration or qualification requirements is available and the selling stockholder complies with such exemption’s requirements.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selling stockholder and any other person participating in a sale of the Shares registered under this prospectus will be subject to applicable provisions of the Exchange Act, and the rules and regulations thereunder, including, without limitation, to the extent applicable, Regulation M of the Exchange Act, which may limit the timing of purchases and sales of any of the Shares by the selling stockholder and any other participating person.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of the foregoing may affect the marketability of the Shares and the ability of any person or entity to engage in market-making activities with respect to the Shares. In addition, we will make copies of this prospectus (as it may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be supplemented or amended from time to time) available to the selling stockholder for the purpose of satisfying the prospectus delivery requirements of the Securities Act. We have agreed to indemnify the selling stockholder against certain liabilities, including certain liabilities under the Securities Act, the Exchange Act or other federal or state law. We and the selling stockholder may indemnify any broker-dealer that participates in transactions involving the sale of the Shares against certain liabilities, including liabilities arising under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DESCRIPTION OF CAPITAL STOCK</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description summarizes some of the terms of capital stock. Because it is only a summary, it does not contain all the information that may be important to you and is subject to and qualified in its entirety by reference to our amended and restated certificate of incorporation, or the Certificate of Incorporation, and amended and restated bylaws, or the Bylaws, which are filed as exhibits to our most recent Annual Report on Form 10-K and are incorporated by reference herein. We encourage you to read our Certificate of Incorporation and our Bylaws for additional information.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authorized capital stock consists of 200,000,000 shares of common stock and 10,000,000 shares of preferred stock, $0.001 par value per share.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17, 2025, there were 21,860,617 shares of our common stock issued and outstanding and held of record by 23 stockholders. Holders of our common stock are entitled to one vote for each share held on all matters submitted to a vote of stockholders, including the election of directors, and do not have cumulative voting rights. Accordingly, the holders of a majority of the outstanding shares of common stock entitled to vote in any election of directors can elect all of the directors standing for election, if they so choose, other than any directors that holders of any preferred stock we may issue may be entitled to elect. Subject to the supermajority votes for some matters, other matters shall be decided by the affirmative vote of our stockholders having a majority in voting power of the votes cast by the stockholders present or represented and voting on such matter. Our Certificate of Incorporation and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Certificate of Incorporation.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Subject to preferences that may be applicable to any then outstanding preferred stock, holders of common stock are entitled to receive ratably those dividends, if any, as may be declared by the board of directors out of legally available funds. 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 any preferred stock then outstanding. Holders of common stock have no preemptive or conversion rights or other subscription rights and there are no redemption or sinking funds provisions applicable to our common stock. All outstanding shares of common stock are, and our common stock to be outstanding upon the closing of this offering will be, duly authorized,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Transfer Agent and Registrar</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transfer agent and registrar for our common stock is Computershare Trust Company, N.A. The transfer agent and registrar’s address is 6200 S. Quebec St., Greenwood Village, CO 80111.</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Stock Exchange Listing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for trading on Nasdaq under the symbol “XGN.”</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17, 2025, there were no shares of our preferred stock outstanding. Under the terms of our Certificate of Incorporation, our board of directors has the authority, without further action by our stockholders, to issue up to 10,000,000 shares of preferred stock in one or more series, to establish from time to time the number of shares to be included in each such series, to fix the dividend, voting and other rights, preferences and privileges of the shares of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each wholly unissued series and any qualifications, limitations or restrictions thereon, and to increase or decrease the number of shares of any such series, but not below the number of shares of such series then outstanding.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our common stock and the voting and other rights of the holders of common stock. We have no current plans to issue any shares of preferred stock.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issuance of shares of each series, the board of directors is required by the General Corporation Law of the State of Delaware, or the DGCL, and our Certificate of Incorporation to adopt resolutions and file a certificate of designation with the Secretary of State of the State of Delaware. The certificate of designation fixes for each class or series the designations, powers, preferences, rights, qualifications, limitations and restrictions, including dividend rights, conversion rights, redemption privileges and liquidation preferences.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our common stock and the voting and other rights of the holders of common stock.</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Registration Rights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Warrant Certificate, we have granted Perceptive certain customary piggy-back and resale registration rights in respect of the Warrant Shares.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Anti-Takeover Effects of Delaware Law and Our Certificate of Incorporation and Bylaws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Some provisions of Delaware law, our Certificate of Incorporation and our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Undesignated Preferred Stock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ability of our board of directors, without action by the stockholders, to issue up to 10,000,000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Stockholder Meetings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Bylaws provide that a special meeting of stockholders may be called only by our chairman of the board, chief executive officer or president, or by a resolution adopted by a majority of our board of directors.</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Requirements for Advance Notification of Stockholder Nominations and Proposals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Elimination of Stockholder Action by Written Consent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and Bylaws eliminate the right of stockholders to act by written consent without a meeting.</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Staggered Board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is divided into three classes. The directors in each class will serve for 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Removal of Directors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provides that no member of our board of directors may be removed from office by our stockholders except for cause and, in addition to any other vote required by law, upon the approval of not less than two thirds of the total voting power of all of our outstanding voting stock then entitled to vote in the election of directors.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Stockholders Not Entitled to Cumulative Voting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Delaware Anti-Takeover Statute</w:t>
      </w:r>
    </w:p>
    <w:p>
      <w:pPr>
        <w:pStyle w:val="TextBody"/>
        <w:bidi w:val="0"/>
        <w:spacing w:lineRule="auto" w:line="288" w:before="0" w:after="180"/>
        <w:jc w:val="left"/>
        <w:rPr/>
      </w:pPr>
      <w:r>
        <w:rPr>
          <w:rFonts w:ascii="Times New Roman;sans-serif" w:hAnsi="Times New Roman;sans-serif"/>
          <w:b w:val="false"/>
          <w:color w:val="000000"/>
          <w:sz w:val="20"/>
        </w:rPr>
        <w:t>We</w:t>
      </w:r>
      <w:r>
        <w:rPr>
          <w:color w:val="000000"/>
        </w:rPr>
        <w:t> </w:t>
      </w:r>
      <w:r>
        <w:rPr>
          <w:rFonts w:ascii="Times New Roman;sans-serif" w:hAnsi="Times New Roman;sans-serif"/>
          <w:b w:val="false"/>
          <w:color w:val="000000"/>
          <w:sz w:val="20"/>
        </w:rPr>
        <w:t>are subject to Section 203 of the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Choice of Forum</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Certificate of Incorporation provides that, unless we consent in writing to the selection of an alternative form, the Court of Chancery of the State of Delaware will be the sole and exclusive forum for: (i) any derivative action or proceeding brought on our behalf; (ii) any action asserting a claim of breach of a fiduciary duty or other wrongdoing by any of our directors, officers, employees or agents to us or our stockholders, creditors or other constituents; (iii) any action asserting a claim against us arising pursuant to any provision of the DGCL or our Certificate of Incorporation or Bylaws; (iv) any action to interpret, apply, enforce or determine the validity of our Certificate of Incorporation or Bylaws; or (v) any action asserting a claim governed by the internal affairs doctrine. This exclusive forum provision would not apply to suits brought to enforce any liability or duty created by the Securities Act or the Exchange Act or any other claim for which the federal courts have exclusive jurisdiction. Our Bylaws provide that, unless we consent in writing to the selection of an alternative forum, the federal district courts of the United States of America shall be the sole and exclusive forum for the resolution of any complaint asserting a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cause of action arising under the Securities Act. To the extent that any such claims may be based upon federal law claims, Section 27 of the Exchange Act creates exclusive federal jurisdiction over all suits brought to enforce any duty or liability created by the Exchange Act or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Our Certificate of Incorporation and Bylaws also provide that any person or entity purchasing or otherwise acquiring any interest in shares of our capital stock will be deemed to have notice of and to have consented to this choice of forum provision.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Amendment of Charter Provisions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amendment of any of the above provisions, except for the provision making it possible for our board of directors to issue preferred stock, would require approval by holders of at least two thirds of the total voting power of all of our outstanding voting stock.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provisions of Delaware law, our Certificate of Incorporation and our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validity of the securities offered hereby will be passed upon for us by Mintz, Levin, Cohn, Ferris, Glovsky and Popeo, P.C., San Diego, California.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EXPERTS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of Exagen Inc. as of December 31, 2024 and 2023 and for the years then ended incorporated by reference in this prospectus and in the registration statement have been so incorporated in reliance on the report of BDO USA, P.C., an independent registered public accounting firm, given on the authority of said firm as experts in auditing and accounting.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WHERE YOU CAN FIND MORE INFORMATION</w:t>
      </w:r>
    </w:p>
    <w:p>
      <w:pPr>
        <w:pStyle w:val="TextBody"/>
        <w:bidi w:val="0"/>
        <w:spacing w:lineRule="auto" w:line="288" w:before="0" w:after="180"/>
        <w:jc w:val="left"/>
        <w:rPr/>
      </w:pPr>
      <w:r>
        <w:rPr>
          <w:rFonts w:ascii="Times New Roman;sans-serif" w:hAnsi="Times New Roman;sans-serif"/>
          <w:b w:val="false"/>
          <w:color w:val="000000"/>
          <w:sz w:val="20"/>
        </w:rPr>
        <w:t>We file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Times New Roman;sans-serif" w:hAnsi="Times New Roman;sans-serif"/>
          <w:b w:val="false"/>
          <w:i/>
          <w:color w:val="000000"/>
          <w:sz w:val="20"/>
        </w:rPr>
        <w:t>http://www.sec.gov</w:t>
      </w:r>
    </w:p>
    <w:p>
      <w:pPr>
        <w:pStyle w:val="TextBody"/>
        <w:bidi w:val="0"/>
        <w:spacing w:lineRule="auto" w:line="288" w:before="0" w:after="180"/>
        <w:jc w:val="left"/>
        <w:rPr/>
      </w:pPr>
      <w:r>
        <w:rPr>
          <w:rFonts w:ascii="Times New Roman;sans-serif" w:hAnsi="Times New Roman;sans-serif"/>
          <w:b w:val="false"/>
          <w:color w:val="000000"/>
          <w:sz w:val="20"/>
        </w:rPr>
        <w:t>Our website address is </w:t>
      </w:r>
      <w:r>
        <w:rPr>
          <w:rFonts w:ascii="Times New Roman;sans-serif" w:hAnsi="Times New Roman;sans-serif"/>
          <w:b w:val="false"/>
          <w:i/>
          <w:color w:val="000000"/>
          <w:sz w:val="20"/>
        </w:rPr>
        <w:t>http://www.exagen.com.</w:t>
      </w:r>
      <w:r>
        <w:rPr>
          <w:color w:val="000000"/>
        </w:rPr>
        <w:t> </w:t>
      </w:r>
      <w:r>
        <w:rPr>
          <w:rFonts w:ascii="Times New Roman;sans-serif" w:hAnsi="Times New Roman;sans-serif"/>
          <w:b w:val="false"/>
          <w:color w:val="000000"/>
          <w:sz w:val="20"/>
        </w:rPr>
        <w:t>The information on our website, however, is not, and should not be deemed to be, a part of this prospectus.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INCORPORATION BY REFERENCE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This prospectus and any accompanying prospectus supplement incorporate by reference the documents set forth below that have previously been filed with the SEC:</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Our Annual Report on Form 10-K for the fiscal year ended December 31, 2024, filed with the SEC on </w:t>
      </w:r>
      <w:hyperlink r:id="rId3">
        <w:r>
          <w:rPr>
            <w:rStyle w:val="InternetLink"/>
            <w:rFonts w:ascii="Times New Roman;sans-serif" w:hAnsi="Times New Roman;sans-serif"/>
            <w:b w:val="false"/>
            <w:color w:val="0000FF"/>
            <w:sz w:val="20"/>
            <w:u w:val="single"/>
          </w:rPr>
          <w:t>March 11, 2025</w:t>
        </w:r>
      </w:hyperlink>
      <w:r>
        <w:rPr>
          <w:rFonts w:ascii="Times New Roman;sans-serif" w:hAnsi="Times New Roman;sans-serif"/>
          <w:b w:val="false"/>
          <w:color w:val="000000"/>
          <w:sz w:val="20"/>
        </w:rPr>
        <w: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Our Quarterly Report on Form 10-Q for the quarter ended March 31, 2025, filed with the SEC on </w:t>
      </w:r>
      <w:hyperlink r:id="rId4">
        <w:r>
          <w:rPr>
            <w:rStyle w:val="InternetLink"/>
            <w:rFonts w:ascii="Times New Roman;sans-serif" w:hAnsi="Times New Roman;sans-serif"/>
            <w:b w:val="false"/>
            <w:color w:val="0000FF"/>
            <w:sz w:val="20"/>
            <w:u w:val="single"/>
          </w:rPr>
          <w:t>May 5, 2025</w:t>
        </w:r>
      </w:hyperlink>
      <w:r>
        <w:rPr>
          <w:rFonts w:ascii="Times New Roman;sans-serif" w:hAnsi="Times New Roman;sans-serif"/>
          <w:b w:val="false"/>
          <w:color w:val="000000"/>
          <w:sz w:val="20"/>
        </w:rPr>
        <w: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Our Current Reports on Form 8-K, filed with the SEC on </w:t>
      </w:r>
      <w:hyperlink r:id="rId5">
        <w:r>
          <w:rPr>
            <w:rStyle w:val="InternetLink"/>
            <w:rFonts w:ascii="Times New Roman;sans-serif" w:hAnsi="Times New Roman;sans-serif"/>
            <w:b w:val="false"/>
            <w:color w:val="0000FF"/>
            <w:sz w:val="20"/>
            <w:u w:val="single"/>
          </w:rPr>
          <w:t>January 13, 2025</w:t>
        </w:r>
      </w:hyperlink>
      <w:r>
        <w:rPr>
          <w:rFonts w:ascii="Times New Roman;sans-serif" w:hAnsi="Times New Roman;sans-serif"/>
          <w:b w:val="false"/>
          <w:color w:val="000000"/>
          <w:sz w:val="20"/>
        </w:rPr>
        <w:t xml:space="preserve">, </w:t>
      </w:r>
      <w:hyperlink r:id="rId6">
        <w:r>
          <w:rPr>
            <w:rStyle w:val="InternetLink"/>
            <w:rFonts w:ascii="Times New Roman;sans-serif" w:hAnsi="Times New Roman;sans-serif"/>
            <w:b w:val="false"/>
            <w:color w:val="0000FF"/>
            <w:sz w:val="20"/>
            <w:u w:val="single"/>
          </w:rPr>
          <w:t>March 11, 2025</w:t>
        </w:r>
      </w:hyperlink>
      <w:r>
        <w:rPr>
          <w:rFonts w:ascii="Times New Roman;sans-serif" w:hAnsi="Times New Roman;sans-serif"/>
          <w:b w:val="false"/>
          <w:color w:val="000000"/>
          <w:sz w:val="20"/>
        </w:rPr>
        <w:t xml:space="preserve">, </w:t>
      </w:r>
      <w:hyperlink r:id="rId7">
        <w:r>
          <w:rPr>
            <w:rStyle w:val="InternetLink"/>
            <w:rFonts w:ascii="Times New Roman;sans-serif" w:hAnsi="Times New Roman;sans-serif"/>
            <w:b w:val="false"/>
            <w:color w:val="0000FF"/>
            <w:sz w:val="20"/>
            <w:u w:val="single"/>
          </w:rPr>
          <w:t>April 28, 2025</w:t>
        </w:r>
      </w:hyperlink>
      <w:r>
        <w:rPr>
          <w:rFonts w:ascii="Times New Roman;sans-serif" w:hAnsi="Times New Roman;sans-serif"/>
          <w:b w:val="false"/>
          <w:color w:val="000000"/>
          <w:sz w:val="20"/>
        </w:rPr>
        <w:t xml:space="preserve">, </w:t>
      </w:r>
      <w:hyperlink r:id="rId8">
        <w:r>
          <w:rPr>
            <w:rStyle w:val="InternetLink"/>
            <w:rFonts w:ascii="Times New Roman;sans-serif" w:hAnsi="Times New Roman;sans-serif"/>
            <w:b w:val="false"/>
            <w:color w:val="0000FF"/>
            <w:sz w:val="20"/>
            <w:u w:val="single"/>
          </w:rPr>
          <w:t>May 5, 2025</w:t>
        </w:r>
      </w:hyperlink>
      <w:r>
        <w:rPr>
          <w:rFonts w:ascii="Times New Roman;sans-serif" w:hAnsi="Times New Roman;sans-serif"/>
          <w:b w:val="false"/>
          <w:color w:val="000000"/>
          <w:sz w:val="20"/>
        </w:rPr>
        <w:t xml:space="preserve">, </w:t>
      </w:r>
      <w:hyperlink r:id="rId9">
        <w:r>
          <w:rPr>
            <w:rStyle w:val="InternetLink"/>
            <w:rFonts w:ascii="Times New Roman;sans-serif" w:hAnsi="Times New Roman;sans-serif"/>
            <w:b w:val="false"/>
            <w:color w:val="0000FF"/>
            <w:sz w:val="20"/>
            <w:u w:val="single"/>
          </w:rPr>
          <w:t>May 8, 2025</w:t>
        </w:r>
      </w:hyperlink>
      <w:r>
        <w:rPr>
          <w:rFonts w:ascii="Times New Roman;sans-serif" w:hAnsi="Times New Roman;sans-serif"/>
          <w:b w:val="false"/>
          <w:color w:val="000000"/>
          <w:sz w:val="20"/>
        </w:rPr>
        <w:t xml:space="preserve">, </w:t>
      </w:r>
      <w:hyperlink r:id="rId10">
        <w:r>
          <w:rPr>
            <w:rStyle w:val="InternetLink"/>
            <w:rFonts w:ascii="Times New Roman;sans-serif" w:hAnsi="Times New Roman;sans-serif"/>
            <w:b w:val="false"/>
            <w:color w:val="0000FF"/>
            <w:sz w:val="20"/>
            <w:u w:val="single"/>
          </w:rPr>
          <w:t>May 9, 2025</w:t>
        </w:r>
      </w:hyperlink>
      <w:r>
        <w:rPr>
          <w:color w:val="000000"/>
        </w:rPr>
        <w:t xml:space="preserve"> </w:t>
      </w:r>
      <w:r>
        <w:rPr>
          <w:rFonts w:ascii="Times New Roman;sans-serif" w:hAnsi="Times New Roman;sans-serif"/>
          <w:b w:val="false"/>
          <w:color w:val="000000"/>
          <w:sz w:val="20"/>
        </w:rPr>
        <w:t xml:space="preserve">and </w:t>
      </w:r>
      <w:hyperlink r:id="rId11">
        <w:r>
          <w:rPr>
            <w:rStyle w:val="InternetLink"/>
          </w:rPr>
          <w:t>June</w:t>
        </w:r>
      </w:hyperlink>
      <w:hyperlink r:id="rId12">
        <w:r>
          <w:rPr>
            <w:rStyle w:val="InternetLink"/>
          </w:rPr>
          <w:t xml:space="preserve"> </w:t>
        </w:r>
      </w:hyperlink>
      <w:hyperlink r:id="rId13">
        <w:r>
          <w:rPr>
            <w:rStyle w:val="InternetLink"/>
          </w:rPr>
          <w:t>11, 2025</w:t>
        </w:r>
      </w:hyperlink>
      <w:r>
        <w:rPr>
          <w:color w:val="000000"/>
        </w:rPr>
        <w:t xml:space="preserve"> </w:t>
      </w:r>
      <w:r>
        <w:rPr>
          <w:rFonts w:ascii="Times New Roman;sans-serif" w:hAnsi="Times New Roman;sans-serif"/>
          <w:b w:val="false"/>
          <w:color w:val="000000"/>
          <w:sz w:val="20"/>
        </w:rPr>
        <w:t>(except for any portions of such Current Reports on Form 8-K furnished pursuant to Item 2.02 and/or Item 7.01 thereof and any corresponding exhibits thereto not filed with the SEC).</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Our Definitive Proxy Statement on Schedule 14A, filed with the SEC on </w:t>
      </w:r>
      <w:hyperlink r:id="rId14">
        <w:r>
          <w:rPr>
            <w:rStyle w:val="InternetLink"/>
            <w:rFonts w:ascii="Times New Roman;sans-serif" w:hAnsi="Times New Roman;sans-serif"/>
            <w:b w:val="false"/>
            <w:color w:val="0000FF"/>
            <w:sz w:val="20"/>
            <w:u w:val="single"/>
          </w:rPr>
          <w:t>April 30, 2025</w:t>
        </w:r>
      </w:hyperlink>
      <w:r>
        <w:rPr>
          <w:color w:val="000000"/>
        </w:rPr>
        <w:t xml:space="preserve"> </w:t>
      </w:r>
      <w:r>
        <w:rPr>
          <w:rFonts w:ascii="Times New Roman;sans-serif" w:hAnsi="Times New Roman;sans-serif"/>
          <w:b w:val="false"/>
          <w:color w:val="000000"/>
          <w:sz w:val="20"/>
        </w:rPr>
        <w:t>(to the extent specifically incorporated by reference into our Annual Report on Form 10-K).</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description of our common stock set forth in the Registrant’s registration statement on Form 8-A12B (Registration No. 001-39049), filed with the SEC under Section 12(b) of the Exchange Act, on </w:t>
      </w:r>
      <w:hyperlink r:id="rId15">
        <w:r>
          <w:rPr>
            <w:rStyle w:val="InternetLink"/>
            <w:rFonts w:ascii="Times New Roman;sans-serif" w:hAnsi="Times New Roman;sans-serif"/>
            <w:b w:val="false"/>
            <w:color w:val="0000FF"/>
            <w:sz w:val="20"/>
            <w:u w:val="single"/>
          </w:rPr>
          <w:t>September 13, 2019</w:t>
        </w:r>
      </w:hyperlink>
      <w:r>
        <w:rPr>
          <w:rFonts w:ascii="Times New Roman;sans-serif" w:hAnsi="Times New Roman;sans-serif"/>
          <w:b w:val="false"/>
          <w:color w:val="000000"/>
          <w:sz w:val="20"/>
        </w:rPr>
        <w:t>, including any amendments or reports filed for the purpose of updating such description.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all reports and other documents filed by us pursuant to the Exchange Act after the date of the initial registration statement and prior to effectiveness of the registration statement shall be deemed to be incorporated by reference into this prospectus and deemed to be a part of this prospectus from the date of filing of such reports and documents.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Notwithstanding the foregoing, we are not incorporating by reference any documents or portions thereof that are not deemed “filed” with the SEC, including our Compensation Committee report and performance graph or any information furnished pursuant to Items 2.02 or 7.01 of Form 8-K or related exhibits furnished pursuant to Item 9.01 of Form 8-K.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You may request a free copy of any of the documents incorporated by reference in this prospectus by writing or telephoning us at the following address: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Exagen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Attention: Corporate Secretary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1261 Liberty Way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Vista, California 92081</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(760) 560-1501</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Exhibits to the filings will not be sent, however, unless those exhibits have specifically been incorporated by reference in this prospectus or any accompanying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500"/>
        <w:jc w:val="center"/>
        <w:rPr/>
      </w:pPr>
      <w:r>
        <w:rPr/>
        <w:drawing>
          <wp:inline distT="0" distB="0" distL="0" distR="0">
            <wp:extent cx="2476500" cy="904875"/>
            <wp:effectExtent l="0" t="0" r="0" b="0"/>
            <wp:docPr id="2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 descr=""/>
                    <pic:cNvPicPr>
                      <a:picLocks noChangeAspect="1" noChangeArrowheads="1"/>
                    </pic:cNvPicPr>
                  </pic:nvPicPr>
                  <pic:blipFill>
                    <a:blip r:embed="rId16"/>
                    <a:stretch>
                      <a:fillRect/>
                    </a:stretch>
                  </pic:blipFill>
                  <pic:spPr bwMode="auto">
                    <a:xfrm>
                      <a:off x="0" y="0"/>
                      <a:ext cx="2476500" cy="904875"/>
                    </a:xfrm>
                    <a:prstGeom prst="rect">
                      <a:avLst/>
                    </a:prstGeom>
                  </pic:spPr>
                </pic:pic>
              </a:graphicData>
            </a:graphic>
          </wp:inline>
        </w:drawing>
      </w:r>
    </w:p>
    <w:p>
      <w:pPr>
        <w:pStyle w:val="TextBody"/>
        <w:bidi w:val="0"/>
        <w:spacing w:lineRule="auto" w:line="288" w:before="0" w:after="180"/>
        <w:jc w:val="center"/>
        <w:rPr>
          <w:rFonts w:ascii="Times New Roman;sans-serif" w:hAnsi="Times New Roman;sans-serif"/>
          <w:b/>
          <w:color w:val="000000"/>
          <w:sz w:val="36"/>
        </w:rPr>
      </w:pPr>
      <w:r>
        <w:rPr>
          <w:rFonts w:ascii="Times New Roman;sans-serif" w:hAnsi="Times New Roman;sans-serif"/>
          <w:b/>
          <w:color w:val="000000"/>
          <w:sz w:val="36"/>
        </w:rPr>
        <w:t>Up to 1,150,000 Shares of Common Stock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PROSPECTUS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600"/>
        <w:jc w:val="center"/>
        <w:rPr>
          <w:color w:val="000000"/>
        </w:rPr>
      </w:pPr>
      <w:r>
        <w:rPr>
          <w:color w:val="000000"/>
        </w:rPr>
        <w:t>                  </w:t>
      </w:r>
      <w:r>
        <w:rPr>
          <w:rFonts w:ascii="Times New Roman;sans-serif" w:hAnsi="Times New Roman;sans-serif"/>
          <w:b/>
          <w:color w:val="000000"/>
          <w:sz w:val="20"/>
        </w:rPr>
        <w:t>,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6"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INFORMATION NOT REQUIRED IN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14.    Other Expenses of Issuance and Distribution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an estimate of the expenses (all of which are to be paid by the registrant) that we may incur in connection with the securities being registered hereby.</w:t>
      </w:r>
    </w:p>
    <w:tbl>
      <w:tblPr>
        <w:tblW w:w="3905" w:type="dxa"/>
        <w:jc w:val="left"/>
        <w:tblInd w:w="0" w:type="dxa"/>
        <w:tblLayout w:type="fixed"/>
        <w:tblCellMar>
          <w:top w:w="28" w:type="dxa"/>
          <w:left w:w="28" w:type="dxa"/>
          <w:bottom w:w="28" w:type="dxa"/>
          <w:right w:w="28" w:type="dxa"/>
        </w:tblCellMar>
      </w:tblPr>
      <w:tblGrid>
        <w:gridCol w:w="930"/>
        <w:gridCol w:w="815"/>
        <w:gridCol w:w="819"/>
        <w:gridCol w:w="211"/>
        <w:gridCol w:w="976"/>
        <w:gridCol w:w="154"/>
      </w:tblGrid>
      <w:tr>
        <w:trPr/>
        <w:tc>
          <w:tcPr>
            <w:tcW w:w="93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 registration fee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1,316.09 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fees and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fees and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Miscellaneous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56,316.09 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15.    Indemnification of Directors and Officers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Section 102 of the DGCL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provides that no director of the Company shall be personally liable to it or its stockholders for monetary damages for any breach of fiduciary duty as a director, notwithstanding any provision of law imposing such liability, except to the extent that the DGCL prohibits the elimination or limitation of liability of directors for breaches of fiduciary duty.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Section 145 of the DGCL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Delaware Court of Chancery or other adjudicating court determines that, despite the adjudication of liability but in view of all of the circumstances of the case, such person is fairly and reasonably entitled to indemnity for such expenses which the Delaware Court of Chancery or such other court shall deem proper.</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Certificate of Incorporation provides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Certificate of Incorporation provides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II-1</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a general liability insurance policy that covers certain liabilities of directors and officers of our corporation arising out of claims based on acts or omissions in their capacities as directors or officers.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Any underwriting agreement or distribution agreement that we enter into with any underwriter or agents involved in the offering or sale of any securities registered hereby may require such underwriters or dealers to indemnify us, some or all of our directors and officers and our controlling persons, if any, for specified liabilities, which may include liabilities under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16.     Exhibits</w:t>
      </w:r>
    </w:p>
    <w:tbl>
      <w:tblPr>
        <w:tblW w:w="10205" w:type="dxa"/>
        <w:jc w:val="left"/>
        <w:tblInd w:w="0" w:type="dxa"/>
        <w:tblLayout w:type="fixed"/>
        <w:tblCellMar>
          <w:top w:w="28" w:type="dxa"/>
          <w:left w:w="28" w:type="dxa"/>
          <w:bottom w:w="28" w:type="dxa"/>
          <w:right w:w="28" w:type="dxa"/>
        </w:tblCellMar>
      </w:tblPr>
      <w:tblGrid>
        <w:gridCol w:w="275"/>
        <w:gridCol w:w="241"/>
        <w:gridCol w:w="243"/>
        <w:gridCol w:w="109"/>
        <w:gridCol w:w="109"/>
        <w:gridCol w:w="109"/>
        <w:gridCol w:w="1345"/>
        <w:gridCol w:w="1343"/>
        <w:gridCol w:w="1249"/>
        <w:gridCol w:w="109"/>
        <w:gridCol w:w="109"/>
        <w:gridCol w:w="109"/>
        <w:gridCol w:w="140"/>
        <w:gridCol w:w="140"/>
        <w:gridCol w:w="141"/>
        <w:gridCol w:w="109"/>
        <w:gridCol w:w="109"/>
        <w:gridCol w:w="109"/>
        <w:gridCol w:w="223"/>
        <w:gridCol w:w="223"/>
        <w:gridCol w:w="228"/>
        <w:gridCol w:w="109"/>
        <w:gridCol w:w="109"/>
        <w:gridCol w:w="109"/>
        <w:gridCol w:w="185"/>
        <w:gridCol w:w="185"/>
        <w:gridCol w:w="186"/>
        <w:gridCol w:w="109"/>
        <w:gridCol w:w="109"/>
        <w:gridCol w:w="109"/>
        <w:gridCol w:w="268"/>
        <w:gridCol w:w="268"/>
        <w:gridCol w:w="269"/>
        <w:gridCol w:w="109"/>
        <w:gridCol w:w="109"/>
        <w:gridCol w:w="109"/>
        <w:gridCol w:w="317"/>
        <w:gridCol w:w="317"/>
        <w:gridCol w:w="457"/>
      </w:tblGrid>
      <w:tr>
        <w:trPr/>
        <w:tc>
          <w:tcPr>
            <w:tcW w:w="27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Exhibit 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Filed/Furnished Herewith</w:t>
            </w:r>
          </w:p>
        </w:tc>
      </w:tr>
      <w:tr>
        <w:trPr/>
        <w:tc>
          <w:tcPr>
            <w:tcW w:w="7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18"/>
                  <w:u w:val="single"/>
                </w:rPr>
                <w:t>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001-39049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9/23/2019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18"/>
                  <w:u w:val="single"/>
                </w:rPr>
                <w:t>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001-39049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3/22/2021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18"/>
                  <w:u w:val="single"/>
                </w:rPr>
                <w:t>Amendment to Amended and Restated Bylaws, dated January 19, 2023</w:t>
              </w:r>
            </w:hyperlink>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001-39049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1/23/2023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18"/>
                  <w:u w:val="single"/>
                </w:rPr>
                <w:t>Warrant Certificate, dated April 25, 2025, issued by the Company to Perceptive Credit Holdings IV, LP</w:t>
              </w:r>
            </w:hyperlink>
            <w:r>
              <w:rPr>
                <w:rFonts w:ascii="Times New Roman;sans-serif" w:hAnsi="Times New Roman;sans-serif"/>
                <w:b w:val="false"/>
                <w:color w:val="000000"/>
                <w:sz w:val="18"/>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001-39049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4/28/2025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80"/>
                  <w:sz w:val="18"/>
                  <w:u w:val="single"/>
                </w:rPr>
                <w:t>Credit Agreement and Guaranty, dated April 25, 2025, by and among the Company and Perceptive Credit Holdings IV, LP</w:t>
              </w:r>
            </w:hyperlink>
            <w:hyperlink r:id="rId22">
              <w:r>
                <w:rPr>
                  <w:rStyle w:val="InternetLink"/>
                  <w:rFonts w:ascii="Times New Roman;sans-serif" w:hAnsi="Times New Roman;sans-serif"/>
                  <w:b w:val="false"/>
                  <w:color w:val="000080"/>
                  <w:sz w:val="18"/>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001-39049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4/28/2025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18"/>
                  <w:u w:val="single"/>
                </w:rPr>
                <w:t>Security Agreement, dated April 25, 2025, by and among the Company and Perceptive Credit Holdings IV, 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001-39049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4/28/2025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junesx3.htm">
              <w:r>
                <w:rPr>
                  <w:rStyle w:val="InternetLink"/>
                  <w:rFonts w:ascii="Times New Roman;sans-serif" w:hAnsi="Times New Roman;sans-serif"/>
                  <w:b w:val="false"/>
                  <w:color w:val="0000FF"/>
                  <w:sz w:val="18"/>
                  <w:u w:val="single"/>
                </w:rPr>
                <w:t>Opinion of Mintz, Levin, Cohn, Ferris, Glovsky and Popeo, P.C.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junesx3.htm">
              <w:r>
                <w:rPr>
                  <w:rStyle w:val="InternetLink"/>
                  <w:rFonts w:ascii="Times New Roman;sans-serif" w:hAnsi="Times New Roman;sans-serif"/>
                  <w:b w:val="false"/>
                  <w:color w:val="0000FF"/>
                  <w:sz w:val="18"/>
                  <w:u w:val="single"/>
                </w:rPr>
                <w:t>Consent of Mintz, Levin, Cohn, Ferris, Glovsky and Popeo, P.C. (included in Exhibit 5.1).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2-junesx3.htm">
              <w:r>
                <w:rPr>
                  <w:rStyle w:val="InternetLink"/>
                  <w:rFonts w:ascii="Times New Roman;sans-serif" w:hAnsi="Times New Roman;sans-serif"/>
                  <w:b w:val="false"/>
                  <w:color w:val="0000FF"/>
                  <w:sz w:val="18"/>
                  <w:u w:val="single"/>
                </w:rPr>
                <w:t>Consent of BDO USA, P.C.,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cf4447730447c281632288ae7798db_67">
              <w:r>
                <w:rPr>
                  <w:rStyle w:val="InternetLink"/>
                  <w:rFonts w:ascii="Times New Roman;sans-serif" w:hAnsi="Times New Roman;sans-serif"/>
                  <w:b w:val="false"/>
                  <w:color w:val="0000FF"/>
                  <w:sz w:val="18"/>
                  <w:u w:val="single"/>
                </w:rPr>
                <w:t>Powers of Attorney (incorporated by reference to the signature page 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7-junesx3.htm">
              <w:r>
                <w:rPr>
                  <w:rStyle w:val="InternetLink"/>
                  <w:rFonts w:ascii="Times New Roman;sans-serif" w:hAnsi="Times New Roman;sans-serif"/>
                  <w:b w:val="false"/>
                  <w:color w:val="000080"/>
                  <w:sz w:val="18"/>
                  <w:u w:val="single"/>
                </w:rPr>
                <w:t xml:space="preserve">Filing </w:t>
              </w:r>
            </w:hyperlink>
            <w:hyperlink w:anchor="exhibit107-junesx3.htm">
              <w:r>
                <w:rPr>
                  <w:rStyle w:val="InternetLink"/>
                  <w:rFonts w:ascii="Times New Roman;sans-serif" w:hAnsi="Times New Roman;sans-serif"/>
                  <w:b w:val="false"/>
                  <w:color w:val="000080"/>
                  <w:sz w:val="18"/>
                  <w:u w:val="single"/>
                </w:rPr>
                <w:t>F</w:t>
              </w:r>
            </w:hyperlink>
            <w:hyperlink w:anchor="exhibit107-junesx3.htm">
              <w:r>
                <w:rPr>
                  <w:rStyle w:val="InternetLink"/>
                  <w:rFonts w:ascii="Times New Roman;sans-serif" w:hAnsi="Times New Roman;sans-serif"/>
                  <w:b w:val="false"/>
                  <w:color w:val="000080"/>
                  <w:sz w:val="18"/>
                  <w:u w:val="single"/>
                </w:rPr>
                <w:t xml:space="preserve">ee </w:t>
              </w:r>
            </w:hyperlink>
            <w:hyperlink w:anchor="exhibit107-junesx3.htm">
              <w:r>
                <w:rPr>
                  <w:rStyle w:val="InternetLink"/>
                  <w:rFonts w:ascii="Times New Roman;sans-serif" w:hAnsi="Times New Roman;sans-serif"/>
                  <w:b w:val="false"/>
                  <w:color w:val="000080"/>
                  <w:sz w:val="18"/>
                  <w:u w:val="single"/>
                </w:rPr>
                <w:t>T</w:t>
              </w:r>
            </w:hyperlink>
            <w:hyperlink w:anchor="exhibit107-junesx3.htm">
              <w:r>
                <w:rPr>
                  <w:rStyle w:val="InternetLink"/>
                  <w:rFonts w:ascii="Times New Roman;sans-serif" w:hAnsi="Times New Roman;sans-serif"/>
                  <w:b w:val="false"/>
                  <w:color w:val="000080"/>
                  <w:sz w:val="18"/>
                  <w:u w:val="single"/>
                </w:rPr>
                <w:t>able.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Certain schedules to this exhibit have been omitted pursuant to Item 601(a)(5) of Regulation S-K. Copies of the omitted schedules will be furnished to the SEC upon request.</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II-2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II-2</w:t>
                      </w:r>
                    </w:p>
                  </w:txbxContent>
                </v:textbox>
                <w10:wrap type="none"/>
              </v:rect>
            </w:pict>
          </mc:Fallback>
        </mc:AlternateContent>
      </w:r>
    </w:p>
    <w:p>
      <w:pPr>
        <w:pStyle w:val="TextBody"/>
        <w:bidi w:val="0"/>
        <w:spacing w:lineRule="auto" w:line="288" w:before="0" w:after="18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Confidential information has been omitted because it is both (i) not material and (ii) is the type of information that the Company treats as private or confidential pursuant to Item 601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17.     Undertakings</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(a)The undersigned registrant hereby undertakes:</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(1)To file, during any period in which offers or sales are being made, a post-effective amendment to this registration statement: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(i)To include any prospectus required by Section 10(a)(3) of the Securities Act of 1933, as amended (the “Securities Act”);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(ii)To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(iii)To include any material information with respect to the plan of distribution not previously disclosed in the registration statement or any material change to such information in the registration statement.</w:t>
      </w:r>
    </w:p>
    <w:p>
      <w:pPr>
        <w:pStyle w:val="TextBody"/>
        <w:bidi w:val="0"/>
        <w:spacing w:lineRule="auto" w:line="288" w:before="0" w:after="180"/>
        <w:jc w:val="left"/>
        <w:rPr/>
      </w:pP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paragraphs (a)(1)(i), (a)(1)(ii), and (a)(1)(iii) above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(3)To remove from registration by means of a post-effective amendment any of the securities being registered which remain unsold at the termination of the offering.</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(4)That, for the purpose of determining liability under the Securities Act to any purchaser:</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II-3</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statement that was made in the registration statement or prospectus that was part of the registration statement or made in any such document immediately prior to such effective date.</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(i)Any preliminary prospectus or prospectus of the undersigned registrant relating to the offering required to be filed pursuant to Rule 424;</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(ii)Any free writing prospectus relating to the offering prepared by or on behalf of the undersigned registrant or used or referred to by the undersigned registrant;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(iii)The portion of any other free writing prospectus relating to the offering containing material information about the undersigned registrant or its securities provided by or on behalf of the undersigned registrant; and</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(iv)Any other communication that is an offer in the offering made by the undersigned registrant to the purchaser.</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II-4</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Vista, California, on June 20, 2025.</w:t>
      </w:r>
    </w:p>
    <w:tbl>
      <w:tblPr>
        <w:tblW w:w="4209" w:type="dxa"/>
        <w:jc w:val="left"/>
        <w:tblInd w:w="0" w:type="dxa"/>
        <w:tblLayout w:type="fixed"/>
        <w:tblCellMar>
          <w:top w:w="28" w:type="dxa"/>
          <w:left w:w="28" w:type="dxa"/>
          <w:bottom w:w="28" w:type="dxa"/>
          <w:right w:w="28" w:type="dxa"/>
        </w:tblCellMar>
      </w:tblPr>
      <w:tblGrid>
        <w:gridCol w:w="124"/>
        <w:gridCol w:w="109"/>
        <w:gridCol w:w="109"/>
        <w:gridCol w:w="219"/>
        <w:gridCol w:w="219"/>
        <w:gridCol w:w="219"/>
        <w:gridCol w:w="938"/>
        <w:gridCol w:w="938"/>
        <w:gridCol w:w="13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EXAGEN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Aballi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Aballi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Each of the undersigned officers and directors of the registrant hereby severally constitutes and appoints John Aballi and Jeffrey G. Black, and each of them singly (with full power to each of them to act alone), as his true and lawful attorneys-in-fact and agents, with full power of substitution and resubstitution in each of them, for him and in his name, place and stead, and in any and all capacities, to file and sign any and all amendments, including post-effective amendments, to this registration statement and any other registration statement for the same offering that is to be effective under Rule 462(b) of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of 1933, as amended, this registration statement has been signed below by the following persons on behalf of the registrant in the capacities and on the dates indicated.</w:t>
      </w:r>
    </w:p>
    <w:tbl>
      <w:tblPr>
        <w:tblW w:w="10205" w:type="dxa"/>
        <w:jc w:val="left"/>
        <w:tblInd w:w="0" w:type="dxa"/>
        <w:tblLayout w:type="fixed"/>
        <w:tblCellMar>
          <w:top w:w="28" w:type="dxa"/>
          <w:left w:w="28" w:type="dxa"/>
          <w:bottom w:w="28" w:type="dxa"/>
          <w:right w:w="28" w:type="dxa"/>
        </w:tblCellMar>
      </w:tblPr>
      <w:tblGrid>
        <w:gridCol w:w="741"/>
        <w:gridCol w:w="652"/>
        <w:gridCol w:w="653"/>
        <w:gridCol w:w="109"/>
        <w:gridCol w:w="109"/>
        <w:gridCol w:w="109"/>
        <w:gridCol w:w="2151"/>
        <w:gridCol w:w="2123"/>
        <w:gridCol w:w="2151"/>
        <w:gridCol w:w="109"/>
        <w:gridCol w:w="109"/>
        <w:gridCol w:w="109"/>
        <w:gridCol w:w="315"/>
        <w:gridCol w:w="315"/>
        <w:gridCol w:w="450"/>
      </w:tblGrid>
      <w:tr>
        <w:trPr/>
        <w:tc>
          <w:tcPr>
            <w:tcW w:w="74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r>
      <w:tr>
        <w:trPr/>
        <w:tc>
          <w:tcPr>
            <w:tcW w:w="2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20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John Aballi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 2025</w:t>
            </w:r>
          </w:p>
        </w:tc>
      </w:tr>
      <w:tr>
        <w:trPr/>
        <w:tc>
          <w:tcPr>
            <w:tcW w:w="2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Aballi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Jeffrey G. Black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Corporate Secretary (principal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 2025</w:t>
            </w:r>
          </w:p>
        </w:tc>
      </w:tr>
      <w:tr>
        <w:trPr/>
        <w:tc>
          <w:tcPr>
            <w:tcW w:w="2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G. Black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Tina S. Nova,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Chairman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 2025</w:t>
            </w:r>
          </w:p>
        </w:tc>
      </w:tr>
      <w:tr>
        <w:trPr/>
        <w:tc>
          <w:tcPr>
            <w:tcW w:w="2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Tina S. Nova,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Ana Hooker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 2025</w:t>
            </w:r>
          </w:p>
        </w:tc>
      </w:tr>
      <w:tr>
        <w:trPr/>
        <w:tc>
          <w:tcPr>
            <w:tcW w:w="2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Ana Hooker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Scott Kahn,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 2025</w:t>
            </w:r>
          </w:p>
        </w:tc>
      </w:tr>
      <w:tr>
        <w:trPr/>
        <w:tc>
          <w:tcPr>
            <w:tcW w:w="2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Kahn,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Paul Kim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 2025</w:t>
            </w:r>
          </w:p>
        </w:tc>
      </w:tr>
      <w:tr>
        <w:trPr/>
        <w:tc>
          <w:tcPr>
            <w:tcW w:w="2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Kim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Bruce C. Robertson,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 2025</w:t>
            </w:r>
          </w:p>
        </w:tc>
      </w:tr>
      <w:tr>
        <w:trPr/>
        <w:tc>
          <w:tcPr>
            <w:tcW w:w="2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Bruce C. Robertson,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Frank Stokes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 2025</w:t>
            </w:r>
          </w:p>
        </w:tc>
      </w:tr>
      <w:tr>
        <w:trPr/>
        <w:tc>
          <w:tcPr>
            <w:tcW w:w="2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Frank Stokes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107</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2.85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II-5</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Calculation of Filing Fee Tables </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Form S-3 </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(Form Type)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Exagen Inc. </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(Exact Name of Registrant as Specified in its Charter) </w:t>
      </w:r>
    </w:p>
    <w:p>
      <w:pPr>
        <w:pStyle w:val="TextBody"/>
        <w:bidi w:val="0"/>
        <w:spacing w:lineRule="auto" w:line="288" w:before="0" w:after="24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Table 1: Newly Registered Securities </w:t>
      </w:r>
    </w:p>
    <w:tbl>
      <w:tblPr>
        <w:tblW w:w="11115" w:type="dxa"/>
        <w:jc w:val="left"/>
        <w:tblInd w:w="0" w:type="dxa"/>
        <w:tblLayout w:type="fixed"/>
        <w:tblCellMar>
          <w:top w:w="28" w:type="dxa"/>
          <w:left w:w="28" w:type="dxa"/>
          <w:bottom w:w="28" w:type="dxa"/>
          <w:right w:w="28" w:type="dxa"/>
        </w:tblCellMar>
      </w:tblPr>
      <w:tblGrid>
        <w:gridCol w:w="185"/>
        <w:gridCol w:w="162"/>
        <w:gridCol w:w="164"/>
        <w:gridCol w:w="109"/>
        <w:gridCol w:w="109"/>
        <w:gridCol w:w="109"/>
        <w:gridCol w:w="270"/>
        <w:gridCol w:w="270"/>
        <w:gridCol w:w="271"/>
        <w:gridCol w:w="109"/>
        <w:gridCol w:w="109"/>
        <w:gridCol w:w="109"/>
        <w:gridCol w:w="284"/>
        <w:gridCol w:w="284"/>
        <w:gridCol w:w="288"/>
        <w:gridCol w:w="109"/>
        <w:gridCol w:w="109"/>
        <w:gridCol w:w="109"/>
        <w:gridCol w:w="365"/>
        <w:gridCol w:w="365"/>
        <w:gridCol w:w="366"/>
        <w:gridCol w:w="109"/>
        <w:gridCol w:w="109"/>
        <w:gridCol w:w="109"/>
        <w:gridCol w:w="335"/>
        <w:gridCol w:w="335"/>
        <w:gridCol w:w="336"/>
        <w:gridCol w:w="109"/>
        <w:gridCol w:w="109"/>
        <w:gridCol w:w="109"/>
        <w:gridCol w:w="330"/>
        <w:gridCol w:w="330"/>
        <w:gridCol w:w="331"/>
        <w:gridCol w:w="109"/>
        <w:gridCol w:w="109"/>
        <w:gridCol w:w="109"/>
        <w:gridCol w:w="344"/>
        <w:gridCol w:w="344"/>
        <w:gridCol w:w="348"/>
        <w:gridCol w:w="109"/>
        <w:gridCol w:w="109"/>
        <w:gridCol w:w="109"/>
        <w:gridCol w:w="329"/>
        <w:gridCol w:w="329"/>
        <w:gridCol w:w="333"/>
        <w:gridCol w:w="109"/>
        <w:gridCol w:w="109"/>
        <w:gridCol w:w="109"/>
        <w:gridCol w:w="351"/>
        <w:gridCol w:w="351"/>
        <w:gridCol w:w="499"/>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op w:val="single" w:sz="6" w:space="0" w:color="000000"/>
              <w:left w:val="single" w:sz="6" w:space="0" w:color="000000"/>
            </w:tcBorders>
            <w:tcMar>
              <w:top w:w="30" w:type="dxa"/>
              <w:left w:w="135"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1138" w:type="dxa"/>
            <w:gridSpan w:val="6"/>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1183" w:type="dxa"/>
            <w:gridSpan w:val="6"/>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1423" w:type="dxa"/>
            <w:gridSpan w:val="6"/>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1333" w:type="dxa"/>
            <w:gridSpan w:val="6"/>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1318" w:type="dxa"/>
            <w:gridSpan w:val="6"/>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1363" w:type="dxa"/>
            <w:gridSpan w:val="6"/>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1318" w:type="dxa"/>
            <w:gridSpan w:val="6"/>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1528" w:type="dxa"/>
            <w:gridSpan w:val="6"/>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319" w:before="0" w:after="283"/>
              <w:jc w:val="left"/>
              <w:rPr>
                <w:color w:val="000000"/>
              </w:rPr>
            </w:pPr>
            <w:r>
              <w:rPr>
                <w:color w:val="000000"/>
              </w:rPr>
              <w:t> </w:t>
            </w:r>
          </w:p>
        </w:tc>
      </w:tr>
      <w:tr>
        <w:trPr/>
        <w:tc>
          <w:tcPr>
            <w:tcW w:w="511" w:type="dxa"/>
            <w:gridSpan w:val="3"/>
            <w:tcBorders>
              <w:left w:val="single" w:sz="6" w:space="0" w:color="000000"/>
            </w:tcBorders>
            <w:tcMar>
              <w:top w:w="0" w:type="dxa"/>
              <w:left w:w="135"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327" w:type="dxa"/>
            <w:gridSpan w:val="3"/>
            <w:tcBorders>
              <w:left w:val="single" w:sz="6" w:space="0" w:color="000000"/>
            </w:tcBorders>
            <w:tcMar>
              <w:top w:w="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81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Security</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Type</w:t>
            </w:r>
          </w:p>
        </w:tc>
        <w:tc>
          <w:tcPr>
            <w:tcW w:w="327" w:type="dxa"/>
            <w:gridSpan w:val="3"/>
            <w:tcBorders>
              <w:left w:val="single" w:sz="6" w:space="0" w:color="000000"/>
            </w:tcBorders>
            <w:tcMar>
              <w:top w:w="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85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Security</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Class</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left w:val="single" w:sz="6" w:space="0" w:color="000000"/>
            </w:tcBorders>
            <w:tcMar>
              <w:top w:w="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109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Fee</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Calculation</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w:t>
            </w:r>
          </w:p>
        </w:tc>
        <w:tc>
          <w:tcPr>
            <w:tcW w:w="327" w:type="dxa"/>
            <w:gridSpan w:val="3"/>
            <w:tcBorders>
              <w:left w:val="single" w:sz="6" w:space="0" w:color="000000"/>
            </w:tcBorders>
            <w:tcMar>
              <w:top w:w="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100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Registered</w:t>
            </w:r>
          </w:p>
        </w:tc>
        <w:tc>
          <w:tcPr>
            <w:tcW w:w="327" w:type="dxa"/>
            <w:gridSpan w:val="3"/>
            <w:tcBorders>
              <w:left w:val="single" w:sz="6" w:space="0" w:color="000000"/>
            </w:tcBorders>
            <w:tcMar>
              <w:top w:w="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99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Proposed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Maximum</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Offering</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Price Per</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Share(2)</w:t>
            </w:r>
          </w:p>
        </w:tc>
        <w:tc>
          <w:tcPr>
            <w:tcW w:w="327" w:type="dxa"/>
            <w:gridSpan w:val="3"/>
            <w:tcBorders>
              <w:left w:val="single" w:sz="6" w:space="0" w:color="000000"/>
            </w:tcBorders>
            <w:tcMar>
              <w:top w:w="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103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Maximum</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Aggregate</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Offering</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Price</w:t>
            </w:r>
          </w:p>
        </w:tc>
        <w:tc>
          <w:tcPr>
            <w:tcW w:w="327" w:type="dxa"/>
            <w:gridSpan w:val="3"/>
            <w:tcBorders>
              <w:left w:val="single" w:sz="6" w:space="0" w:color="000000"/>
            </w:tcBorders>
            <w:tcMar>
              <w:top w:w="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99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Fee</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Rate</w:t>
            </w:r>
          </w:p>
        </w:tc>
        <w:tc>
          <w:tcPr>
            <w:tcW w:w="327" w:type="dxa"/>
            <w:gridSpan w:val="3"/>
            <w:tcBorders>
              <w:left w:val="single" w:sz="6" w:space="0" w:color="000000"/>
            </w:tcBorders>
            <w:tcMar>
              <w:top w:w="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1201" w:type="dxa"/>
            <w:gridSpan w:val="3"/>
            <w:tcBorders>
              <w:bottom w:val="single" w:sz="6" w:space="0" w:color="000000"/>
              <w:right w:val="single" w:sz="6" w:space="0" w:color="000000"/>
            </w:tcBorders>
            <w:tcMar>
              <w:top w:w="0" w:type="dxa"/>
              <w:left w:w="0" w:type="dxa"/>
              <w:bottom w:w="3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 of</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Registration</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Fee</w:t>
            </w:r>
          </w:p>
        </w:tc>
      </w:tr>
      <w:tr>
        <w:trPr/>
        <w:tc>
          <w:tcPr>
            <w:tcW w:w="511" w:type="dxa"/>
            <w:gridSpan w:val="3"/>
            <w:tcBorders>
              <w:top w:val="single" w:sz="6" w:space="0" w:color="000000"/>
              <w:left w:val="single" w:sz="6" w:space="0" w:color="000000"/>
            </w:tcBorders>
            <w:tcMar>
              <w:top w:w="30" w:type="dxa"/>
              <w:left w:w="135"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1138" w:type="dxa"/>
            <w:gridSpan w:val="6"/>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1183" w:type="dxa"/>
            <w:gridSpan w:val="6"/>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1423" w:type="dxa"/>
            <w:gridSpan w:val="6"/>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1333" w:type="dxa"/>
            <w:gridSpan w:val="6"/>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1318" w:type="dxa"/>
            <w:gridSpan w:val="6"/>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1363" w:type="dxa"/>
            <w:gridSpan w:val="6"/>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1318" w:type="dxa"/>
            <w:gridSpan w:val="6"/>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1528" w:type="dxa"/>
            <w:gridSpan w:val="6"/>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319" w:before="0" w:after="283"/>
              <w:jc w:val="left"/>
              <w:rPr>
                <w:color w:val="000000"/>
              </w:rPr>
            </w:pPr>
            <w:r>
              <w:rPr>
                <w:color w:val="000000"/>
              </w:rPr>
              <w:t> </w:t>
            </w:r>
          </w:p>
        </w:tc>
      </w:tr>
      <w:tr>
        <w:trPr/>
        <w:tc>
          <w:tcPr>
            <w:tcW w:w="511" w:type="dxa"/>
            <w:gridSpan w:val="3"/>
            <w:tcBorders>
              <w:left w:val="single" w:sz="6" w:space="0" w:color="000000"/>
            </w:tcBorders>
            <w:tcMar>
              <w:top w:w="0" w:type="dxa"/>
              <w:left w:w="78"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0"/>
              </w:rPr>
            </w:pPr>
            <w:r>
              <w:rPr>
                <w:rFonts w:ascii="Times New Roman;sans-serif" w:hAnsi="Times New Roman;sans-serif"/>
                <w:b/>
                <w:color w:val="000000"/>
                <w:sz w:val="20"/>
              </w:rPr>
              <w:t>Fees to Be Paid</w:t>
            </w:r>
          </w:p>
        </w:tc>
        <w:tc>
          <w:tcPr>
            <w:tcW w:w="327" w:type="dxa"/>
            <w:gridSpan w:val="3"/>
            <w:tcBorders>
              <w:left w:val="single" w:sz="6" w:space="0" w:color="000000"/>
              <w:bottom w:val="single" w:sz="6" w:space="0" w:color="000000"/>
            </w:tcBorders>
            <w:tcMar>
              <w:top w:w="0" w:type="dxa"/>
              <w:bottom w:w="30" w:type="dxa"/>
              <w:right w:w="0" w:type="dxa"/>
            </w:tcMar>
            <w:vAlign w:val="center"/>
          </w:tcPr>
          <w:p>
            <w:pPr>
              <w:pStyle w:val="TableContents"/>
              <w:bidi w:val="0"/>
              <w:spacing w:lineRule="auto" w:line="319" w:before="0" w:after="283"/>
              <w:jc w:val="left"/>
              <w:rPr>
                <w:color w:val="000000"/>
              </w:rPr>
            </w:pPr>
            <w:r>
              <w:rPr>
                <w:color w:val="000000"/>
              </w:rPr>
              <w:t> </w:t>
            </w:r>
          </w:p>
        </w:tc>
        <w:tc>
          <w:tcPr>
            <w:tcW w:w="81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327" w:type="dxa"/>
            <w:gridSpan w:val="3"/>
            <w:tcBorders>
              <w:left w:val="single" w:sz="6" w:space="0" w:color="000000"/>
              <w:bottom w:val="single" w:sz="6" w:space="0" w:color="000000"/>
            </w:tcBorders>
            <w:tcMar>
              <w:top w:w="0" w:type="dxa"/>
              <w:bottom w:w="30" w:type="dxa"/>
              <w:right w:w="0" w:type="dxa"/>
            </w:tcMar>
            <w:vAlign w:val="center"/>
          </w:tcPr>
          <w:p>
            <w:pPr>
              <w:pStyle w:val="TableContents"/>
              <w:bidi w:val="0"/>
              <w:spacing w:lineRule="auto" w:line="319" w:before="0" w:after="283"/>
              <w:jc w:val="left"/>
              <w:rPr>
                <w:color w:val="000000"/>
              </w:rPr>
            </w:pPr>
            <w:r>
              <w:rPr>
                <w:color w:val="000000"/>
              </w:rPr>
              <w:t> </w:t>
            </w:r>
          </w:p>
        </w:tc>
        <w:tc>
          <w:tcPr>
            <w:tcW w:w="85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w:t>
            </w:r>
          </w:p>
        </w:tc>
        <w:tc>
          <w:tcPr>
            <w:tcW w:w="327" w:type="dxa"/>
            <w:gridSpan w:val="3"/>
            <w:tcBorders>
              <w:left w:val="single" w:sz="6" w:space="0" w:color="000000"/>
              <w:bottom w:val="single" w:sz="6" w:space="0" w:color="000000"/>
            </w:tcBorders>
            <w:tcMar>
              <w:top w:w="0" w:type="dxa"/>
              <w:bottom w:w="30" w:type="dxa"/>
              <w:right w:w="0" w:type="dxa"/>
            </w:tcMar>
            <w:vAlign w:val="center"/>
          </w:tcPr>
          <w:p>
            <w:pPr>
              <w:pStyle w:val="TableContents"/>
              <w:bidi w:val="0"/>
              <w:spacing w:lineRule="auto" w:line="319" w:before="0" w:after="283"/>
              <w:jc w:val="left"/>
              <w:rPr>
                <w:color w:val="000000"/>
              </w:rPr>
            </w:pPr>
            <w:r>
              <w:rPr>
                <w:color w:val="000000"/>
              </w:rPr>
              <w:t> </w:t>
            </w:r>
          </w:p>
        </w:tc>
        <w:tc>
          <w:tcPr>
            <w:tcW w:w="109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457(c)</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and</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457(g)</w:t>
            </w:r>
          </w:p>
        </w:tc>
        <w:tc>
          <w:tcPr>
            <w:tcW w:w="327" w:type="dxa"/>
            <w:gridSpan w:val="3"/>
            <w:tcBorders>
              <w:left w:val="single" w:sz="6" w:space="0" w:color="000000"/>
              <w:bottom w:val="single" w:sz="6" w:space="0" w:color="000000"/>
            </w:tcBorders>
            <w:tcMar>
              <w:top w:w="0" w:type="dxa"/>
              <w:bottom w:w="30" w:type="dxa"/>
              <w:right w:w="0" w:type="dxa"/>
            </w:tcMar>
            <w:vAlign w:val="center"/>
          </w:tcPr>
          <w:p>
            <w:pPr>
              <w:pStyle w:val="TableContents"/>
              <w:bidi w:val="0"/>
              <w:spacing w:lineRule="auto" w:line="319" w:before="0" w:after="283"/>
              <w:jc w:val="left"/>
              <w:rPr>
                <w:color w:val="000000"/>
              </w:rPr>
            </w:pPr>
            <w:r>
              <w:rPr>
                <w:color w:val="000000"/>
              </w:rPr>
              <w:t> </w:t>
            </w:r>
          </w:p>
        </w:tc>
        <w:tc>
          <w:tcPr>
            <w:tcW w:w="100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1,150,000 (1)</w:t>
            </w:r>
          </w:p>
        </w:tc>
        <w:tc>
          <w:tcPr>
            <w:tcW w:w="327" w:type="dxa"/>
            <w:gridSpan w:val="3"/>
            <w:tcBorders>
              <w:left w:val="single" w:sz="6" w:space="0" w:color="000000"/>
            </w:tcBorders>
            <w:tcMar>
              <w:top w:w="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99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$7.475</w:t>
            </w:r>
          </w:p>
        </w:tc>
        <w:tc>
          <w:tcPr>
            <w:tcW w:w="327" w:type="dxa"/>
            <w:gridSpan w:val="3"/>
            <w:tcBorders>
              <w:left w:val="single" w:sz="6" w:space="0" w:color="000000"/>
            </w:tcBorders>
            <w:tcMar>
              <w:top w:w="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103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$8,596,250</w:t>
            </w:r>
          </w:p>
        </w:tc>
        <w:tc>
          <w:tcPr>
            <w:tcW w:w="327" w:type="dxa"/>
            <w:gridSpan w:val="3"/>
            <w:tcBorders>
              <w:left w:val="single" w:sz="6" w:space="0" w:color="000000"/>
            </w:tcBorders>
            <w:tcMar>
              <w:top w:w="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99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0.0001531</w:t>
            </w:r>
          </w:p>
        </w:tc>
        <w:tc>
          <w:tcPr>
            <w:tcW w:w="327" w:type="dxa"/>
            <w:gridSpan w:val="3"/>
            <w:tcBorders>
              <w:left w:val="single" w:sz="6" w:space="0" w:color="000000"/>
            </w:tcBorders>
            <w:tcMar>
              <w:top w:w="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1201" w:type="dxa"/>
            <w:gridSpan w:val="3"/>
            <w:tcBorders>
              <w:bottom w:val="single" w:sz="6" w:space="0" w:color="000000"/>
              <w:right w:val="single" w:sz="6" w:space="0" w:color="000000"/>
            </w:tcBorders>
            <w:tcMar>
              <w:top w:w="0" w:type="dxa"/>
              <w:left w:w="0" w:type="dxa"/>
              <w:bottom w:w="3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$1,316.09</w:t>
            </w:r>
          </w:p>
        </w:tc>
      </w:tr>
      <w:tr>
        <w:trPr/>
        <w:tc>
          <w:tcPr>
            <w:tcW w:w="5588" w:type="dxa"/>
            <w:gridSpan w:val="27"/>
            <w:tcBorders>
              <w:top w:val="single" w:sz="6" w:space="0" w:color="000000"/>
              <w:left w:val="single" w:sz="6" w:space="0" w:color="000000"/>
            </w:tcBorders>
            <w:tcMar>
              <w:top w:w="30" w:type="dxa"/>
              <w:left w:w="135"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1318" w:type="dxa"/>
            <w:gridSpan w:val="6"/>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1363" w:type="dxa"/>
            <w:gridSpan w:val="6"/>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1318" w:type="dxa"/>
            <w:gridSpan w:val="6"/>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1528" w:type="dxa"/>
            <w:gridSpan w:val="6"/>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319" w:before="0" w:after="283"/>
              <w:jc w:val="left"/>
              <w:rPr>
                <w:color w:val="000000"/>
              </w:rPr>
            </w:pPr>
            <w:r>
              <w:rPr>
                <w:color w:val="000000"/>
              </w:rPr>
              <w:t> </w:t>
            </w:r>
          </w:p>
        </w:tc>
      </w:tr>
      <w:tr>
        <w:trPr/>
        <w:tc>
          <w:tcPr>
            <w:tcW w:w="5588" w:type="dxa"/>
            <w:gridSpan w:val="27"/>
            <w:tcBorders>
              <w:left w:val="single" w:sz="6" w:space="0" w:color="000000"/>
              <w:bottom w:val="single" w:sz="6" w:space="0" w:color="000000"/>
            </w:tcBorders>
            <w:tcMar>
              <w:top w:w="0" w:type="dxa"/>
              <w:left w:w="78" w:type="dxa"/>
              <w:bottom w:w="3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0"/>
              </w:rPr>
            </w:pPr>
            <w:r>
              <w:rPr>
                <w:rFonts w:ascii="Times New Roman;sans-serif" w:hAnsi="Times New Roman;sans-serif"/>
                <w:b/>
                <w:color w:val="000000"/>
                <w:sz w:val="20"/>
              </w:rPr>
              <w:t>Total Offering Amount</w:t>
            </w:r>
          </w:p>
        </w:tc>
        <w:tc>
          <w:tcPr>
            <w:tcW w:w="327" w:type="dxa"/>
            <w:gridSpan w:val="3"/>
            <w:tcBorders>
              <w:left w:val="single" w:sz="6" w:space="0" w:color="000000"/>
            </w:tcBorders>
            <w:tcMar>
              <w:top w:w="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991"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tcMar>
              <w:top w:w="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103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$8,596,250</w:t>
            </w:r>
          </w:p>
        </w:tc>
        <w:tc>
          <w:tcPr>
            <w:tcW w:w="327" w:type="dxa"/>
            <w:gridSpan w:val="3"/>
            <w:tcBorders>
              <w:left w:val="single" w:sz="6" w:space="0" w:color="000000"/>
            </w:tcBorders>
            <w:tcMar>
              <w:top w:w="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991"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tcMar>
              <w:top w:w="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1201" w:type="dxa"/>
            <w:gridSpan w:val="3"/>
            <w:tcBorders>
              <w:bottom w:val="single" w:sz="6" w:space="0" w:color="000000"/>
              <w:right w:val="single" w:sz="6" w:space="0" w:color="000000"/>
            </w:tcBorders>
            <w:tcMar>
              <w:top w:w="0" w:type="dxa"/>
              <w:left w:w="0" w:type="dxa"/>
              <w:bottom w:w="3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$1,316.09</w:t>
            </w:r>
          </w:p>
        </w:tc>
      </w:tr>
      <w:tr>
        <w:trPr/>
        <w:tc>
          <w:tcPr>
            <w:tcW w:w="5588" w:type="dxa"/>
            <w:gridSpan w:val="27"/>
            <w:tcBorders>
              <w:top w:val="single" w:sz="6" w:space="0" w:color="000000"/>
              <w:left w:val="single" w:sz="6" w:space="0" w:color="000000"/>
            </w:tcBorders>
            <w:tcMar>
              <w:top w:w="30" w:type="dxa"/>
              <w:left w:w="135"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1318" w:type="dxa"/>
            <w:gridSpan w:val="6"/>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1363" w:type="dxa"/>
            <w:gridSpan w:val="6"/>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1318" w:type="dxa"/>
            <w:gridSpan w:val="6"/>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1528" w:type="dxa"/>
            <w:gridSpan w:val="6"/>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319" w:before="0" w:after="283"/>
              <w:jc w:val="left"/>
              <w:rPr>
                <w:color w:val="000000"/>
              </w:rPr>
            </w:pPr>
            <w:r>
              <w:rPr>
                <w:color w:val="000000"/>
              </w:rPr>
              <w:t> </w:t>
            </w:r>
          </w:p>
        </w:tc>
      </w:tr>
      <w:tr>
        <w:trPr/>
        <w:tc>
          <w:tcPr>
            <w:tcW w:w="5588" w:type="dxa"/>
            <w:gridSpan w:val="27"/>
            <w:tcBorders>
              <w:left w:val="single" w:sz="6" w:space="0" w:color="000000"/>
              <w:bottom w:val="single" w:sz="6" w:space="0" w:color="000000"/>
            </w:tcBorders>
            <w:tcMar>
              <w:top w:w="0" w:type="dxa"/>
              <w:left w:w="78" w:type="dxa"/>
              <w:bottom w:w="3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0"/>
              </w:rPr>
            </w:pPr>
            <w:r>
              <w:rPr>
                <w:rFonts w:ascii="Times New Roman;sans-serif" w:hAnsi="Times New Roman;sans-serif"/>
                <w:b/>
                <w:color w:val="000000"/>
                <w:sz w:val="20"/>
              </w:rPr>
              <w:t>Total Fees Previously Paid</w:t>
            </w:r>
          </w:p>
        </w:tc>
        <w:tc>
          <w:tcPr>
            <w:tcW w:w="327" w:type="dxa"/>
            <w:gridSpan w:val="3"/>
            <w:tcBorders>
              <w:left w:val="single" w:sz="6" w:space="0" w:color="000000"/>
            </w:tcBorders>
            <w:tcMar>
              <w:top w:w="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991"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tcMar>
              <w:top w:w="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1036"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tcMar>
              <w:top w:w="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991"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tcMar>
              <w:top w:w="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1201" w:type="dxa"/>
            <w:gridSpan w:val="3"/>
            <w:tcBorders>
              <w:bottom w:val="single" w:sz="6" w:space="0" w:color="000000"/>
              <w:right w:val="single" w:sz="6" w:space="0" w:color="000000"/>
            </w:tcBorders>
            <w:tcMar>
              <w:top w:w="0" w:type="dxa"/>
              <w:left w:w="0" w:type="dxa"/>
              <w:bottom w:w="30" w:type="dxa"/>
            </w:tcMar>
            <w:vAlign w:val="center"/>
          </w:tcPr>
          <w:p>
            <w:pPr>
              <w:pStyle w:val="TableContents"/>
              <w:bidi w:val="0"/>
              <w:spacing w:lineRule="auto" w:line="319" w:before="0" w:after="283"/>
              <w:jc w:val="center"/>
              <w:rPr>
                <w:color w:val="000000"/>
              </w:rPr>
            </w:pPr>
            <w:r>
              <w:rPr>
                <w:color w:val="000000"/>
              </w:rPr>
              <w:t>—</w:t>
            </w:r>
          </w:p>
        </w:tc>
      </w:tr>
      <w:tr>
        <w:trPr/>
        <w:tc>
          <w:tcPr>
            <w:tcW w:w="5588" w:type="dxa"/>
            <w:gridSpan w:val="27"/>
            <w:tcBorders>
              <w:top w:val="single" w:sz="6" w:space="0" w:color="000000"/>
              <w:left w:val="single" w:sz="6" w:space="0" w:color="000000"/>
            </w:tcBorders>
            <w:tcMar>
              <w:top w:w="30" w:type="dxa"/>
              <w:left w:w="135"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1318" w:type="dxa"/>
            <w:gridSpan w:val="6"/>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1363" w:type="dxa"/>
            <w:gridSpan w:val="6"/>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1318" w:type="dxa"/>
            <w:gridSpan w:val="6"/>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1528" w:type="dxa"/>
            <w:gridSpan w:val="6"/>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319" w:before="0" w:after="283"/>
              <w:jc w:val="left"/>
              <w:rPr>
                <w:color w:val="000000"/>
              </w:rPr>
            </w:pPr>
            <w:r>
              <w:rPr>
                <w:color w:val="000000"/>
              </w:rPr>
              <w:t> </w:t>
            </w:r>
          </w:p>
        </w:tc>
      </w:tr>
      <w:tr>
        <w:trPr/>
        <w:tc>
          <w:tcPr>
            <w:tcW w:w="5588" w:type="dxa"/>
            <w:gridSpan w:val="27"/>
            <w:tcBorders>
              <w:left w:val="single" w:sz="6" w:space="0" w:color="000000"/>
              <w:bottom w:val="single" w:sz="6" w:space="0" w:color="000000"/>
            </w:tcBorders>
            <w:tcMar>
              <w:top w:w="0" w:type="dxa"/>
              <w:left w:w="78" w:type="dxa"/>
              <w:bottom w:w="3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0"/>
              </w:rPr>
            </w:pPr>
            <w:r>
              <w:rPr>
                <w:rFonts w:ascii="Times New Roman;sans-serif" w:hAnsi="Times New Roman;sans-serif"/>
                <w:b/>
                <w:color w:val="000000"/>
                <w:sz w:val="20"/>
              </w:rPr>
              <w:t>Total Fee Offsets</w:t>
            </w:r>
          </w:p>
        </w:tc>
        <w:tc>
          <w:tcPr>
            <w:tcW w:w="327" w:type="dxa"/>
            <w:gridSpan w:val="3"/>
            <w:tcBorders>
              <w:left w:val="single" w:sz="6" w:space="0" w:color="000000"/>
            </w:tcBorders>
            <w:tcMar>
              <w:top w:w="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991"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tcMar>
              <w:top w:w="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1036"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tcMar>
              <w:top w:w="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991"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tcMar>
              <w:top w:w="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1201" w:type="dxa"/>
            <w:gridSpan w:val="3"/>
            <w:tcBorders>
              <w:bottom w:val="single" w:sz="6" w:space="0" w:color="000000"/>
              <w:right w:val="single" w:sz="6" w:space="0" w:color="000000"/>
            </w:tcBorders>
            <w:tcMar>
              <w:top w:w="0" w:type="dxa"/>
              <w:left w:w="0" w:type="dxa"/>
              <w:bottom w:w="30" w:type="dxa"/>
            </w:tcMar>
            <w:vAlign w:val="center"/>
          </w:tcPr>
          <w:p>
            <w:pPr>
              <w:pStyle w:val="TableContents"/>
              <w:bidi w:val="0"/>
              <w:spacing w:lineRule="auto" w:line="319" w:before="0" w:after="283"/>
              <w:jc w:val="center"/>
              <w:rPr>
                <w:color w:val="000000"/>
              </w:rPr>
            </w:pPr>
            <w:r>
              <w:rPr>
                <w:color w:val="000000"/>
              </w:rPr>
              <w:t>—</w:t>
            </w:r>
          </w:p>
        </w:tc>
      </w:tr>
      <w:tr>
        <w:trPr/>
        <w:tc>
          <w:tcPr>
            <w:tcW w:w="5588" w:type="dxa"/>
            <w:gridSpan w:val="27"/>
            <w:tcBorders>
              <w:top w:val="single" w:sz="6" w:space="0" w:color="000000"/>
              <w:left w:val="single" w:sz="6" w:space="0" w:color="000000"/>
            </w:tcBorders>
            <w:tcMar>
              <w:top w:w="30" w:type="dxa"/>
              <w:left w:w="135"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1318" w:type="dxa"/>
            <w:gridSpan w:val="6"/>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1363" w:type="dxa"/>
            <w:gridSpan w:val="6"/>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1318" w:type="dxa"/>
            <w:gridSpan w:val="6"/>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1528" w:type="dxa"/>
            <w:gridSpan w:val="6"/>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319" w:before="0" w:after="283"/>
              <w:jc w:val="left"/>
              <w:rPr>
                <w:color w:val="000000"/>
              </w:rPr>
            </w:pPr>
            <w:r>
              <w:rPr>
                <w:color w:val="000000"/>
              </w:rPr>
              <w:t> </w:t>
            </w:r>
          </w:p>
        </w:tc>
      </w:tr>
      <w:tr>
        <w:trPr/>
        <w:tc>
          <w:tcPr>
            <w:tcW w:w="5588" w:type="dxa"/>
            <w:gridSpan w:val="27"/>
            <w:tcBorders>
              <w:left w:val="single" w:sz="6" w:space="0" w:color="000000"/>
              <w:bottom w:val="single" w:sz="6" w:space="0" w:color="000000"/>
            </w:tcBorders>
            <w:tcMar>
              <w:top w:w="0" w:type="dxa"/>
              <w:left w:w="78" w:type="dxa"/>
              <w:bottom w:w="3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0"/>
              </w:rPr>
            </w:pPr>
            <w:r>
              <w:rPr>
                <w:rFonts w:ascii="Times New Roman;sans-serif" w:hAnsi="Times New Roman;sans-serif"/>
                <w:b/>
                <w:color w:val="000000"/>
                <w:sz w:val="20"/>
              </w:rPr>
              <w:t>Net Fee Due</w:t>
            </w:r>
          </w:p>
        </w:tc>
        <w:tc>
          <w:tcPr>
            <w:tcW w:w="327" w:type="dxa"/>
            <w:gridSpan w:val="3"/>
            <w:tcBorders>
              <w:left w:val="single" w:sz="6" w:space="0" w:color="000000"/>
              <w:bottom w:val="single" w:sz="6" w:space="0" w:color="000000"/>
            </w:tcBorders>
            <w:tcMar>
              <w:top w:w="0" w:type="dxa"/>
              <w:bottom w:w="30" w:type="dxa"/>
              <w:right w:w="0" w:type="dxa"/>
            </w:tcMar>
            <w:vAlign w:val="center"/>
          </w:tcPr>
          <w:p>
            <w:pPr>
              <w:pStyle w:val="TableContents"/>
              <w:bidi w:val="0"/>
              <w:spacing w:lineRule="auto" w:line="319" w:before="0" w:after="283"/>
              <w:jc w:val="left"/>
              <w:rPr>
                <w:color w:val="000000"/>
              </w:rPr>
            </w:pPr>
            <w:r>
              <w:rPr>
                <w:color w:val="000000"/>
              </w:rPr>
              <w:t> </w:t>
            </w:r>
          </w:p>
        </w:tc>
        <w:tc>
          <w:tcPr>
            <w:tcW w:w="99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0" w:after="283"/>
              <w:jc w:val="left"/>
              <w:rPr>
                <w:color w:val="000000"/>
              </w:rPr>
            </w:pPr>
            <w:r>
              <w:rPr>
                <w:color w:val="000000"/>
              </w:rPr>
              <w:t> </w:t>
            </w:r>
          </w:p>
        </w:tc>
        <w:tc>
          <w:tcPr>
            <w:tcW w:w="327" w:type="dxa"/>
            <w:gridSpan w:val="3"/>
            <w:tcBorders>
              <w:left w:val="single" w:sz="6" w:space="0" w:color="000000"/>
              <w:bottom w:val="single" w:sz="6" w:space="0" w:color="000000"/>
            </w:tcBorders>
            <w:tcMar>
              <w:top w:w="0" w:type="dxa"/>
              <w:bottom w:w="30" w:type="dxa"/>
              <w:right w:w="0" w:type="dxa"/>
            </w:tcMar>
            <w:vAlign w:val="center"/>
          </w:tcPr>
          <w:p>
            <w:pPr>
              <w:pStyle w:val="TableContents"/>
              <w:bidi w:val="0"/>
              <w:spacing w:lineRule="auto" w:line="319" w:before="0" w:after="283"/>
              <w:jc w:val="left"/>
              <w:rPr>
                <w:color w:val="000000"/>
              </w:rPr>
            </w:pPr>
            <w:r>
              <w:rPr>
                <w:color w:val="000000"/>
              </w:rPr>
              <w:t> </w:t>
            </w:r>
          </w:p>
        </w:tc>
        <w:tc>
          <w:tcPr>
            <w:tcW w:w="103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0" w:after="283"/>
              <w:jc w:val="left"/>
              <w:rPr>
                <w:color w:val="000000"/>
              </w:rPr>
            </w:pPr>
            <w:r>
              <w:rPr>
                <w:color w:val="000000"/>
              </w:rPr>
              <w:t> </w:t>
            </w:r>
          </w:p>
        </w:tc>
        <w:tc>
          <w:tcPr>
            <w:tcW w:w="327" w:type="dxa"/>
            <w:gridSpan w:val="3"/>
            <w:tcBorders>
              <w:left w:val="single" w:sz="6" w:space="0" w:color="000000"/>
              <w:bottom w:val="single" w:sz="6" w:space="0" w:color="000000"/>
            </w:tcBorders>
            <w:tcMar>
              <w:top w:w="0" w:type="dxa"/>
              <w:bottom w:w="30" w:type="dxa"/>
              <w:right w:w="0" w:type="dxa"/>
            </w:tcMar>
            <w:vAlign w:val="center"/>
          </w:tcPr>
          <w:p>
            <w:pPr>
              <w:pStyle w:val="TableContents"/>
              <w:bidi w:val="0"/>
              <w:spacing w:lineRule="auto" w:line="319" w:before="0" w:after="283"/>
              <w:jc w:val="left"/>
              <w:rPr>
                <w:color w:val="000000"/>
              </w:rPr>
            </w:pPr>
            <w:r>
              <w:rPr>
                <w:color w:val="000000"/>
              </w:rPr>
              <w:t> </w:t>
            </w:r>
          </w:p>
        </w:tc>
        <w:tc>
          <w:tcPr>
            <w:tcW w:w="99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0" w:after="283"/>
              <w:jc w:val="left"/>
              <w:rPr>
                <w:color w:val="000000"/>
              </w:rPr>
            </w:pPr>
            <w:r>
              <w:rPr>
                <w:color w:val="000000"/>
              </w:rPr>
              <w:t> </w:t>
            </w:r>
          </w:p>
        </w:tc>
        <w:tc>
          <w:tcPr>
            <w:tcW w:w="327" w:type="dxa"/>
            <w:gridSpan w:val="3"/>
            <w:tcBorders>
              <w:left w:val="single" w:sz="6" w:space="0" w:color="000000"/>
              <w:bottom w:val="single" w:sz="6" w:space="0" w:color="000000"/>
            </w:tcBorders>
            <w:tcMar>
              <w:top w:w="0" w:type="dxa"/>
              <w:bottom w:w="30" w:type="dxa"/>
              <w:right w:w="0" w:type="dxa"/>
            </w:tcMar>
            <w:vAlign w:val="center"/>
          </w:tcPr>
          <w:p>
            <w:pPr>
              <w:pStyle w:val="TableContents"/>
              <w:bidi w:val="0"/>
              <w:spacing w:lineRule="auto" w:line="319" w:before="0" w:after="283"/>
              <w:jc w:val="left"/>
              <w:rPr>
                <w:color w:val="000000"/>
              </w:rPr>
            </w:pPr>
            <w:r>
              <w:rPr>
                <w:color w:val="000000"/>
              </w:rPr>
              <w:t> </w:t>
            </w:r>
          </w:p>
        </w:tc>
        <w:tc>
          <w:tcPr>
            <w:tcW w:w="1201" w:type="dxa"/>
            <w:gridSpan w:val="3"/>
            <w:tcBorders>
              <w:bottom w:val="single" w:sz="6" w:space="0" w:color="000000"/>
              <w:right w:val="single" w:sz="6" w:space="0" w:color="000000"/>
            </w:tcBorders>
            <w:tcMar>
              <w:top w:w="0" w:type="dxa"/>
              <w:left w:w="0" w:type="dxa"/>
              <w:bottom w:w="3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$1,316.09</w:t>
            </w:r>
          </w:p>
        </w:tc>
      </w:tr>
    </w:tbl>
    <w:p>
      <w:pPr>
        <w:pStyle w:val="TextBody"/>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(1)The amount registered consists of up to 1,150,000 shares of common stock, par value $0.001 per share (the “Common Stock”), of Exagen Inc. (the “Registrant”), issuable upon the exercise of an outstanding warrant certificate. Pursuant to Rule 416 under the Securities Act of 1933, as amended (the “Securities Act”), this registration statement also covers such an indeterminate amount of Common Stock as may become issuable to prevent dilution resulting from share splits, share dividends and similar events.</w:t>
      </w:r>
    </w:p>
    <w:p>
      <w:pPr>
        <w:pStyle w:val="TextBody"/>
        <w:bidi w:val="0"/>
        <w:spacing w:lineRule="auto" w:line="288"/>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(2)Estimated solely for the purpose of calculating the amount of the registration fee pursuant to Rule 457(c) and Rule 457(g) promulgated under the Securities Act. The offering price per share and the aggregate offering price are based on the average of the high and the low price of the Registrant’s Common Stock as reported on The Nasdaq Global Market as of a date (June 16, 2025) within five business days prior to filing this Registration Statement.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5.1</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2"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8" w:type="dxa"/>
        <w:jc w:val="left"/>
        <w:tblInd w:w="0" w:type="dxa"/>
        <w:tblLayout w:type="fixed"/>
        <w:tblCellMar>
          <w:top w:w="28" w:type="dxa"/>
          <w:left w:w="28" w:type="dxa"/>
          <w:bottom w:w="28" w:type="dxa"/>
          <w:right w:w="28" w:type="dxa"/>
        </w:tblCellMar>
      </w:tblPr>
      <w:tblGrid>
        <w:gridCol w:w="124"/>
        <w:gridCol w:w="109"/>
        <w:gridCol w:w="109"/>
        <w:gridCol w:w="438"/>
        <w:gridCol w:w="438"/>
        <w:gridCol w:w="440"/>
        <w:gridCol w:w="649"/>
        <w:gridCol w:w="649"/>
        <w:gridCol w:w="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781050" cy="1000125"/>
                  <wp:effectExtent l="0" t="0" r="0" b="0"/>
                  <wp:docPr id="3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 descr=""/>
                          <pic:cNvPicPr>
                            <a:picLocks noChangeAspect="1" noChangeArrowheads="1"/>
                          </pic:cNvPicPr>
                        </pic:nvPicPr>
                        <pic:blipFill>
                          <a:blip r:embed="rId24"/>
                          <a:stretch>
                            <a:fillRect/>
                          </a:stretch>
                        </pic:blipFill>
                        <pic:spPr bwMode="auto">
                          <a:xfrm>
                            <a:off x="0" y="0"/>
                            <a:ext cx="781050" cy="1000125"/>
                          </a:xfrm>
                          <a:prstGeom prst="rect">
                            <a:avLst/>
                          </a:prstGeom>
                        </pic:spPr>
                      </pic:pic>
                    </a:graphicData>
                  </a:graphic>
                </wp:inline>
              </w:drawing>
            </w:r>
          </w:p>
        </w:tc>
        <w:tc>
          <w:tcPr>
            <w:tcW w:w="2220" w:type="dxa"/>
            <w:gridSpan w:val="3"/>
            <w:tcBorders/>
            <w:tcMar>
              <w:top w:w="0" w:type="dxa"/>
              <w:left w:w="0" w:type="dxa"/>
              <w:bottom w:w="0" w:type="dxa"/>
              <w:right w:w="0" w:type="dxa"/>
            </w:tcMar>
            <w:vAlign w:val="center"/>
          </w:tcPr>
          <w:p>
            <w:pPr>
              <w:pStyle w:val="TableContents"/>
              <w:bidi w:val="0"/>
              <w:spacing w:before="0" w:after="0"/>
              <w:jc w:val="right"/>
              <w:rPr/>
            </w:pPr>
            <w:r>
              <w:rPr/>
            </w:r>
          </w:p>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3580 Carmel Mountain Road</w:t>
            </w:r>
          </w:p>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Suite 300</w:t>
            </w:r>
          </w:p>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San Diego, CA 92130</w:t>
            </w:r>
          </w:p>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858 314 1500</w:t>
            </w:r>
          </w:p>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mintz.com</w:t>
            </w:r>
          </w:p>
        </w:tc>
      </w:tr>
    </w:tbl>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June 20, 2025</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Exagen Inc.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1261 Liberty Way</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Vista, CA 92081</w:t>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Ladies and Gentlemen: </w:t>
      </w:r>
    </w:p>
    <w:p>
      <w:pPr>
        <w:pStyle w:val="TextBody"/>
        <w:bidi w:val="0"/>
        <w:spacing w:lineRule="auto" w:line="288" w:before="0" w:after="240"/>
        <w:ind w:left="0" w:right="0" w:firstLine="490"/>
        <w:jc w:val="both"/>
        <w:rPr>
          <w:rFonts w:ascii="Times New Roman;sans-serif" w:hAnsi="Times New Roman;sans-serif"/>
          <w:b w:val="false"/>
          <w:color w:val="000000"/>
          <w:sz w:val="22"/>
        </w:rPr>
      </w:pPr>
      <w:r>
        <w:rPr>
          <w:rFonts w:ascii="Times New Roman;sans-serif" w:hAnsi="Times New Roman;sans-serif"/>
          <w:b w:val="false"/>
          <w:color w:val="000000"/>
          <w:sz w:val="22"/>
        </w:rPr>
        <w:t>We have acted as counsel to Exagen Inc., a Delaware corporation (the “Company”), in connection with the preparation and filing by the Company of a Registration Statement on Form S-3 (the “Registration Statement”) under the Securities Act of 1933, as amended (the “Securities Act”) with the Securities and Exchange Commission (the “Commission”). The Registration Statement relates to the registration for the offer and sale of shares of the Company’s common stock issuable upon the exercise of an outstanding warrant certificate (the “Warrant Certificate”) to purchase up to an aggregate of 1,150,000 shares the Company’s common stock (the “Warrant Shares”), which was originally issued by the Company in connection with that certain Credit Agreement and Guaranty dated as of April 25, 2025, by and between the Company and Perceptive Credit Holdings IV, LP as lender and administrative agent.</w:t>
      </w:r>
    </w:p>
    <w:p>
      <w:pPr>
        <w:pStyle w:val="TextBody"/>
        <w:bidi w:val="0"/>
        <w:spacing w:lineRule="auto" w:line="288" w:before="0" w:after="240"/>
        <w:ind w:left="0" w:right="0" w:firstLine="49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connection with this opinion, we have examined the Company’s Amended and Restated Certificate of Incorporation, and Amended and Restated Bylaws, each as restated and/or amended to date and currently in effect; such other records of the corporate proceedings of the Company and certificates of the Company’s officers as we have deemed relevant; and the Registration Statement and the exhibits thereto. </w:t>
      </w:r>
    </w:p>
    <w:p>
      <w:pPr>
        <w:pStyle w:val="TextBody"/>
        <w:bidi w:val="0"/>
        <w:spacing w:lineRule="auto" w:line="288" w:before="0" w:after="240"/>
        <w:ind w:left="0" w:right="0" w:firstLine="49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our examination, we have assumed the genuineness of all signatures, the legal capacity of natural persons, the authenticity of all documents submitted to us as originals, the conformity to original documents of all documents submitted to us as certified or photostatic copies and the authenticity of the originals of such copies, and the truth and correctness of any representations and warranties contained therein. </w:t>
      </w:r>
    </w:p>
    <w:p>
      <w:pPr>
        <w:pStyle w:val="TextBody"/>
        <w:bidi w:val="0"/>
        <w:spacing w:lineRule="auto" w:line="288" w:before="0" w:after="240"/>
        <w:ind w:left="0" w:right="0" w:firstLine="49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 </w:t>
      </w:r>
    </w:p>
    <w:p>
      <w:pPr>
        <w:pStyle w:val="TextBody"/>
        <w:bidi w:val="0"/>
        <w:spacing w:lineRule="auto" w:line="288" w:before="0" w:after="240"/>
        <w:ind w:left="0" w:right="0" w:firstLine="49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With respect to the Warrant Shares, we express no opinion to the extent that future issuances of securities of the Company, adjustments to outstanding securities of the Company and/or other matters cause the Warrant Certificate to be exercisable for more shares of Common Stock than the number that remain available for issuance. Further, we have assumed the exercise price of the Warrant Certificate will not be adjusted to an amount below the par value per share of the Common Stock. </w:t>
      </w:r>
    </w:p>
    <w:p>
      <w:pPr>
        <w:pStyle w:val="TextBody"/>
        <w:bidi w:val="0"/>
        <w:spacing w:lineRule="auto" w:line="288" w:before="0" w:after="240"/>
        <w:ind w:left="0" w:right="0" w:firstLine="490"/>
        <w:jc w:val="both"/>
        <w:rPr>
          <w:rFonts w:ascii="Times New Roman;sans-serif" w:hAnsi="Times New Roman;sans-serif"/>
          <w:b w:val="false"/>
          <w:color w:val="000000"/>
          <w:sz w:val="22"/>
        </w:rPr>
      </w:pPr>
      <w:r>
        <w:rPr>
          <w:rFonts w:ascii="Times New Roman;sans-serif" w:hAnsi="Times New Roman;sans-serif"/>
          <w:b w:val="false"/>
          <w:color w:val="000000"/>
          <w:sz w:val="22"/>
        </w:rPr>
        <w:t>Based upon and subject to the foregoing, it is our opinion that the Warrant Shares, when issued against payment therefor in accordance with the terms of the Warrant Certificate, will be validly issued, fully paid and non-assessable.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973455"/>
                <wp:effectExtent l="0" t="0" r="0" b="0"/>
                <wp:wrapNone/>
                <wp:docPr id="34" name="Frame31"/>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9689" w:type="dxa"/>
                              <w:jc w:val="left"/>
                              <w:tblInd w:w="0" w:type="dxa"/>
                              <w:tblLayout w:type="fixed"/>
                              <w:tblCellMar>
                                <w:top w:w="28" w:type="dxa"/>
                                <w:left w:w="28" w:type="dxa"/>
                                <w:bottom w:w="28" w:type="dxa"/>
                                <w:right w:w="28" w:type="dxa"/>
                              </w:tblCellMar>
                            </w:tblPr>
                            <w:tblGrid>
                              <w:gridCol w:w="3103"/>
                              <w:gridCol w:w="2727"/>
                              <w:gridCol w:w="3859"/>
                            </w:tblGrid>
                            <w:tr>
                              <w:trPr/>
                              <w:tc>
                                <w:tcPr>
                                  <w:tcW w:w="3103" w:type="dxa"/>
                                  <w:tcBorders/>
                                  <w:vAlign w:val="center"/>
                                </w:tcPr>
                                <w:p>
                                  <w:pPr>
                                    <w:pStyle w:val="TableContents"/>
                                    <w:bidi w:val="0"/>
                                    <w:spacing w:before="0" w:after="283"/>
                                    <w:jc w:val="left"/>
                                    <w:rPr>
                                      <w:sz w:val="4"/>
                                      <w:szCs w:val="4"/>
                                    </w:rPr>
                                  </w:pPr>
                                  <w:r>
                                    <w:rPr>
                                      <w:sz w:val="4"/>
                                      <w:szCs w:val="4"/>
                                    </w:rPr>
                                  </w:r>
                                  <w:r>
                                    <w:br w:type="page"/>
                                  </w:r>
                                </w:p>
                              </w:tc>
                              <w:tc>
                                <w:tcPr>
                                  <w:tcW w:w="2727" w:type="dxa"/>
                                  <w:tcBorders/>
                                  <w:vAlign w:val="center"/>
                                </w:tcPr>
                                <w:p>
                                  <w:pPr>
                                    <w:pStyle w:val="TableContents"/>
                                    <w:bidi w:val="0"/>
                                    <w:spacing w:before="0" w:after="283"/>
                                    <w:jc w:val="left"/>
                                    <w:rPr>
                                      <w:sz w:val="4"/>
                                      <w:szCs w:val="4"/>
                                    </w:rPr>
                                  </w:pPr>
                                  <w:r>
                                    <w:rPr>
                                      <w:sz w:val="4"/>
                                      <w:szCs w:val="4"/>
                                    </w:rPr>
                                  </w:r>
                                </w:p>
                              </w:tc>
                              <w:tc>
                                <w:tcPr>
                                  <w:tcW w:w="3859" w:type="dxa"/>
                                  <w:tcBorders/>
                                  <w:vAlign w:val="center"/>
                                </w:tcPr>
                                <w:p>
                                  <w:pPr>
                                    <w:pStyle w:val="TableContents"/>
                                    <w:bidi w:val="0"/>
                                    <w:spacing w:before="0" w:after="283"/>
                                    <w:jc w:val="left"/>
                                    <w:rPr>
                                      <w:sz w:val="4"/>
                                      <w:szCs w:val="4"/>
                                    </w:rPr>
                                  </w:pPr>
                                  <w:r>
                                    <w:rPr>
                                      <w:sz w:val="4"/>
                                      <w:szCs w:val="4"/>
                                    </w:rPr>
                                  </w:r>
                                </w:p>
                              </w:tc>
                            </w:tr>
                            <w:tr>
                              <w:trPr/>
                              <w:tc>
                                <w:tcPr>
                                  <w:tcW w:w="96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9"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Arial;sans-serif" w:hAnsi="Arial;sans-serif"/>
                                      <w:b w:val="false"/>
                                      <w:color w:val="000000"/>
                                      <w:sz w:val="16"/>
                                    </w:rPr>
                                  </w:pPr>
                                  <w:r>
                                    <w:rPr>
                                      <w:rFonts w:ascii="Arial;sans-serif" w:hAnsi="Arial;sans-serif"/>
                                      <w:b w:val="false"/>
                                      <w:color w:val="000000"/>
                                      <w:sz w:val="16"/>
                                    </w:rPr>
                                    <w:t>BOSTON       LOS ANGELES       MIAMI      NEW YORK      SAN DIEGO      SAN FRANCISCO       TORONTO       WASHINGTON</w:t>
                                  </w:r>
                                </w:p>
                                <w:p>
                                  <w:pPr>
                                    <w:pStyle w:val="TableContents"/>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MINTZ, LEVIN, COHN, FERRIS, GLOVSKY AND POPEO, P.C.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9689" w:type="dxa"/>
                        <w:jc w:val="left"/>
                        <w:tblInd w:w="0" w:type="dxa"/>
                        <w:tblLayout w:type="fixed"/>
                        <w:tblCellMar>
                          <w:top w:w="28" w:type="dxa"/>
                          <w:left w:w="28" w:type="dxa"/>
                          <w:bottom w:w="28" w:type="dxa"/>
                          <w:right w:w="28" w:type="dxa"/>
                        </w:tblCellMar>
                      </w:tblPr>
                      <w:tblGrid>
                        <w:gridCol w:w="3103"/>
                        <w:gridCol w:w="2727"/>
                        <w:gridCol w:w="3859"/>
                      </w:tblGrid>
                      <w:tr>
                        <w:trPr/>
                        <w:tc>
                          <w:tcPr>
                            <w:tcW w:w="3103" w:type="dxa"/>
                            <w:tcBorders/>
                            <w:vAlign w:val="center"/>
                          </w:tcPr>
                          <w:p>
                            <w:pPr>
                              <w:pStyle w:val="TableContents"/>
                              <w:bidi w:val="0"/>
                              <w:spacing w:before="0" w:after="283"/>
                              <w:jc w:val="left"/>
                              <w:rPr>
                                <w:sz w:val="4"/>
                                <w:szCs w:val="4"/>
                              </w:rPr>
                            </w:pPr>
                            <w:r>
                              <w:rPr>
                                <w:sz w:val="4"/>
                                <w:szCs w:val="4"/>
                              </w:rPr>
                            </w:r>
                          </w:p>
                        </w:tc>
                        <w:tc>
                          <w:tcPr>
                            <w:tcW w:w="2727" w:type="dxa"/>
                            <w:tcBorders/>
                            <w:vAlign w:val="center"/>
                          </w:tcPr>
                          <w:p>
                            <w:pPr>
                              <w:pStyle w:val="TableContents"/>
                              <w:bidi w:val="0"/>
                              <w:spacing w:before="0" w:after="283"/>
                              <w:jc w:val="left"/>
                              <w:rPr>
                                <w:sz w:val="4"/>
                                <w:szCs w:val="4"/>
                              </w:rPr>
                            </w:pPr>
                            <w:r>
                              <w:rPr>
                                <w:sz w:val="4"/>
                                <w:szCs w:val="4"/>
                              </w:rPr>
                            </w:r>
                          </w:p>
                        </w:tc>
                        <w:tc>
                          <w:tcPr>
                            <w:tcW w:w="3859" w:type="dxa"/>
                            <w:tcBorders/>
                            <w:vAlign w:val="center"/>
                          </w:tcPr>
                          <w:p>
                            <w:pPr>
                              <w:pStyle w:val="TableContents"/>
                              <w:bidi w:val="0"/>
                              <w:spacing w:before="0" w:after="283"/>
                              <w:jc w:val="left"/>
                              <w:rPr>
                                <w:sz w:val="4"/>
                                <w:szCs w:val="4"/>
                              </w:rPr>
                            </w:pPr>
                            <w:r>
                              <w:rPr>
                                <w:sz w:val="4"/>
                                <w:szCs w:val="4"/>
                              </w:rPr>
                            </w:r>
                          </w:p>
                        </w:tc>
                      </w:tr>
                      <w:tr>
                        <w:trPr/>
                        <w:tc>
                          <w:tcPr>
                            <w:tcW w:w="96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9"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Arial;sans-serif" w:hAnsi="Arial;sans-serif"/>
                                <w:b w:val="false"/>
                                <w:color w:val="000000"/>
                                <w:sz w:val="16"/>
                              </w:rPr>
                            </w:pPr>
                            <w:r>
                              <w:rPr>
                                <w:rFonts w:ascii="Arial;sans-serif" w:hAnsi="Arial;sans-serif"/>
                                <w:b w:val="false"/>
                                <w:color w:val="000000"/>
                                <w:sz w:val="16"/>
                              </w:rPr>
                              <w:t>BOSTON       LOS ANGELES       MIAMI      NEW YORK      SAN DIEGO      SAN FRANCISCO       TORONTO       WASHINGTON</w:t>
                            </w:r>
                          </w:p>
                          <w:p>
                            <w:pPr>
                              <w:pStyle w:val="TableContents"/>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MINTZ, LEVIN, COHN, FERRIS, GLOVSKY AND POPEO, P.C.</w:t>
                            </w:r>
                          </w:p>
                        </w:tc>
                      </w:tr>
                    </w:tbl>
                    <w:p>
                      <w:pPr>
                        <w:pStyle w:val="TextBody"/>
                        <w:bidi w:val="0"/>
                        <w:spacing w:before="0" w:after="283"/>
                        <w:jc w:val="left"/>
                        <w:rPr/>
                      </w:pPr>
                      <w:r>
                        <w:rPr/>
                      </w:r>
                    </w:p>
                  </w:txbxContent>
                </v:textbox>
                <w10:wrap type="none"/>
              </v:rect>
            </w:pict>
          </mc:Fallback>
        </mc:AlternateContent>
      </w:r>
    </w:p>
    <w:tbl>
      <w:tblPr>
        <w:tblW w:w="2633" w:type="dxa"/>
        <w:jc w:val="left"/>
        <w:tblInd w:w="0" w:type="dxa"/>
        <w:tblLayout w:type="fixed"/>
        <w:tblCellMar>
          <w:top w:w="28" w:type="dxa"/>
          <w:left w:w="28" w:type="dxa"/>
          <w:bottom w:w="28" w:type="dxa"/>
          <w:right w:w="28" w:type="dxa"/>
        </w:tblCellMar>
      </w:tblPr>
      <w:tblGrid>
        <w:gridCol w:w="527"/>
        <w:gridCol w:w="463"/>
        <w:gridCol w:w="465"/>
        <w:gridCol w:w="268"/>
        <w:gridCol w:w="268"/>
        <w:gridCol w:w="270"/>
        <w:gridCol w:w="109"/>
        <w:gridCol w:w="109"/>
        <w:gridCol w:w="154"/>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MINTZ</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June 20, 2025</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Page 2</w:t>
            </w:r>
          </w:p>
        </w:tc>
        <w:tc>
          <w:tcPr>
            <w:tcW w:w="80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457200" cy="581025"/>
                  <wp:effectExtent l="0" t="0" r="0" b="0"/>
                  <wp:docPr id="3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4" descr=""/>
                          <pic:cNvPicPr>
                            <a:picLocks noChangeAspect="1" noChangeArrowheads="1"/>
                          </pic:cNvPicPr>
                        </pic:nvPicPr>
                        <pic:blipFill>
                          <a:blip r:embed="rId25"/>
                          <a:stretch>
                            <a:fillRect/>
                          </a:stretch>
                        </pic:blipFill>
                        <pic:spPr bwMode="auto">
                          <a:xfrm>
                            <a:off x="0" y="0"/>
                            <a:ext cx="457200" cy="58102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9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 </w:t>
      </w:r>
    </w:p>
    <w:p>
      <w:pPr>
        <w:pStyle w:val="TextBody"/>
        <w:bidi w:val="0"/>
        <w:spacing w:lineRule="auto" w:line="288" w:before="0" w:after="240"/>
        <w:ind w:left="0" w:right="0" w:firstLine="49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understand that you wish to file this opinion with the Commission as an exhibit to the Registration Statement in accordance with the requirements of Item 601(b)(5) of Regulation S-K promulgated under the Securities Act and to reference the firm’s name under the caption “Legal Matters” in the prospectus which forms part of the Registration Statement, and we hereby consent thereto. In giving this consent, we do not admit that we are within the category of persons whose consent is required under Section 7 of the Securities Act or the rules and regulations of the Commission promulgated thereunder. </w:t>
      </w:r>
    </w:p>
    <w:tbl>
      <w:tblPr>
        <w:tblW w:w="5385" w:type="dxa"/>
        <w:jc w:val="right"/>
        <w:tblInd w:w="0" w:type="dxa"/>
        <w:tblLayout w:type="fixed"/>
        <w:tblCellMar>
          <w:top w:w="28" w:type="dxa"/>
          <w:left w:w="28" w:type="dxa"/>
          <w:bottom w:w="28" w:type="dxa"/>
          <w:right w:w="28" w:type="dxa"/>
        </w:tblCellMar>
      </w:tblPr>
      <w:tblGrid>
        <w:gridCol w:w="1722"/>
        <w:gridCol w:w="1512"/>
        <w:gridCol w:w="2151"/>
      </w:tblGrid>
      <w:tr>
        <w:trPr/>
        <w:tc>
          <w:tcPr>
            <w:tcW w:w="1722"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Very truly yours,</w:t>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Mintz, Levin, Cohn, Ferris, Glovsky and Popeo, P.C.</w:t>
            </w:r>
          </w:p>
        </w:tc>
      </w:tr>
      <w:tr>
        <w:trPr/>
        <w:tc>
          <w:tcPr>
            <w:tcW w:w="5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Mintz, Levin, Cohn, Ferris, Glovsky and Popeo, P.C.</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23.2</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51460"/>
                <wp:effectExtent l="0" t="0" r="0" b="0"/>
                <wp:wrapNone/>
                <wp:docPr id="36" name="Frame3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120" w:after="283"/>
                        <w:jc w:val="center"/>
                        <w:rPr/>
                      </w:pPr>
                      <w:r>
                        <w:rPr/>
                      </w:r>
                    </w:p>
                  </w:txbxContent>
                </v:textbox>
                <w10:wrap type="none"/>
              </v:rect>
            </w:pict>
          </mc:Fallback>
        </mc:AlternateContent>
      </w:r>
    </w:p>
    <w:p>
      <w:pPr>
        <w:pStyle w:val="TextBody"/>
        <w:bidi w:val="0"/>
        <w:spacing w:lineRule="auto" w:line="288" w:before="0" w:after="720"/>
        <w:jc w:val="center"/>
        <w:rPr>
          <w:rFonts w:ascii="sans-serif" w:hAnsi="sans-serif"/>
          <w:b w:val="false"/>
          <w:color w:val="000000"/>
          <w:sz w:val="21"/>
          <w:u w:val="single"/>
        </w:rPr>
      </w:pPr>
      <w:r>
        <w:rPr>
          <w:rFonts w:ascii="sans-serif" w:hAnsi="sans-serif"/>
          <w:b w:val="false"/>
          <w:color w:val="000000"/>
          <w:sz w:val="21"/>
          <w:u w:val="single"/>
        </w:rPr>
        <w:t>Consent of Independent Registered Public Accounting Firm</w:t>
      </w:r>
    </w:p>
    <w:p>
      <w:pPr>
        <w:pStyle w:val="TextBody"/>
        <w:bidi w:val="0"/>
        <w:spacing w:lineRule="auto" w:line="288" w:before="0" w:after="240"/>
        <w:jc w:val="both"/>
        <w:rPr>
          <w:rFonts w:ascii="sans-serif" w:hAnsi="sans-serif"/>
          <w:b w:val="false"/>
          <w:color w:val="000000"/>
          <w:sz w:val="21"/>
        </w:rPr>
      </w:pPr>
      <w:r>
        <w:rPr>
          <w:rFonts w:ascii="sans-serif" w:hAnsi="sans-serif"/>
          <w:b w:val="false"/>
          <w:color w:val="000000"/>
          <w:sz w:val="21"/>
        </w:rPr>
        <w:t>We hereby consent to the incorporation by reference in this Registration Statement of our report dated March 11, 2025, relating to the financial statements of Exagen Inc. (the “Company”) appearing in the Company’s Annual Report on Form 10-K for the year ended December 31, 2024.</w:t>
      </w:r>
    </w:p>
    <w:p>
      <w:pPr>
        <w:pStyle w:val="TextBody"/>
        <w:bidi w:val="0"/>
        <w:spacing w:lineRule="auto" w:line="288" w:before="0" w:after="240"/>
        <w:jc w:val="both"/>
        <w:rPr>
          <w:rFonts w:ascii="sans-serif" w:hAnsi="sans-serif"/>
          <w:b w:val="false"/>
          <w:color w:val="000000"/>
          <w:sz w:val="21"/>
        </w:rPr>
      </w:pPr>
      <w:r>
        <w:rPr>
          <w:rFonts w:ascii="sans-serif" w:hAnsi="sans-serif"/>
          <w:b w:val="false"/>
          <w:color w:val="000000"/>
          <w:sz w:val="21"/>
        </w:rPr>
        <w:t xml:space="preserve">We also consent to the reference to us under the caption “Experts” in the Prospectus. </w:t>
      </w:r>
    </w:p>
    <w:p>
      <w:pPr>
        <w:pStyle w:val="TextBody"/>
        <w:bidi w:val="0"/>
        <w:spacing w:lineRule="auto" w:line="288" w:before="0" w:after="240"/>
        <w:jc w:val="both"/>
        <w:rPr>
          <w:rFonts w:ascii="sans-serif" w:hAnsi="sans-serif"/>
          <w:b w:val="false"/>
          <w:color w:val="000000"/>
          <w:sz w:val="21"/>
        </w:rPr>
      </w:pPr>
      <w:r>
        <w:rPr>
          <w:rFonts w:ascii="sans-serif" w:hAnsi="sans-serif"/>
          <w:b w:val="false"/>
          <w:color w:val="000000"/>
          <w:sz w:val="21"/>
        </w:rPr>
        <w:t>/s/ BDO USA, P.C.</w:t>
      </w:r>
    </w:p>
    <w:p>
      <w:pPr>
        <w:pStyle w:val="TextBody"/>
        <w:bidi w:val="0"/>
        <w:spacing w:lineRule="auto" w:line="288" w:before="0" w:after="0"/>
        <w:jc w:val="both"/>
        <w:rPr>
          <w:rFonts w:ascii="sans-serif" w:hAnsi="sans-serif"/>
          <w:b w:val="false"/>
          <w:color w:val="000000"/>
          <w:sz w:val="21"/>
        </w:rPr>
      </w:pPr>
      <w:r>
        <w:rPr>
          <w:rFonts w:ascii="sans-serif" w:hAnsi="sans-serif"/>
          <w:b w:val="false"/>
          <w:color w:val="000000"/>
          <w:sz w:val="21"/>
        </w:rPr>
        <w:t>San Diego, California</w:t>
      </w:r>
    </w:p>
    <w:p>
      <w:pPr>
        <w:pStyle w:val="TextBody"/>
        <w:bidi w:val="0"/>
        <w:spacing w:lineRule="auto" w:line="288"/>
        <w:jc w:val="left"/>
        <w:rPr>
          <w:rFonts w:ascii="sans-serif" w:hAnsi="sans-serif"/>
          <w:b w:val="false"/>
          <w:color w:val="000000"/>
          <w:sz w:val="21"/>
        </w:rPr>
      </w:pPr>
      <w:r>
        <w:rPr>
          <w:rFonts w:ascii="sans-serif" w:hAnsi="sans-serif"/>
          <w:b w:val="false"/>
          <w:color w:val="000000"/>
          <w:sz w:val="21"/>
        </w:rPr>
        <w:t>June 20, 2025</w:t>
      </w:r>
    </w:p>
    <w:p>
      <w:pPr>
        <w:pStyle w:val="TextBody"/>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274737/000127473725000019/exdx-20241231.htm" TargetMode="External"/><Relationship Id="rId4" Type="http://schemas.openxmlformats.org/officeDocument/2006/relationships/hyperlink" Target="https://www.sec.gov/ix?doc=/Archives/edgar/data/1274737/000127473725000026/exdx-20250331.htm" TargetMode="External"/><Relationship Id="rId5" Type="http://schemas.openxmlformats.org/officeDocument/2006/relationships/hyperlink" Target="https://www.sec.gov/ix?doc=/Archives/edgar/data/0001274737/000127473725000003/exdx-20250112.htm" TargetMode="External"/><Relationship Id="rId6" Type="http://schemas.openxmlformats.org/officeDocument/2006/relationships/hyperlink" Target="https://www.sec.gov/ix?doc=/Archives/edgar/data/0001274737/000127473725000018/exdx-20250311.htm" TargetMode="External"/><Relationship Id="rId7" Type="http://schemas.openxmlformats.org/officeDocument/2006/relationships/hyperlink" Target="https://www.sec.gov/ix?doc=/Archives/edgar/data/0001274737/000119312525100447/d811854d8k.htm" TargetMode="External"/><Relationship Id="rId8" Type="http://schemas.openxmlformats.org/officeDocument/2006/relationships/hyperlink" Target="https://www.sec.gov/ix?doc=/Archives/edgar/data/0001274737/000127473725000023/exdx-20250505.htm" TargetMode="External"/><Relationship Id="rId9" Type="http://schemas.openxmlformats.org/officeDocument/2006/relationships/hyperlink" Target="https://www.sec.gov/ix?doc=/Archives/edgar/data/0001274737/000119312525115946/d788679d8k.htm" TargetMode="External"/><Relationship Id="rId10" Type="http://schemas.openxmlformats.org/officeDocument/2006/relationships/hyperlink" Target="https://www.sec.gov/ix?doc=/Archives/edgar/data/0001274737/000119312525116881/d916977d8k.htm" TargetMode="External"/><Relationship Id="rId11" Type="http://schemas.openxmlformats.org/officeDocument/2006/relationships/hyperlink" Target="https://www.sec.gov/ix?doc=/Archives/edgar/data/0001274737/000127473725000036/exdx-20250610.htm" TargetMode="External"/><Relationship Id="rId12" Type="http://schemas.openxmlformats.org/officeDocument/2006/relationships/hyperlink" Target="https://www.sec.gov/ix?doc=/Archives/edgar/data/0001274737/000127473725000036/exdx-20250610.htm" TargetMode="External"/><Relationship Id="rId13" Type="http://schemas.openxmlformats.org/officeDocument/2006/relationships/hyperlink" Target="https://www.sec.gov/ix?doc=/Archives/edgar/data/0001274737/000127473725000036/exdx-20250610.htm" TargetMode="External"/><Relationship Id="rId14" Type="http://schemas.openxmlformats.org/officeDocument/2006/relationships/hyperlink" Target="https://www.sec.gov/ix?doc=/Archives/edgar/data/0001274737/000119312525105576/d920432ddef14a.htm" TargetMode="External"/><Relationship Id="rId15" Type="http://schemas.openxmlformats.org/officeDocument/2006/relationships/hyperlink" Target="https://www.sec.gov/Archives/edgar/data/1274737/000119312519244881/d756255d8a12b.htm" TargetMode="External"/><Relationship Id="rId16" Type="http://schemas.openxmlformats.org/officeDocument/2006/relationships/image" Target="media/image1.jpeg"/><Relationship Id="rId17" Type="http://schemas.openxmlformats.org/officeDocument/2006/relationships/hyperlink" Target="https://www.sec.gov/Archives/edgar/data/1274737/000119312519252366/d769261dex31.htm" TargetMode="External"/><Relationship Id="rId18" Type="http://schemas.openxmlformats.org/officeDocument/2006/relationships/hyperlink" Target="https://www.sec.gov/Archives/edgar/data/1274737/000127473721000017/ex31-amendedandrestatedbyl.htm" TargetMode="External"/><Relationship Id="rId19" Type="http://schemas.openxmlformats.org/officeDocument/2006/relationships/hyperlink" Target="https://www.sec.gov/Archives/edgar/data/1274737/000127473723000004/exhibit-exagenxamendmentto.htm" TargetMode="External"/><Relationship Id="rId20" Type="http://schemas.openxmlformats.org/officeDocument/2006/relationships/hyperlink" Target="https://www.sec.gov/Archives/edgar/data/1274737/000119312525100447/d811854dex41.htm" TargetMode="External"/><Relationship Id="rId21" Type="http://schemas.openxmlformats.org/officeDocument/2006/relationships/hyperlink" Target="https://www.sec.gov/Archives/edgar/data/1274737/000119312525100447/d811854dex101.htm" TargetMode="External"/><Relationship Id="rId22" Type="http://schemas.openxmlformats.org/officeDocument/2006/relationships/hyperlink" Target="https://www.sec.gov/Archives/edgar/data/1274737/000119312525100447/d811854dex101.htm" TargetMode="External"/><Relationship Id="rId23" Type="http://schemas.openxmlformats.org/officeDocument/2006/relationships/hyperlink" Target="https://www.sec.gov/Archives/edgar/data/1274737/000119312525100447/d811854dex102.htm" TargetMode="External"/><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33</Pages>
  <Words>14213</Words>
  <Characters>75241</Characters>
  <CharactersWithSpaces>89147</CharactersWithSpaces>
  <Paragraphs>629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