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2025</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001-39049</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191"/>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00" w:type="dxa"/>
            <w:vAlign w:val="bottom"/>
          </w:tcPr>
          <w:p>
            <w:pPr>
              <w:spacing w:after="0"/>
              <w:rPr>
                <w:sz w:val="24"/>
                <w:szCs w:val="24"/>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1261 Liberty Way</w:t>
            </w:r>
          </w:p>
        </w:tc>
        <w:tc>
          <w:tcPr>
            <w:tcW w:w="162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Vista, CA 92081</w:t>
            </w:r>
          </w:p>
        </w:tc>
        <w:tc>
          <w:tcPr>
            <w:tcW w:w="162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20" w:type="dxa"/>
            <w:vAlign w:val="bottom"/>
          </w:tcPr>
          <w:p>
            <w:pPr>
              <w:spacing w:after="0"/>
              <w:rPr>
                <w:sz w:val="16"/>
                <w:szCs w:val="16"/>
                <w:color w:val="auto"/>
              </w:rPr>
            </w:pPr>
          </w:p>
        </w:tc>
      </w:tr>
      <w:tr>
        <w:trPr>
          <w:trHeight w:val="377"/>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(760) 560-1501</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20" w:type="dxa"/>
            <w:vAlign w:val="bottom"/>
          </w:tcPr>
          <w:p>
            <w:pPr>
              <w:spacing w:after="0"/>
              <w:rPr>
                <w:sz w:val="16"/>
                <w:szCs w:val="16"/>
                <w:color w:val="auto"/>
              </w:rPr>
            </w:pPr>
          </w:p>
        </w:tc>
      </w:tr>
      <w:tr>
        <w:trPr>
          <w:trHeight w:val="390"/>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20" w:type="dxa"/>
            <w:vAlign w:val="bottom"/>
          </w:tcPr>
          <w:p>
            <w:pPr>
              <w:spacing w:after="0"/>
              <w:rPr>
                <w:sz w:val="16"/>
                <w:szCs w:val="16"/>
                <w:color w:val="auto"/>
              </w:rPr>
            </w:pPr>
          </w:p>
        </w:tc>
      </w:tr>
    </w:tbl>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November 4, 2025, the Company reported its financial results for the three and nine months ended September 30, 2025.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98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Press Release dated November 4, 2025</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shd w:val="clear" w:color="auto" w:fill="0E32E1"/>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1988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Exagen Inc. Reports Strong Q3 2025 Results</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November 4, 2025</w:t>
      </w:r>
    </w:p>
    <w:p>
      <w:pPr>
        <w:spacing w:after="0" w:line="256" w:lineRule="exact"/>
        <w:rPr>
          <w:sz w:val="20"/>
          <w:szCs w:val="20"/>
          <w:color w:val="auto"/>
        </w:rPr>
      </w:pPr>
    </w:p>
    <w:p>
      <w:pPr>
        <w:ind w:right="460"/>
        <w:spacing w:after="0" w:line="286" w:lineRule="auto"/>
        <w:rPr>
          <w:sz w:val="20"/>
          <w:szCs w:val="20"/>
          <w:color w:val="auto"/>
        </w:rPr>
      </w:pPr>
      <w:r>
        <w:rPr>
          <w:rFonts w:ascii="Arial" w:cs="Arial" w:eastAsia="Arial" w:hAnsi="Arial"/>
          <w:sz w:val="20"/>
          <w:szCs w:val="20"/>
          <w:color w:val="auto"/>
        </w:rPr>
        <w:t>Carlsbad, Calif., – Exagen Inc. (Nasdaq: XGN), a leading provider of autoimmune testing solutions, today reported financial results for the quarter ended September 30, 2025, and recent corporate updates.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3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1"/>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(Unaudited, in thousands, except ASP data)</w:t>
            </w: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17,244</w:t>
            </w:r>
          </w:p>
        </w:tc>
        <w:tc>
          <w:tcPr>
            <w:tcW w:w="130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12,507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49,944</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41,986</w:t>
            </w: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12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58.4 %</w:t>
            </w: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55.8 %</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59.3 %</w:t>
            </w:r>
          </w:p>
        </w:tc>
        <w:tc>
          <w:tcPr>
            <w:tcW w:w="5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58.7 %</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13,175</w:t>
            </w:r>
          </w:p>
        </w:tc>
        <w:tc>
          <w:tcPr>
            <w:tcW w:w="130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11,644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38,688</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34,888</w:t>
            </w: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(3,100)</w:t>
            </w:r>
          </w:p>
        </w:tc>
        <w:tc>
          <w:tcPr>
            <w:tcW w:w="130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(4,663)</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(9,095)</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(10,253)</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(7,087)</w:t>
            </w:r>
          </w:p>
        </w:tc>
        <w:tc>
          <w:tcPr>
            <w:tcW w:w="130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(5,028)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(15,278)</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(11,354)</w:t>
            </w: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(1,895)</w:t>
            </w:r>
          </w:p>
        </w:tc>
        <w:tc>
          <w:tcPr>
            <w:tcW w:w="130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(4,024)</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(6,124)</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(7,614)</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35,652</w:t>
            </w:r>
          </w:p>
        </w:tc>
        <w:tc>
          <w:tcPr>
            <w:tcW w:w="130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22,035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35,652</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22,035</w:t>
            </w: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Arial" w:cs="Arial" w:eastAsia="Arial" w:hAnsi="Arial"/>
                <w:sz w:val="14"/>
                <w:szCs w:val="14"/>
                <w:color w:val="auto"/>
              </w:rPr>
              <w:t>Trailing-twelve-month average selling price</w:t>
            </w:r>
          </w:p>
        </w:tc>
        <w:tc>
          <w:tcPr>
            <w:tcW w:w="1220" w:type="dxa"/>
            <w:vAlign w:val="bottom"/>
            <w:vMerge w:val="restart"/>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color w:val="auto"/>
              </w:rPr>
              <w:t>441</w:t>
            </w:r>
          </w:p>
        </w:tc>
        <w:tc>
          <w:tcPr>
            <w:tcW w:w="1300" w:type="dxa"/>
            <w:vAlign w:val="bottom"/>
            <w:vMerge w:val="restart"/>
          </w:tcPr>
          <w:p>
            <w:pPr>
              <w:jc w:val="right"/>
              <w:ind w:right="10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2"/>
                <w:szCs w:val="12"/>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auto"/>
              </w:rPr>
              <w:t>441</w:t>
            </w:r>
          </w:p>
        </w:tc>
        <w:tc>
          <w:tcPr>
            <w:tcW w:w="52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Arial" w:cs="Arial" w:eastAsia="Arial" w:hAnsi="Arial"/>
                <w:sz w:val="14"/>
                <w:szCs w:val="14"/>
                <w:color w:val="auto"/>
              </w:rPr>
              <w:t>(ASP)</w:t>
            </w:r>
          </w:p>
        </w:tc>
        <w:tc>
          <w:tcPr>
            <w:tcW w:w="12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Q3 2025 Highlights and Recent Corporate Updates:</w:t>
      </w:r>
    </w:p>
    <w:p>
      <w:pPr>
        <w:spacing w:after="0" w:line="285" w:lineRule="exact"/>
        <w:rPr>
          <w:sz w:val="20"/>
          <w:szCs w:val="20"/>
          <w:color w:val="auto"/>
        </w:rPr>
      </w:pPr>
    </w:p>
    <w:p>
      <w:pPr>
        <w:ind w:left="980" w:right="20" w:hanging="324"/>
        <w:spacing w:after="0" w:line="276" w:lineRule="auto"/>
        <w:tabs>
          <w:tab w:leader="none" w:pos="948" w:val="left"/>
        </w:tabs>
        <w:numPr>
          <w:ilvl w:val="0"/>
          <w:numId w:val="2"/>
        </w:numPr>
        <w:rPr>
          <w:rFonts w:ascii="Arial" w:cs="Arial" w:eastAsia="Arial" w:hAnsi="Arial"/>
          <w:sz w:val="22"/>
          <w:szCs w:val="22"/>
          <w:color w:val="auto"/>
        </w:rPr>
      </w:pPr>
      <w:r>
        <w:rPr>
          <w:rFonts w:ascii="Arial" w:cs="Arial" w:eastAsia="Arial" w:hAnsi="Arial"/>
          <w:sz w:val="20"/>
          <w:szCs w:val="20"/>
          <w:color w:val="auto"/>
        </w:rPr>
        <w:t>Delivered record total revenue of $17.2 million, representing a 38% increase compared to the third quarter of 2024, or a 26% increase before the impact of one-time adjustments recorded in 2024.</w:t>
      </w:r>
    </w:p>
    <w:p>
      <w:pPr>
        <w:spacing w:after="0" w:line="187" w:lineRule="exact"/>
        <w:rPr>
          <w:rFonts w:ascii="Arial" w:cs="Arial" w:eastAsia="Arial" w:hAnsi="Arial"/>
          <w:sz w:val="22"/>
          <w:szCs w:val="22"/>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Grew AVISE CTD test volume 16% compared to the third quarter of 2024.</w:t>
      </w:r>
    </w:p>
    <w:p>
      <w:pPr>
        <w:spacing w:after="0" w:line="256" w:lineRule="exact"/>
        <w:rPr>
          <w:rFonts w:ascii="Arial" w:cs="Arial" w:eastAsia="Arial" w:hAnsi="Arial"/>
          <w:sz w:val="20"/>
          <w:szCs w:val="20"/>
          <w:color w:val="auto"/>
        </w:rPr>
      </w:pPr>
    </w:p>
    <w:p>
      <w:pPr>
        <w:ind w:left="980" w:right="220" w:hanging="324"/>
        <w:spacing w:after="0" w:line="300"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Expanded AVISE CTD trailing twelve-month ASP to $441 per test, an increase of $37 per test over the third quarter of 2024.</w:t>
      </w:r>
    </w:p>
    <w:p>
      <w:pPr>
        <w:spacing w:after="0" w:line="167" w:lineRule="exact"/>
        <w:rPr>
          <w:rFonts w:ascii="Arial" w:cs="Arial" w:eastAsia="Arial" w:hAnsi="Arial"/>
          <w:sz w:val="20"/>
          <w:szCs w:val="20"/>
          <w:color w:val="auto"/>
        </w:rPr>
      </w:pPr>
    </w:p>
    <w:p>
      <w:pPr>
        <w:ind w:left="980" w:right="220" w:hanging="324"/>
        <w:spacing w:after="0" w:line="286"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Ended the third quarter of 2025 with $35.7 million in cash and cash equivalents, up from $30.0 million in the second quarter of 2025.</w:t>
      </w:r>
    </w:p>
    <w:p>
      <w:pPr>
        <w:spacing w:after="0" w:line="207" w:lineRule="exact"/>
        <w:rPr>
          <w:rFonts w:ascii="Arial" w:cs="Arial" w:eastAsia="Arial" w:hAnsi="Arial"/>
          <w:sz w:val="20"/>
          <w:szCs w:val="20"/>
          <w:color w:val="auto"/>
        </w:rPr>
      </w:pPr>
    </w:p>
    <w:p>
      <w:pPr>
        <w:ind w:left="980" w:right="500" w:hanging="324"/>
        <w:spacing w:after="0" w:line="276" w:lineRule="auto"/>
        <w:tabs>
          <w:tab w:leader="none" w:pos="948" w:val="left"/>
        </w:tabs>
        <w:numPr>
          <w:ilvl w:val="0"/>
          <w:numId w:val="2"/>
        </w:numPr>
        <w:rPr>
          <w:rFonts w:ascii="Arial" w:cs="Arial" w:eastAsia="Arial" w:hAnsi="Arial"/>
          <w:sz w:val="22"/>
          <w:szCs w:val="22"/>
          <w:color w:val="auto"/>
        </w:rPr>
      </w:pPr>
      <w:r>
        <w:rPr>
          <w:rFonts w:ascii="Arial" w:cs="Arial" w:eastAsia="Arial" w:hAnsi="Arial"/>
          <w:sz w:val="20"/>
          <w:szCs w:val="20"/>
          <w:color w:val="auto"/>
        </w:rPr>
        <w:t>At the end of Q3, commercially launched seronegative RA markers for anti-PAD4, the latest enhancement to the AVISE CTD panel.</w:t>
      </w:r>
    </w:p>
    <w:p>
      <w:pPr>
        <w:spacing w:after="0" w:line="200" w:lineRule="exact"/>
        <w:rPr>
          <w:rFonts w:ascii="Arial" w:cs="Arial" w:eastAsia="Arial" w:hAnsi="Arial"/>
          <w:sz w:val="22"/>
          <w:szCs w:val="22"/>
          <w:color w:val="auto"/>
        </w:rPr>
      </w:pPr>
    </w:p>
    <w:p>
      <w:pPr>
        <w:ind w:left="980" w:right="540" w:hanging="324"/>
        <w:spacing w:after="0" w:line="276" w:lineRule="auto"/>
        <w:tabs>
          <w:tab w:leader="none" w:pos="948" w:val="left"/>
        </w:tabs>
        <w:numPr>
          <w:ilvl w:val="0"/>
          <w:numId w:val="2"/>
        </w:numPr>
        <w:rPr>
          <w:rFonts w:ascii="Arial" w:cs="Arial" w:eastAsia="Arial" w:hAnsi="Arial"/>
          <w:sz w:val="22"/>
          <w:szCs w:val="22"/>
          <w:color w:val="auto"/>
        </w:rPr>
      </w:pPr>
      <w:r>
        <w:rPr>
          <w:rFonts w:ascii="Arial" w:cs="Arial" w:eastAsia="Arial" w:hAnsi="Arial"/>
          <w:sz w:val="20"/>
          <w:szCs w:val="20"/>
          <w:color w:val="auto"/>
        </w:rPr>
        <w:t>Presented six abstracts at the American College of Rheumatology Conference, including a plenary presentation related to the continued development of a lupus nephritis platform.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2025 Guidance</w:t>
      </w:r>
    </w:p>
    <w:p>
      <w:pPr>
        <w:spacing w:after="0" w:line="258" w:lineRule="exact"/>
        <w:rPr>
          <w:sz w:val="20"/>
          <w:szCs w:val="20"/>
          <w:color w:val="auto"/>
        </w:rPr>
      </w:pPr>
    </w:p>
    <w:p>
      <w:pPr>
        <w:ind w:right="480"/>
        <w:spacing w:after="0" w:line="300" w:lineRule="auto"/>
        <w:rPr>
          <w:sz w:val="20"/>
          <w:szCs w:val="20"/>
          <w:color w:val="auto"/>
        </w:rPr>
      </w:pPr>
      <w:r>
        <w:rPr>
          <w:rFonts w:ascii="Arial" w:cs="Arial" w:eastAsia="Arial" w:hAnsi="Arial"/>
          <w:sz w:val="20"/>
          <w:szCs w:val="20"/>
          <w:color w:val="auto"/>
        </w:rPr>
        <w:t>The company reiterates expected 2025 full-year revenue of between $65 million and $70 million, and at the high end of the revenue range would expect to achieve positive adjusted EBITDA in the fourth quarter of 2025.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58"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color w:val="auto"/>
        </w:rPr>
        <w:t>A conference call to review third quarter 2025 financial results and to provide a business update is scheduled for today, November 4, 2025, at 8:30 a.m. ET (5:30 a.m. PT). Interested parties may access the conference call by dialing (201) 389-0918 (U.S.) or (877) 407-0890 (international). Additionally, a link to a live webcast of the call will be available in the Investor Relations section of Exagen's website at investors.exagen.com.</w:t>
      </w:r>
    </w:p>
    <w:p>
      <w:pPr>
        <w:spacing w:after="0" w:line="211"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November 18, 2025. Interested parties may access the replay by dialing (201) 612-7415 (U.S.) or (877) 660-6853 (international) using passcode 13756599. A link to the replay of the webcast will also be available in the Investor Relations section of Exagen's website.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 (UNAUDITED)</w:t>
      </w:r>
    </w:p>
    <w:p>
      <w:pPr>
        <w:spacing w:after="0" w:line="258" w:lineRule="exact"/>
        <w:rPr>
          <w:sz w:val="20"/>
          <w:szCs w:val="20"/>
          <w:color w:val="auto"/>
        </w:rPr>
      </w:pPr>
    </w:p>
    <w:p>
      <w:pPr>
        <w:spacing w:after="0" w:line="265" w:lineRule="auto"/>
        <w:rPr>
          <w:sz w:val="20"/>
          <w:szCs w:val="20"/>
          <w:color w:val="auto"/>
        </w:rPr>
      </w:pPr>
      <w:r>
        <w:rPr>
          <w:rFonts w:ascii="Arial" w:cs="Arial" w:eastAsia="Arial" w:hAnsi="Arial"/>
          <w:sz w:val="20"/>
          <w:szCs w:val="20"/>
          <w:color w:val="auto"/>
        </w:rPr>
        <w:t>In addition to the financial results prepared in accordance with generally accepted accounting principles in the United States (GAAP), this press release contains the metric adjusted EBITDA, which is not calculated in accordance with GAAP and is a non-GAAP financial measure. Adjusted EBITDA excludes from net loss interest income (expense), income tax expense (benefit), depreciation and amortization expense, stock-based compensation expense, loss on extinguishment of debt, change in fair value of warrant liability, income taxes and other expenses or income that management believes are not representative of the company’s operations. Such items could have a significant impact on the calculation of GAAP net loss.</w:t>
      </w:r>
    </w:p>
    <w:p>
      <w:pPr>
        <w:spacing w:after="0" w:line="204"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Exagen uses adjusted EBITDA internally because the company believes these metrics provide useful supplemental information in assessing its operating performance reported in accordance with GAAP. Exagen believes adjusted EBITDA may enhance an evaluation of the operating performance because it excludes the impact of prior decisions made about capital investment, financing, investing and certain expenses the company believes are not indicative of the ongoing performance. However, this non-GAAP financial measure may be different from non-GAAP financial measures used by other companies, even when the same or similarly titled terms are used to identify such measures, limiting their usefulness for comparative purposes.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This non-GAAP financial measure is not meant to be considered in isolation or used as a substitute for net loss reported in accordance with GAAP, should be considered in conjunction with the financial information presented in accordance with GAAP, has no standardized meaning prescribed by GAAP, is unaudited, and is not prepared under any comprehensive set of accounting rules or principles. In addition, from time to time in the future, there may be other items that Exagen may exclude for purposes of these non-GAAP financial measures, and the company may in the future cease to exclude items that it has historically excluded for purposes of these non-GAAP financial measures. Likewise, Exagen may determine to modify the nature of adjustments to arrive at these non-GAAP financial</w:t>
      </w:r>
    </w:p>
    <w:p>
      <w:pPr>
        <w:sectPr>
          <w:pgSz w:w="11900" w:h="16838" w:orient="portrait"/>
          <w:cols w:equalWidth="0" w:num="1">
            <w:col w:w="11220"/>
          </w:cols>
          <w:pgMar w:left="320" w:top="1425" w:right="359" w:bottom="1440" w:gutter="0" w:footer="0" w:header="0"/>
        </w:sectPr>
      </w:pPr>
    </w:p>
    <w:bookmarkStart w:id="5" w:name="page6"/>
    <w:bookmarkEnd w:id="5"/>
    <w:p>
      <w:pPr>
        <w:ind w:right="80"/>
        <w:spacing w:after="0" w:line="269" w:lineRule="auto"/>
        <w:rPr>
          <w:sz w:val="20"/>
          <w:szCs w:val="20"/>
          <w:color w:val="auto"/>
        </w:rPr>
      </w:pPr>
      <w:r>
        <w:rPr>
          <w:rFonts w:ascii="Arial" w:cs="Arial" w:eastAsia="Arial" w:hAnsi="Arial"/>
          <w:sz w:val="20"/>
          <w:szCs w:val="20"/>
          <w:color w:val="auto"/>
        </w:rPr>
        <w:t>measures. Because of the non-standardized definitions of non-GAAP financial measures, the non-GAAP financial measure as used by the company in this press release and the accompanying reconciliation table have limits in their usefulness to investors and may be calculated differently from, and therefore may not be directly comparable to, similarly titled measures used by other companies. Accordingly, investors should not place undue reliance on non-GAAP financial measures.</w:t>
      </w:r>
    </w:p>
    <w:p>
      <w:pPr>
        <w:spacing w:after="0" w:line="197" w:lineRule="exact"/>
        <w:rPr>
          <w:sz w:val="20"/>
          <w:szCs w:val="20"/>
          <w:color w:val="auto"/>
        </w:rPr>
      </w:pPr>
    </w:p>
    <w:p>
      <w:pPr>
        <w:ind w:right="600"/>
        <w:spacing w:after="0" w:line="300" w:lineRule="auto"/>
        <w:rPr>
          <w:sz w:val="20"/>
          <w:szCs w:val="20"/>
          <w:color w:val="auto"/>
        </w:rPr>
      </w:pPr>
      <w:r>
        <w:rPr>
          <w:rFonts w:ascii="Arial" w:cs="Arial" w:eastAsia="Arial" w:hAnsi="Arial"/>
          <w:sz w:val="20"/>
          <w:szCs w:val="20"/>
          <w:color w:val="auto"/>
        </w:rPr>
        <w:t>A reconciliation of net loss to non-GAAP adjusted EBITDA is provided in the financial schedules that are part of this 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258"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auto"/>
        </w:rPr>
        <w:t>Exagen Inc. (Nasdaq: XGN) is a leading provider of autoimmune diagnostics, committed to transforming care for patients with chronic and debilitating autoimmune conditions. Based in San Diego County, California, Exagen’s mission is to provide clarity in autoimmune disease decision-making and improve clinical outcomes through its innovative testing portfolio. The company’s flagship product, AVISE® CTD, enables clinicians to more effectively diagnose complex autoimmune conditions such as lupus, rheumatoid arthritis, and Sjögren’s disease earlier and with greater accuracy. Exagen’s CLIA-certified, CAP-accredited laboratory specializes in the testing of rheumatic diseases, delivering precise and timely results, supported by a suite of AVISE-branded tests for disease diagnosis, prognosis, and monitoring. With a focus on research, innovation, education, and patient-centered care, Exagen is dedicated to addressing the ongoing challenges of autoimmune disease management.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visit </w:t>
      </w:r>
      <w:r>
        <w:rPr>
          <w:rFonts w:ascii="Arial" w:cs="Arial" w:eastAsia="Arial" w:hAnsi="Arial"/>
          <w:sz w:val="22"/>
          <w:szCs w:val="22"/>
          <w:color w:val="0000FF"/>
        </w:rPr>
        <w:t>Exagen.com</w:t>
      </w:r>
      <w:r>
        <w:rPr>
          <w:rFonts w:ascii="Arial" w:cs="Arial" w:eastAsia="Arial" w:hAnsi="Arial"/>
          <w:sz w:val="22"/>
          <w:szCs w:val="22"/>
          <w:color w:val="auto"/>
        </w:rPr>
        <w:t xml:space="preserve"> or follow Exagen on </w:t>
      </w:r>
      <w:r>
        <w:rPr>
          <w:rFonts w:ascii="Arial" w:cs="Arial" w:eastAsia="Arial" w:hAnsi="Arial"/>
          <w:sz w:val="22"/>
          <w:szCs w:val="22"/>
          <w:color w:val="0000FF"/>
        </w:rPr>
        <w:t>LinkedIn</w:t>
      </w:r>
      <w:r>
        <w:rPr>
          <w:rFonts w:ascii="Arial" w:cs="Arial" w:eastAsia="Arial" w:hAnsi="Arial"/>
          <w:sz w:val="22"/>
          <w:szCs w:val="22"/>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5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strategies, positioning, and ambitions; evaluations and judgments regarding financial results and the potential implications of those results, potential future financial and business performance, including any improvements to adjusted EBITDA, ASP, net loss and potential profitability; the potential utility and effectiveness of Exagen’s services and testing solutions; potential stockholder value and growth and full-year 2025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interactions with regulatory authorities, and delays in ongoing and planned clinical trials involving its tests; the potential effects of inflation and tariffs on Exagen’s margins; and changes in laws and regulations related to Exagen’s regulatory requirements. Exagen’s commercial success depends upon attaining and maintaining significant market acceptance of its testing products among rheumatologists, patients, third-party payors and others in the medical community; Exagen’s ability to successfully execute on its business strategies; and ability to obtain additional funding; third-party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w:t>
      </w:r>
    </w:p>
    <w:p>
      <w:pPr>
        <w:sectPr>
          <w:pgSz w:w="11900" w:h="16838" w:orient="portrait"/>
          <w:cols w:equalWidth="0" w:num="1">
            <w:col w:w="11220"/>
          </w:cols>
          <w:pgMar w:left="320" w:top="1427" w:right="359" w:bottom="1440" w:gutter="0" w:footer="0" w:header="0"/>
        </w:sectPr>
      </w:pPr>
    </w:p>
    <w:bookmarkStart w:id="6" w:name="page7"/>
    <w:bookmarkEnd w:id="6"/>
    <w:p>
      <w:pPr>
        <w:spacing w:after="0" w:line="263" w:lineRule="auto"/>
        <w:rPr>
          <w:sz w:val="20"/>
          <w:szCs w:val="20"/>
          <w:color w:val="auto"/>
        </w:rPr>
      </w:pPr>
      <w:r>
        <w:rPr>
          <w:rFonts w:ascii="Arial" w:cs="Arial" w:eastAsia="Arial" w:hAnsi="Arial"/>
          <w:sz w:val="20"/>
          <w:szCs w:val="20"/>
          <w:color w:val="auto"/>
        </w:rPr>
        <w:t>Exchange Commission (SEC), including under the heading “Risk Factors” in Exagen’s Annual Report on Form 10-K for the year ended December 31, 2024, filed with the SEC on March 11, 2025, Quarterly Report on Form 10-Q for the quarter ended March 31, 2025 filed with the SEC on May 5, 2025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Ryan Douglas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ir@exagen.com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760.560.1525</w:t>
      </w:r>
    </w:p>
    <w:p>
      <w:pPr>
        <w:sectPr>
          <w:pgSz w:w="11900" w:h="16838" w:orient="portrait"/>
          <w:cols w:equalWidth="0" w:num="1">
            <w:col w:w="11160"/>
          </w:cols>
          <w:pgMar w:left="320" w:top="1427" w:right="419" w:bottom="1440" w:gutter="0" w:footer="0" w:header="0"/>
        </w:sectPr>
      </w:pPr>
    </w:p>
    <w:bookmarkStart w:id="7" w:name="page8"/>
    <w:bookmarkEnd w:id="7"/>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2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41,986</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17,351</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24,635</w:t>
            </w:r>
          </w:p>
        </w:tc>
        <w:tc>
          <w:tcPr>
            <w:tcW w:w="0" w:type="dxa"/>
            <w:vAlign w:val="bottom"/>
          </w:tcPr>
          <w:p>
            <w:pPr>
              <w:spacing w:after="0"/>
              <w:rPr>
                <w:sz w:val="1"/>
                <w:szCs w:val="1"/>
                <w:color w:val="auto"/>
              </w:rPr>
            </w:pPr>
          </w:p>
        </w:tc>
      </w:tr>
      <w:tr>
        <w:trPr>
          <w:trHeight w:val="179"/>
        </w:trPr>
        <w:tc>
          <w:tcPr>
            <w:tcW w:w="50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31,169</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3,719</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38,688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34,888</w:t>
            </w: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(10,253)</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(11,354)</w:t>
            </w: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020" w:type="dxa"/>
            <w:vAlign w:val="bottom"/>
            <w:shd w:val="clear" w:color="auto" w:fill="CCEEFF"/>
          </w:tcPr>
          <w:p>
            <w:pPr>
              <w:ind w:left="20"/>
              <w:spacing w:after="0" w:line="124" w:lineRule="exact"/>
              <w:rPr>
                <w:sz w:val="20"/>
                <w:szCs w:val="20"/>
                <w:color w:val="auto"/>
              </w:rPr>
            </w:pPr>
            <w:r>
              <w:rPr>
                <w:rFonts w:ascii="Arial" w:cs="Arial" w:eastAsia="Arial" w:hAnsi="Arial"/>
                <w:sz w:val="14"/>
                <w:szCs w:val="14"/>
                <w:color w:val="auto"/>
              </w:rPr>
              <w:t>Weighted-average number of shares used to compute net loss per share,</w:t>
            </w:r>
          </w:p>
        </w:tc>
        <w:tc>
          <w:tcPr>
            <w:tcW w:w="22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22,940,412</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18,254,937</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20,878,373</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18,127,549</w:t>
            </w:r>
          </w:p>
        </w:tc>
        <w:tc>
          <w:tcPr>
            <w:tcW w:w="0" w:type="dxa"/>
            <w:vAlign w:val="bottom"/>
          </w:tcPr>
          <w:p>
            <w:pPr>
              <w:spacing w:after="0"/>
              <w:rPr>
                <w:sz w:val="1"/>
                <w:szCs w:val="1"/>
                <w:color w:val="auto"/>
              </w:rPr>
            </w:pPr>
          </w:p>
        </w:tc>
      </w:tr>
      <w:tr>
        <w:trPr>
          <w:trHeight w:val="178"/>
        </w:trPr>
        <w:tc>
          <w:tcPr>
            <w:tcW w:w="502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basic and diluted</w:t>
            </w: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7,835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36,455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Finance lease liabilities, current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 current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 current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13,506</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19,822</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liabilities, non-current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9"/>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44,685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35,149</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Preferred stock, $0.001 par value per share; 10,000,000 shares authorized, no shares issued or outstanding as of September 31,</w:t>
            </w: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2025 and December 31, 2024</w:t>
            </w: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as of September 30, 2025 and December 31, 2024;</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22,510,313 and 17,640,328 shares issued and outstanding as of September 30, 2025 and December 31, 2024, respectively</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303,853</w:t>
            </w:r>
          </w:p>
        </w:tc>
        <w:tc>
          <w:tcPr>
            <w:tcW w:w="0" w:type="dxa"/>
            <w:vAlign w:val="bottom"/>
          </w:tcPr>
          <w:p>
            <w:pPr>
              <w:spacing w:after="0"/>
              <w:rPr>
                <w:sz w:val="1"/>
                <w:szCs w:val="1"/>
                <w:color w:val="auto"/>
              </w:rPr>
            </w:pPr>
          </w:p>
        </w:tc>
      </w:tr>
      <w:tr>
        <w:trPr>
          <w:trHeight w:val="199"/>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(309,609)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(294,331)</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18,138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192"/>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68" w:lineRule="exact"/>
        <w:rPr>
          <w:sz w:val="20"/>
          <w:szCs w:val="20"/>
          <w:color w:val="auto"/>
        </w:rPr>
      </w:pPr>
    </w:p>
    <w:p>
      <w:pPr>
        <w:jc w:val="both"/>
        <w:ind w:right="360"/>
        <w:spacing w:after="0" w:line="262" w:lineRule="auto"/>
        <w:rPr>
          <w:sz w:val="20"/>
          <w:szCs w:val="20"/>
          <w:color w:val="auto"/>
        </w:rPr>
      </w:pPr>
      <w:r>
        <w:rPr>
          <w:rFonts w:ascii="Arial" w:cs="Arial" w:eastAsia="Arial" w:hAnsi="Arial"/>
          <w:sz w:val="20"/>
          <w:szCs w:val="20"/>
          <w:color w:val="auto"/>
        </w:rPr>
        <w:t>The table below presents the reconciliation of adjusted EBITDA, which is a non-GAAP financial measure. See "Use of Non-GAAP Financial Measures (UNAUDITED)" above for further information regarding the company's use of non-GAAP financial measures.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2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8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181"/>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36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(7,087)</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(15,278)</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(11,354)</w:t>
            </w:r>
          </w:p>
        </w:tc>
      </w:tr>
      <w:tr>
        <w:trPr>
          <w:trHeight w:val="207"/>
        </w:trPr>
        <w:tc>
          <w:tcPr>
            <w:tcW w:w="20" w:type="dxa"/>
            <w:vAlign w:val="bottom"/>
            <w:shd w:val="clear" w:color="auto" w:fill="CCEEFF"/>
          </w:tcPr>
          <w:p>
            <w:pPr>
              <w:spacing w:after="0"/>
              <w:rPr>
                <w:sz w:val="17"/>
                <w:szCs w:val="17"/>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 expense</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r>
      <w:tr>
        <w:trPr>
          <w:trHeight w:val="198"/>
        </w:trPr>
        <w:tc>
          <w:tcPr>
            <w:tcW w:w="20" w:type="dxa"/>
            <w:vAlign w:val="bottom"/>
          </w:tcPr>
          <w:p>
            <w:pPr>
              <w:spacing w:after="0"/>
              <w:rPr>
                <w:sz w:val="17"/>
                <w:szCs w:val="17"/>
                <w:color w:val="auto"/>
              </w:rPr>
            </w:pPr>
          </w:p>
        </w:tc>
        <w:tc>
          <w:tcPr>
            <w:tcW w:w="4880" w:type="dxa"/>
            <w:vAlign w:val="bottom"/>
            <w:gridSpan w:val="2"/>
          </w:tcPr>
          <w:p>
            <w:pPr>
              <w:ind w:left="340"/>
              <w:spacing w:after="0"/>
              <w:rPr>
                <w:sz w:val="20"/>
                <w:szCs w:val="20"/>
                <w:color w:val="auto"/>
              </w:rPr>
            </w:pPr>
            <w:r>
              <w:rPr>
                <w:rFonts w:ascii="Arial" w:cs="Arial" w:eastAsia="Arial" w:hAnsi="Arial"/>
                <w:sz w:val="14"/>
                <w:szCs w:val="14"/>
                <w:color w:val="auto"/>
              </w:rPr>
              <w:t>Interest expense</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1,671</w:t>
            </w:r>
          </w:p>
        </w:tc>
      </w:tr>
      <w:tr>
        <w:trPr>
          <w:trHeight w:val="207"/>
        </w:trPr>
        <w:tc>
          <w:tcPr>
            <w:tcW w:w="20" w:type="dxa"/>
            <w:vAlign w:val="bottom"/>
            <w:shd w:val="clear" w:color="auto" w:fill="CCEEFF"/>
          </w:tcPr>
          <w:p>
            <w:pPr>
              <w:spacing w:after="0"/>
              <w:rPr>
                <w:sz w:val="17"/>
                <w:szCs w:val="17"/>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on extinguishment of debt</w:t>
            </w:r>
          </w:p>
        </w:tc>
        <w:tc>
          <w:tcPr>
            <w:tcW w:w="9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4880" w:type="dxa"/>
            <w:vAlign w:val="bottom"/>
            <w:gridSpan w:val="2"/>
          </w:tcPr>
          <w:p>
            <w:pPr>
              <w:ind w:left="340"/>
              <w:spacing w:after="0"/>
              <w:rPr>
                <w:sz w:val="20"/>
                <w:szCs w:val="20"/>
                <w:color w:val="auto"/>
              </w:rPr>
            </w:pPr>
            <w:r>
              <w:rPr>
                <w:rFonts w:ascii="Arial" w:cs="Arial" w:eastAsia="Arial" w:hAnsi="Arial"/>
                <w:sz w:val="14"/>
                <w:szCs w:val="14"/>
                <w:color w:val="auto"/>
              </w:rPr>
              <w:t>Change in fair value of warrant liability</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488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 expense</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1,309</w:t>
            </w:r>
          </w:p>
        </w:tc>
      </w:tr>
      <w:tr>
        <w:trPr>
          <w:trHeight w:val="207"/>
        </w:trPr>
        <w:tc>
          <w:tcPr>
            <w:tcW w:w="20" w:type="dxa"/>
            <w:vAlign w:val="bottom"/>
            <w:shd w:val="clear" w:color="auto" w:fill="CCEEFF"/>
          </w:tcPr>
          <w:p>
            <w:pPr>
              <w:spacing w:after="0"/>
              <w:rPr>
                <w:sz w:val="17"/>
                <w:szCs w:val="17"/>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w:t>
            </w:r>
          </w:p>
        </w:tc>
      </w:tr>
      <w:tr>
        <w:trPr>
          <w:trHeight w:val="192"/>
        </w:trPr>
        <w:tc>
          <w:tcPr>
            <w:tcW w:w="20" w:type="dxa"/>
            <w:vAlign w:val="bottom"/>
          </w:tcPr>
          <w:p>
            <w:pPr>
              <w:spacing w:after="0"/>
              <w:rPr>
                <w:sz w:val="16"/>
                <w:szCs w:val="16"/>
                <w:color w:val="auto"/>
              </w:rPr>
            </w:pPr>
          </w:p>
        </w:tc>
        <w:tc>
          <w:tcPr>
            <w:tcW w:w="4880" w:type="dxa"/>
            <w:vAlign w:val="bottom"/>
            <w:gridSpan w:val="2"/>
          </w:tcPr>
          <w:p>
            <w:pPr>
              <w:spacing w:after="0"/>
              <w:rPr>
                <w:sz w:val="20"/>
                <w:szCs w:val="20"/>
                <w:color w:val="auto"/>
              </w:rPr>
            </w:pPr>
            <w:r>
              <w:rPr>
                <w:rFonts w:ascii="Arial" w:cs="Arial" w:eastAsia="Arial" w:hAnsi="Arial"/>
                <w:sz w:val="14"/>
                <w:szCs w:val="14"/>
                <w:color w:val="auto"/>
              </w:rPr>
              <w:t>Adjusted EBITDA (Non-GAAP)</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(7,614)</w:t>
            </w:r>
          </w:p>
        </w:tc>
      </w:tr>
      <w:tr>
        <w:trPr>
          <w:trHeight w:val="25"/>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2025-11-04T07:10:00Z</dcterms:created>
  <dcterms:modified xsi:type="dcterms:W3CDTF">2025-11-04T07:10:00Z</dcterms:modified>
</cp:coreProperties>
</file>