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13, 2024</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May 13, 2024, the Company reported its financial results for the three months ended March 31, 2024.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32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Press Release dated May 13, 2024</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60" w:type="dxa"/>
            <w:vAlign w:val="bottom"/>
            <w:shd w:val="clear" w:color="auto" w:fill="0E32E1"/>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May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Kamal Adawi</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6558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auto"/>
        </w:rPr>
        <w:t>Exagen Inc. Reports Strong First Quarter 2024 Results:</w:t>
      </w:r>
    </w:p>
    <w:p>
      <w:pPr>
        <w:spacing w:after="0" w:line="5"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auto"/>
        </w:rPr>
        <w:t>Raises Guidance for Full Year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May 13, 2024</w:t>
      </w:r>
    </w:p>
    <w:p>
      <w:pPr>
        <w:spacing w:after="0" w:line="238" w:lineRule="exact"/>
        <w:rPr>
          <w:sz w:val="20"/>
          <w:szCs w:val="20"/>
          <w:color w:val="auto"/>
        </w:rPr>
      </w:pPr>
    </w:p>
    <w:p>
      <w:pPr>
        <w:ind w:right="40"/>
        <w:spacing w:after="0" w:line="221" w:lineRule="auto"/>
        <w:rPr>
          <w:sz w:val="20"/>
          <w:szCs w:val="20"/>
          <w:color w:val="auto"/>
        </w:rPr>
      </w:pPr>
      <w:r>
        <w:rPr>
          <w:rFonts w:ascii="Calibri" w:cs="Calibri" w:eastAsia="Calibri" w:hAnsi="Calibri"/>
          <w:sz w:val="20"/>
          <w:szCs w:val="20"/>
          <w:color w:val="auto"/>
        </w:rPr>
        <w:t>Carlsbad, Calif., – Exagen Inc. (Nasdaq: XGN), a leading provider of autoimmune testng solutons, today reported fnancial results for the quarter ended March 31, 2024.</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First Quarter Highlights:</w:t>
      </w:r>
    </w:p>
    <w:p>
      <w:pPr>
        <w:spacing w:after="0" w:line="228" w:lineRule="exact"/>
        <w:rPr>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Recognized total revenue of $14.4 million in the frst quarter of 2024, a 28.4% increase over the frst quarter of 2023.</w:t>
      </w:r>
    </w:p>
    <w:p>
      <w:pPr>
        <w:spacing w:after="0" w:line="143" w:lineRule="exact"/>
        <w:rPr>
          <w:rFonts w:ascii="Calibri" w:cs="Calibri" w:eastAsia="Calibri" w:hAnsi="Calibri"/>
          <w:sz w:val="20"/>
          <w:szCs w:val="20"/>
          <w:color w:val="auto"/>
        </w:rPr>
      </w:pPr>
    </w:p>
    <w:p>
      <w:pPr>
        <w:ind w:left="980" w:right="480" w:hanging="324"/>
        <w:spacing w:after="0" w:line="228"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Delivered gross margin of 59.6% in the frst quarter of 2024, compared to a gross margin of 47.2% in the frst quarter of 2023.</w:t>
      </w:r>
    </w:p>
    <w:p>
      <w:pPr>
        <w:spacing w:after="0" w:line="224" w:lineRule="exact"/>
        <w:rPr>
          <w:rFonts w:ascii="Calibri" w:cs="Calibri" w:eastAsia="Calibri" w:hAnsi="Calibri"/>
          <w:sz w:val="20"/>
          <w:szCs w:val="20"/>
          <w:color w:val="auto"/>
        </w:rPr>
      </w:pPr>
    </w:p>
    <w:p>
      <w:pPr>
        <w:ind w:left="980" w:right="20" w:hanging="324"/>
        <w:spacing w:after="0" w:line="221" w:lineRule="auto"/>
        <w:tabs>
          <w:tab w:leader="none" w:pos="973"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AVISE® CTD trailing twelve-month average selling price (ASP) of $377, a 35.1% increase over the trailing twelve-month ASP in the frst quarter of 2023.</w:t>
      </w:r>
    </w:p>
    <w:p>
      <w:pPr>
        <w:spacing w:after="0" w:line="229"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Net loss of $3.4 million in the frst quarter of 2024, a 56.3% improvement over the frst quarter of 2023.</w:t>
      </w:r>
    </w:p>
    <w:p>
      <w:pPr>
        <w:spacing w:after="0" w:line="214"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Adjusted EBITDA of $(2.0) million for the frst quarter of 2024, a 67.7% improvement over the frst quarter of 2023.</w:t>
      </w:r>
    </w:p>
    <w:p>
      <w:pPr>
        <w:spacing w:after="0" w:line="228" w:lineRule="exact"/>
        <w:rPr>
          <w:rFonts w:ascii="Calibri" w:cs="Calibri" w:eastAsia="Calibri" w:hAnsi="Calibri"/>
          <w:sz w:val="20"/>
          <w:szCs w:val="20"/>
          <w:color w:val="auto"/>
        </w:rPr>
      </w:pPr>
    </w:p>
    <w:p>
      <w:pPr>
        <w:ind w:left="980" w:hanging="324"/>
        <w:spacing w:after="0"/>
        <w:tabs>
          <w:tab w:leader="none" w:pos="980" w:val="left"/>
        </w:tabs>
        <w:numPr>
          <w:ilvl w:val="0"/>
          <w:numId w:val="2"/>
        </w:numPr>
        <w:rPr>
          <w:rFonts w:ascii="Calibri" w:cs="Calibri" w:eastAsia="Calibri" w:hAnsi="Calibri"/>
          <w:sz w:val="20"/>
          <w:szCs w:val="20"/>
          <w:color w:val="auto"/>
        </w:rPr>
      </w:pPr>
      <w:r>
        <w:rPr>
          <w:rFonts w:ascii="Calibri" w:cs="Calibri" w:eastAsia="Calibri" w:hAnsi="Calibri"/>
          <w:sz w:val="20"/>
          <w:szCs w:val="20"/>
          <w:color w:val="auto"/>
        </w:rPr>
        <w:t>Cash and cash equivalents were $27.3 million, with cash runway into 2026.</w:t>
      </w:r>
    </w:p>
    <w:p>
      <w:pPr>
        <w:spacing w:after="0" w:line="200" w:lineRule="exact"/>
        <w:rPr>
          <w:sz w:val="20"/>
          <w:szCs w:val="20"/>
          <w:color w:val="auto"/>
        </w:rPr>
      </w:pPr>
    </w:p>
    <w:p>
      <w:pPr>
        <w:spacing w:after="0" w:line="268" w:lineRule="exact"/>
        <w:rPr>
          <w:sz w:val="20"/>
          <w:szCs w:val="20"/>
          <w:color w:val="auto"/>
        </w:rPr>
      </w:pPr>
    </w:p>
    <w:p>
      <w:pPr>
        <w:spacing w:after="0" w:line="214" w:lineRule="auto"/>
        <w:rPr>
          <w:sz w:val="20"/>
          <w:szCs w:val="20"/>
          <w:color w:val="auto"/>
        </w:rPr>
      </w:pPr>
      <w:r>
        <w:rPr>
          <w:rFonts w:ascii="Calibri" w:cs="Calibri" w:eastAsia="Calibri" w:hAnsi="Calibri"/>
          <w:sz w:val="20"/>
          <w:szCs w:val="20"/>
          <w:color w:val="auto"/>
        </w:rPr>
        <w:t>"I'm thrilled with the strong start to the year, where we saw contnued improvements in our key metrics, bringing us closer to our goal of proftability. Our volume increased in every month of the frst quarter, and we’re seeing that trend contnue into the second quarter. We've built strong momentum with material improvements to our ASP, and I'm excited about the opportunites that lie ahead, including updates to our fagship product, AVISE CTD. The inclusion of T-cell and new RA markers into AVISE CTD will make our industry leading ofering even more valuable to clinicians and positvely impact the company's fnancial standing. Given the contnued trajectory and strength of our business, we are raising our revenue and adjusted EBITDA expectatons for the full year 2024. The Exagen team has done a fantastc job, and I'd like to thank them for their hard work and dedicaton,” said John Aballi, President and Chief Executve Ofcer.</w:t>
      </w:r>
    </w:p>
    <w:p>
      <w:pPr>
        <w:spacing w:after="0" w:line="37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First Quarter 2024 Financial Results</w:t>
      </w:r>
    </w:p>
    <w:p>
      <w:pPr>
        <w:spacing w:after="0" w:line="144" w:lineRule="exact"/>
        <w:rPr>
          <w:sz w:val="20"/>
          <w:szCs w:val="20"/>
          <w:color w:val="auto"/>
        </w:rPr>
      </w:pPr>
    </w:p>
    <w:p>
      <w:pPr>
        <w:ind w:right="80"/>
        <w:spacing w:after="0" w:line="221" w:lineRule="auto"/>
        <w:rPr>
          <w:sz w:val="20"/>
          <w:szCs w:val="20"/>
          <w:color w:val="auto"/>
        </w:rPr>
      </w:pPr>
      <w:r>
        <w:rPr>
          <w:rFonts w:ascii="Calibri" w:cs="Calibri" w:eastAsia="Calibri" w:hAnsi="Calibri"/>
          <w:sz w:val="20"/>
          <w:szCs w:val="20"/>
          <w:color w:val="auto"/>
        </w:rPr>
        <w:t>Revenue was $14.4 million in the frst quarter of 2024, compared to $11.2 million in the frst quarter of 2023, primarily due to improved ASP. Gross margin was 59.6% in the frst quarter of 2024, compared to</w:t>
      </w:r>
    </w:p>
    <w:p>
      <w:pPr>
        <w:sectPr>
          <w:pgSz w:w="11900" w:h="16838" w:orient="portrait"/>
          <w:cols w:equalWidth="0" w:num="1">
            <w:col w:w="11220"/>
          </w:cols>
          <w:pgMar w:left="320" w:top="1440" w:right="35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color w:val="auto"/>
        </w:rPr>
        <w:t>47.2% in the frst quarter of 2023. The increase in gross margin percentage was driven by an increase in ASP.</w:t>
      </w:r>
    </w:p>
    <w:p>
      <w:pPr>
        <w:spacing w:after="0" w:line="225" w:lineRule="exact"/>
        <w:rPr>
          <w:sz w:val="20"/>
          <w:szCs w:val="20"/>
          <w:color w:val="auto"/>
        </w:rPr>
      </w:pPr>
    </w:p>
    <w:p>
      <w:pPr>
        <w:ind w:right="540"/>
        <w:spacing w:after="0" w:line="228" w:lineRule="auto"/>
        <w:rPr>
          <w:sz w:val="20"/>
          <w:szCs w:val="20"/>
          <w:color w:val="auto"/>
        </w:rPr>
      </w:pPr>
      <w:r>
        <w:rPr>
          <w:rFonts w:ascii="Calibri" w:cs="Calibri" w:eastAsia="Calibri" w:hAnsi="Calibri"/>
          <w:sz w:val="20"/>
          <w:szCs w:val="20"/>
          <w:color w:val="auto"/>
        </w:rPr>
        <w:t>Operatng expenses were $17.4 million in the frst quarter of 2024, compared with $18.9 million in the frst quarter of 2023. The decrease in operatng expenses was a result of lower selling, general and administratve expenses related to a reduced headcount.</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Net loss was $3.4 million for the frst quarter of 2024, compared to a net loss of $7.7 million in the frst quarter of 2023.</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Adjusted EBITDA was $(2.0) million for the frst quarter of 2024, compared to $(6.2) million for the frst quarter of 2023.</w:t>
      </w:r>
    </w:p>
    <w:p>
      <w:pPr>
        <w:spacing w:after="0" w:line="120" w:lineRule="exact"/>
        <w:rPr>
          <w:sz w:val="20"/>
          <w:szCs w:val="20"/>
          <w:color w:val="auto"/>
        </w:rPr>
      </w:pPr>
    </w:p>
    <w:p>
      <w:pPr>
        <w:spacing w:after="0"/>
        <w:rPr>
          <w:sz w:val="20"/>
          <w:szCs w:val="20"/>
          <w:color w:val="auto"/>
        </w:rPr>
      </w:pPr>
      <w:r>
        <w:rPr>
          <w:rFonts w:ascii="Calibri" w:cs="Calibri" w:eastAsia="Calibri" w:hAnsi="Calibri"/>
          <w:sz w:val="20"/>
          <w:szCs w:val="20"/>
          <w:color w:val="auto"/>
        </w:rPr>
        <w:t>Cash and cash equivalents were $27.3 million as of March 31, 2024 and our accounts receivable balance was $10.9 million.</w:t>
      </w:r>
    </w:p>
    <w:p>
      <w:pPr>
        <w:spacing w:after="0" w:line="238" w:lineRule="exact"/>
        <w:rPr>
          <w:sz w:val="20"/>
          <w:szCs w:val="20"/>
          <w:color w:val="auto"/>
        </w:rPr>
      </w:pPr>
    </w:p>
    <w:p>
      <w:pPr>
        <w:ind w:right="580"/>
        <w:spacing w:after="0" w:line="222" w:lineRule="auto"/>
        <w:rPr>
          <w:sz w:val="20"/>
          <w:szCs w:val="20"/>
          <w:color w:val="auto"/>
        </w:rPr>
      </w:pPr>
      <w:r>
        <w:rPr>
          <w:rFonts w:ascii="Calibri" w:cs="Calibri" w:eastAsia="Calibri" w:hAnsi="Calibri"/>
          <w:sz w:val="20"/>
          <w:szCs w:val="20"/>
          <w:color w:val="auto"/>
        </w:rPr>
        <w:t>A reconciliaton of non-GAAP adjusted EBITDA to GAAP net loss, the closest GAAP fnancial measure, is provided in the fnancial schedules that are part of this press release. An explanaton of this non-GAAP fnancial measures is also included below under the heading “Use of Non-GAAP Financial Measures (unaudited).”</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2024 Guidance</w:t>
      </w:r>
    </w:p>
    <w:p>
      <w:pPr>
        <w:spacing w:after="0" w:line="144" w:lineRule="exact"/>
        <w:rPr>
          <w:sz w:val="20"/>
          <w:szCs w:val="20"/>
          <w:color w:val="auto"/>
        </w:rPr>
      </w:pPr>
    </w:p>
    <w:p>
      <w:pPr>
        <w:ind w:right="140"/>
        <w:spacing w:after="0" w:line="231" w:lineRule="auto"/>
        <w:rPr>
          <w:sz w:val="20"/>
          <w:szCs w:val="20"/>
          <w:color w:val="auto"/>
        </w:rPr>
      </w:pPr>
      <w:r>
        <w:rPr>
          <w:rFonts w:ascii="Calibri" w:cs="Calibri" w:eastAsia="Calibri" w:hAnsi="Calibri"/>
          <w:sz w:val="20"/>
          <w:szCs w:val="20"/>
          <w:color w:val="auto"/>
        </w:rPr>
        <w:t>For full year 2024 revenue, we are increasing our guidance to at least $55 million and now believe our adjusted EBITDA will be beter than negatve $18 million. Given our contnued improved performance, we believe our existng cash and cash equivalents are adequate to meet our antcipated cash requirements into 2026.</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Conference Call</w:t>
      </w:r>
    </w:p>
    <w:p>
      <w:pPr>
        <w:spacing w:after="0" w:line="157" w:lineRule="exact"/>
        <w:rPr>
          <w:sz w:val="20"/>
          <w:szCs w:val="20"/>
          <w:color w:val="auto"/>
        </w:rPr>
      </w:pPr>
    </w:p>
    <w:p>
      <w:pPr>
        <w:ind w:right="80"/>
        <w:spacing w:after="0"/>
        <w:rPr>
          <w:sz w:val="20"/>
          <w:szCs w:val="20"/>
          <w:color w:val="auto"/>
        </w:rPr>
      </w:pPr>
      <w:r>
        <w:rPr>
          <w:rFonts w:ascii="Calibri" w:cs="Calibri" w:eastAsia="Calibri" w:hAnsi="Calibri"/>
          <w:sz w:val="20"/>
          <w:szCs w:val="20"/>
          <w:color w:val="auto"/>
        </w:rPr>
        <w:t>A conference call to review frst quarter 2024 fnancial results and to provide a business update is scheduled for today, May 13, 2024, at 8:30 AM Eastern Time (5:30 AM Pacifc Time). Interested partes may access the conference call by dialing (201) 389-0918 (U.S.) or (877) 407-0890 (internatonal). Additonally, a link to a live webcast of the call will be available in the Investor Relatons secton of Exagen's website at investors.exagen.com.</w:t>
      </w:r>
    </w:p>
    <w:p>
      <w:pPr>
        <w:spacing w:after="0" w:line="157" w:lineRule="exact"/>
        <w:rPr>
          <w:sz w:val="20"/>
          <w:szCs w:val="20"/>
          <w:color w:val="auto"/>
        </w:rPr>
      </w:pPr>
    </w:p>
    <w:p>
      <w:pPr>
        <w:spacing w:after="0"/>
        <w:rPr>
          <w:sz w:val="20"/>
          <w:szCs w:val="20"/>
          <w:color w:val="auto"/>
        </w:rPr>
      </w:pPr>
      <w:r>
        <w:rPr>
          <w:rFonts w:ascii="Calibri" w:cs="Calibri" w:eastAsia="Calibri" w:hAnsi="Calibri"/>
          <w:sz w:val="20"/>
          <w:szCs w:val="20"/>
          <w:color w:val="auto"/>
        </w:rPr>
        <w:t>Partcipants are asked to join a few minutes prior to the call to register for the event. A replay of the conference call will be available untl Monday, May 27, 2024, at 11:59 PM Eastern Time (8:59 PM Pacifc Time). Interested partes may access the replay by dialing (201) 612-7415 (U.S.) or (877) 660-6853 (internatonal) using passcode 13746122. A link to the replay of the webcast will also be available in the Investor Relatons secton of Exagen's website.</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Use of Non-GAAP Financial Measures (UNAUDITED)</w:t>
      </w:r>
    </w:p>
    <w:p>
      <w:pPr>
        <w:spacing w:after="0" w:line="157" w:lineRule="exact"/>
        <w:rPr>
          <w:sz w:val="20"/>
          <w:szCs w:val="20"/>
          <w:color w:val="auto"/>
        </w:rPr>
      </w:pPr>
    </w:p>
    <w:p>
      <w:pPr>
        <w:ind w:right="380"/>
        <w:spacing w:after="0" w:line="231" w:lineRule="auto"/>
        <w:rPr>
          <w:sz w:val="20"/>
          <w:szCs w:val="20"/>
          <w:color w:val="auto"/>
        </w:rPr>
      </w:pPr>
      <w:r>
        <w:rPr>
          <w:rFonts w:ascii="Calibri" w:cs="Calibri" w:eastAsia="Calibri" w:hAnsi="Calibri"/>
          <w:sz w:val="20"/>
          <w:szCs w:val="20"/>
          <w:color w:val="auto"/>
        </w:rPr>
        <w:t>In this release, we use the metrics of adjusted EBITDA, which is not calculated in accordance with generally accepted accountng principles in the United States (GAAP) and is a non-GAAP fnancial measure. Adjusted EBITDA excludes from net loss interest income (expense), depreciaton and amortzaton expense, and stock-based compensaton expense.</w:t>
      </w:r>
    </w:p>
    <w:p>
      <w:pPr>
        <w:spacing w:after="0" w:line="254"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We use adjusted EBITDA internally because we believe these metrics provide useful supplemental informaton in assessing our operatng performance reported in accordance with GAAP. We believe</w:t>
      </w:r>
    </w:p>
    <w:p>
      <w:pPr>
        <w:sectPr>
          <w:pgSz w:w="11900" w:h="16838" w:orient="portrait"/>
          <w:cols w:equalWidth="0" w:num="1">
            <w:col w:w="11220"/>
          </w:cols>
          <w:pgMar w:left="320" w:top="1388" w:right="359" w:bottom="1440" w:gutter="0" w:footer="0" w:header="0"/>
        </w:sectPr>
      </w:pPr>
    </w:p>
    <w:bookmarkStart w:id="5" w:name="page6"/>
    <w:bookmarkEnd w:id="5"/>
    <w:p>
      <w:pPr>
        <w:spacing w:after="0" w:line="233" w:lineRule="auto"/>
        <w:rPr>
          <w:sz w:val="20"/>
          <w:szCs w:val="20"/>
          <w:color w:val="auto"/>
        </w:rPr>
      </w:pPr>
      <w:r>
        <w:rPr>
          <w:rFonts w:ascii="Calibri" w:cs="Calibri" w:eastAsia="Calibri" w:hAnsi="Calibri"/>
          <w:sz w:val="20"/>
          <w:szCs w:val="20"/>
          <w:color w:val="auto"/>
        </w:rPr>
        <w:t>adjusted EBITDA may enhance an evaluaton of our operatng performance because it excludes the impact of prior decisions made about capital investment, fnancing, investng and certain expenses we believe are not indicatve of our ongoing performance. However, this non-GAAP fnancial measure may be diferent from non-GAAP fnancial measures used by other companies, even when the same or similarly ttled terms are used to identfy such measures, limitng their usefulness for comparatve purposes.</w:t>
      </w:r>
    </w:p>
    <w:p>
      <w:pPr>
        <w:spacing w:after="0" w:line="240"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This non-GAAP fnancial measure is not meant to be considered in isolaton or used as a substtute for net loss reported in accordance with GAAP, should be considered in conjuncton with our fnancial informaton presented in accordance with GAAP, has no standardized meaning prescribed by GAAP, is unaudited, and is not prepared under any comprehensive set of accountng rules or principles. In additon, from tme to tme in the future, there may be other items that we may exclude for purposes of these non-GAAP fnancial measures, and we may in the future cease to exclude items that we have historically excluded for purposes of these non-GAAP fnancial measures. Likewise, we may determine to modify the nature of adjustments to arrive at these non-GAAP fnancial measures. Because of the non-standardized defnitons of non-GAAP fnancial measures, the non-GAAP fnancial measure as used by us in this press release and the accompanying reconciliaton table have limits in their usefulness to investors and may be calculated diferently from, and therefore may not be directly comparable to, similarly ttled measures used by other companies. Accordingly, investors should not place undue reliance on non-GAAP fnancial measures.</w:t>
      </w:r>
    </w:p>
    <w:p>
      <w:pPr>
        <w:spacing w:after="0" w:line="37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Exagen</w:t>
      </w:r>
    </w:p>
    <w:p>
      <w:pPr>
        <w:spacing w:after="0" w:line="157" w:lineRule="exact"/>
        <w:rPr>
          <w:sz w:val="20"/>
          <w:szCs w:val="20"/>
          <w:color w:val="auto"/>
        </w:rPr>
      </w:pPr>
    </w:p>
    <w:p>
      <w:pPr>
        <w:ind w:right="600"/>
        <w:spacing w:after="0" w:line="234" w:lineRule="auto"/>
        <w:rPr>
          <w:sz w:val="20"/>
          <w:szCs w:val="20"/>
          <w:color w:val="auto"/>
        </w:rPr>
      </w:pPr>
      <w:r>
        <w:rPr>
          <w:rFonts w:ascii="Calibri" w:cs="Calibri" w:eastAsia="Calibri" w:hAnsi="Calibri"/>
          <w:sz w:val="20"/>
          <w:szCs w:val="20"/>
          <w:color w:val="auto"/>
        </w:rPr>
        <w:t>Exagen is a leading provider of autoimmune testng and its purpose as an organizaton is to provide clarity in autoimmune disease decision making with the goal of improving patents’ clinical outcomes. Exagen is located in San Diego County, California.</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For more informaton, please visit Exagen.com or follow @ExagenInc on X (formally known as Twiter).</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spacing w:after="0" w:line="144" w:lineRule="exact"/>
        <w:rPr>
          <w:sz w:val="20"/>
          <w:szCs w:val="20"/>
          <w:color w:val="auto"/>
        </w:rPr>
      </w:pPr>
    </w:p>
    <w:p>
      <w:pPr>
        <w:spacing w:after="0" w:line="218" w:lineRule="auto"/>
        <w:rPr>
          <w:sz w:val="20"/>
          <w:szCs w:val="20"/>
          <w:color w:val="auto"/>
        </w:rPr>
      </w:pPr>
      <w:r>
        <w:rPr>
          <w:rFonts w:ascii="Calibri" w:cs="Calibri" w:eastAsia="Calibri" w:hAnsi="Calibri"/>
          <w:sz w:val="20"/>
          <w:szCs w:val="20"/>
          <w:color w:val="auto"/>
        </w:rPr>
        <w:t>Exagen cautons you that statements contained in this press release regarding maters that are not historical facts are forward-looking statements. These statements are based on Exagen’s current beliefs and expectatons. Such forward-looking statements include, but are not limited to, statements regarding: Exagen’s goals, strategies and ambitons; potental future fnancial and business performance; the potental utlity and efectveness of Exagen’s services and testng solutons; updates to be made to AVISE® CTD; potental shareholder value and growth and 2024 guidance. The inclusion of forward-looking statements should not be regarded as a representaton by Exagen that any of its plans will be achieved. Actual results may difer from those set forth in this press release due to the risks and uncertaintes inherent in Exagen’s business, including, without limitaton: delays in reimbursement and coverage decisions from Medicare and third-party payors and in interactons with regulatory authorites, and delays in ongoing and planned clinical trials involving its tests; changes in laws and regulatons related to Exagen’s regulatory requirements; Exagen’s commercial success depends upon ataining and maintaining signifcant market acceptance of its testng products among rheumatologists, patents, third-party payors and others in the medical community; Exagen’s ability to successfully execute on its business strategies; third-party payors not providing coverage and adequate reimbursement for Exagen’s testng products, including Exagen’s ability to collect on funds due; Exagen’s ability to obtain and maintain intellectual property protecton for its testng products; regulatory developments afectng Exagen’s business; and other risks described in Exagen’s prior press releases and Exagen’s flings with the Securites and Exchange Commission (“SEC”), including under the heading “Risk Factors” in Exagen’s</w:t>
      </w:r>
    </w:p>
    <w:p>
      <w:pPr>
        <w:sectPr>
          <w:pgSz w:w="11900" w:h="16838" w:orient="portrait"/>
          <w:cols w:equalWidth="0" w:num="1">
            <w:col w:w="11220"/>
          </w:cols>
          <w:pgMar w:left="320" w:top="1411" w:right="359" w:bottom="1440" w:gutter="0" w:footer="0" w:header="0"/>
        </w:sectPr>
      </w:pPr>
    </w:p>
    <w:bookmarkStart w:id="6" w:name="page7"/>
    <w:bookmarkEnd w:id="6"/>
    <w:p>
      <w:pPr>
        <w:spacing w:after="0" w:line="219" w:lineRule="auto"/>
        <w:rPr>
          <w:sz w:val="20"/>
          <w:szCs w:val="20"/>
          <w:color w:val="auto"/>
        </w:rPr>
      </w:pPr>
      <w:r>
        <w:rPr>
          <w:rFonts w:ascii="Calibri" w:cs="Calibri" w:eastAsia="Calibri" w:hAnsi="Calibri"/>
          <w:sz w:val="20"/>
          <w:szCs w:val="20"/>
          <w:color w:val="auto"/>
        </w:rPr>
        <w:t>Annual Report on Form 10-K for the year ended December 31, 2023, fled with the SEC on March 18, 2024, its Quarterly Report on Form 10-Q for the quarter ended March 31, 2024, fled with the SEC on May 13, 2024 and any subsequent flings with the SEC. You are cautoned not to place undue reliance on these forward-looking statements, which speak only as of the date hereof, and Exagen undertakes no obligaton to update such statements to refect events that occur or circumstances that exist afer the date hereof. All forward-looking statements are qualifed in their entrety by this cautonary statement, which is made under the safe harbor provisions of the Private Securites Litgaton Reform Act of 1995.</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225" w:lineRule="auto"/>
        <w:rPr>
          <w:sz w:val="20"/>
          <w:szCs w:val="20"/>
          <w:color w:val="auto"/>
        </w:rPr>
      </w:pPr>
      <w:r>
        <w:rPr>
          <w:rFonts w:ascii="Calibri" w:cs="Calibri" w:eastAsia="Calibri" w:hAnsi="Calibri"/>
          <w:sz w:val="20"/>
          <w:szCs w:val="20"/>
          <w:color w:val="auto"/>
        </w:rPr>
        <w:t>Ryan Douglas</w:t>
      </w:r>
    </w:p>
    <w:p>
      <w:pPr>
        <w:spacing w:after="0"/>
        <w:rPr>
          <w:sz w:val="20"/>
          <w:szCs w:val="20"/>
          <w:color w:val="auto"/>
        </w:rPr>
      </w:pPr>
      <w:r>
        <w:rPr>
          <w:rFonts w:ascii="Calibri" w:cs="Calibri" w:eastAsia="Calibri" w:hAnsi="Calibri"/>
          <w:sz w:val="20"/>
          <w:szCs w:val="20"/>
          <w:color w:val="auto"/>
        </w:rPr>
        <w:t>Exagen Inc.</w:t>
      </w:r>
    </w:p>
    <w:p>
      <w:pPr>
        <w:spacing w:after="0" w:line="238" w:lineRule="auto"/>
        <w:rPr>
          <w:sz w:val="20"/>
          <w:szCs w:val="20"/>
          <w:color w:val="auto"/>
        </w:rPr>
      </w:pPr>
      <w:r>
        <w:rPr>
          <w:rFonts w:ascii="Calibri" w:cs="Calibri" w:eastAsia="Calibri" w:hAnsi="Calibri"/>
          <w:sz w:val="20"/>
          <w:szCs w:val="20"/>
          <w:color w:val="auto"/>
        </w:rPr>
        <w:t>ir@exagen.com</w:t>
      </w:r>
    </w:p>
    <w:p>
      <w:pPr>
        <w:spacing w:after="0" w:line="225" w:lineRule="auto"/>
        <w:rPr>
          <w:sz w:val="20"/>
          <w:szCs w:val="20"/>
          <w:color w:val="auto"/>
        </w:rPr>
      </w:pPr>
      <w:r>
        <w:rPr>
          <w:rFonts w:ascii="Calibri" w:cs="Calibri" w:eastAsia="Calibri" w:hAnsi="Calibri"/>
          <w:sz w:val="20"/>
          <w:szCs w:val="20"/>
          <w:color w:val="auto"/>
        </w:rPr>
        <w:t>760.560.1525</w:t>
      </w:r>
    </w:p>
    <w:p>
      <w:pPr>
        <w:sectPr>
          <w:pgSz w:w="11900" w:h="16838" w:orient="portrait"/>
          <w:cols w:equalWidth="0" w:num="1">
            <w:col w:w="11160"/>
          </w:cols>
          <w:pgMar w:left="320" w:top="1398" w:right="419" w:bottom="1440" w:gutter="0" w:footer="0" w:header="0"/>
        </w:sectPr>
      </w:pPr>
    </w:p>
    <w:bookmarkStart w:id="7" w:name="page8"/>
    <w:bookmarkEnd w:id="7"/>
    <w:p>
      <w:pPr>
        <w:ind w:left="486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11,230</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5,926</w:t>
            </w:r>
          </w:p>
        </w:tc>
        <w:tc>
          <w:tcPr>
            <w:tcW w:w="0" w:type="dxa"/>
            <w:vAlign w:val="bottom"/>
          </w:tcPr>
          <w:p>
            <w:pPr>
              <w:spacing w:after="0"/>
              <w:rPr>
                <w:sz w:val="1"/>
                <w:szCs w:val="1"/>
                <w:color w:val="auto"/>
              </w:rPr>
            </w:pPr>
          </w:p>
        </w:tc>
      </w:tr>
      <w:tr>
        <w:trPr>
          <w:trHeight w:val="198"/>
        </w:trPr>
        <w:tc>
          <w:tcPr>
            <w:tcW w:w="728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10,542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11,884</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18,936</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(7,706)</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92"/>
        </w:trPr>
        <w:tc>
          <w:tcPr>
            <w:tcW w:w="72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8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17,944,438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17,526,763</w:t>
            </w:r>
          </w:p>
        </w:tc>
        <w:tc>
          <w:tcPr>
            <w:tcW w:w="0" w:type="dxa"/>
            <w:vAlign w:val="bottom"/>
          </w:tcPr>
          <w:p>
            <w:pPr>
              <w:spacing w:after="0"/>
              <w:rPr>
                <w:sz w:val="1"/>
                <w:szCs w:val="1"/>
                <w:color w:val="auto"/>
              </w:rPr>
            </w:pPr>
          </w:p>
        </w:tc>
      </w:tr>
      <w:tr>
        <w:trPr>
          <w:trHeight w:val="25"/>
        </w:trPr>
        <w:tc>
          <w:tcPr>
            <w:tcW w:w="7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580" w:top="1417" w:right="59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27,267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36,493</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42,400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50,808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7,531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Borrowings-current portion</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34,250</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as of March 31, 2024 and</w:t>
            </w:r>
          </w:p>
        </w:tc>
        <w:tc>
          <w:tcPr>
            <w:tcW w:w="340" w:type="dxa"/>
            <w:vAlign w:val="bottom"/>
          </w:tcPr>
          <w:p>
            <w:pPr>
              <w:spacing w:after="0"/>
              <w:rPr>
                <w:sz w:val="13"/>
                <w:szCs w:val="13"/>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December 31, 2023</w:t>
            </w:r>
          </w:p>
        </w:tc>
        <w:tc>
          <w:tcPr>
            <w:tcW w:w="3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March 31, 2024 and December 31, 2023; 17,317,941</w:t>
            </w:r>
          </w:p>
        </w:tc>
        <w:tc>
          <w:tcPr>
            <w:tcW w:w="3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17,045,954 shares issued and outstanding as of March 31, 2024 and December 31, 2023, respectively</w:t>
            </w:r>
          </w:p>
        </w:tc>
        <w:tc>
          <w:tcPr>
            <w:tcW w:w="3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302,550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301,893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(282,576)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(279,216)</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22,694</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50,808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5"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The table below presents the reconciliaton of adjusted EBITDA, which is a non-GAAP fnancial measure. See "Use of Non-GAAP Financial Measures (UNAUDITED)" above for further informaton regarding the Company's use of non-GAAP fnancial measures.</w:t>
      </w:r>
    </w:p>
    <w:p>
      <w:pPr>
        <w:spacing w:after="0" w:line="52" w:lineRule="exact"/>
        <w:rPr>
          <w:sz w:val="20"/>
          <w:szCs w:val="20"/>
          <w:color w:val="auto"/>
        </w:rPr>
      </w:pPr>
    </w:p>
    <w:tbl>
      <w:tblPr>
        <w:tblLayout w:type="fixed"/>
        <w:tblInd w:w="40" w:type="dxa"/>
        <w:tblCellMar>
          <w:top w:w="0" w:type="dxa"/>
          <w:left w:w="0" w:type="dxa"/>
          <w:bottom w:w="0" w:type="dxa"/>
          <w:right w:w="0" w:type="dxa"/>
        </w:tblCellMar>
      </w:tblPr>
      <w:tr>
        <w:trPr>
          <w:trHeight w:val="197"/>
        </w:trPr>
        <w:tc>
          <w:tcPr>
            <w:tcW w:w="120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7"/>
                <w:szCs w:val="17"/>
                <w:color w:val="auto"/>
              </w:rPr>
            </w:pPr>
          </w:p>
        </w:tc>
      </w:tr>
      <w:tr>
        <w:trPr>
          <w:trHeight w:val="195"/>
        </w:trPr>
        <w:tc>
          <w:tcPr>
            <w:tcW w:w="120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181"/>
        </w:trPr>
        <w:tc>
          <w:tcPr>
            <w:tcW w:w="7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6"/>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65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r>
      <w:tr>
        <w:trPr>
          <w:trHeight w:val="199"/>
        </w:trPr>
        <w:tc>
          <w:tcPr>
            <w:tcW w:w="77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17"/>
                <w:szCs w:val="17"/>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(7,688)</w:t>
            </w:r>
          </w:p>
        </w:tc>
      </w:tr>
      <w:tr>
        <w:trPr>
          <w:trHeight w:val="206"/>
        </w:trPr>
        <w:tc>
          <w:tcPr>
            <w:tcW w:w="77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 Expense</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r>
      <w:tr>
        <w:trPr>
          <w:trHeight w:val="199"/>
        </w:trPr>
        <w:tc>
          <w:tcPr>
            <w:tcW w:w="776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1080" w:type="dxa"/>
            <w:vAlign w:val="bottom"/>
          </w:tcPr>
          <w:p>
            <w:pPr>
              <w:spacing w:after="0"/>
              <w:rPr>
                <w:sz w:val="17"/>
                <w:szCs w:val="17"/>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638</w:t>
            </w:r>
          </w:p>
        </w:tc>
      </w:tr>
      <w:tr>
        <w:trPr>
          <w:trHeight w:val="206"/>
        </w:trPr>
        <w:tc>
          <w:tcPr>
            <w:tcW w:w="77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Depreciation and amortization expense</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199"/>
        </w:trPr>
        <w:tc>
          <w:tcPr>
            <w:tcW w:w="776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r>
      <w:tr>
        <w:trPr>
          <w:trHeight w:val="221"/>
        </w:trPr>
        <w:tc>
          <w:tcPr>
            <w:tcW w:w="7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EBITDA (Non-GAAP)</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(6,169)</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14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2024-05-13T07:14:01Z</dcterms:created>
  <dcterms:modified xsi:type="dcterms:W3CDTF">2024-05-13T07:14:01Z</dcterms:modified>
</cp:coreProperties>
</file>