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7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9382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93827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Hunt Holdings Limited Partnership</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09/19/2019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0" w:right="740" w:hanging="10"/>
        <w:spacing w:after="0" w:line="239"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50"/>
        <w:spacing w:after="0"/>
        <w:tabs>
          <w:tab w:leader="none" w:pos="1830" w:val="left"/>
          <w:tab w:leader="none" w:pos="21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0"/>
        <w:spacing w:after="0"/>
        <w:tabs>
          <w:tab w:leader="none" w:pos="21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7" w:lineRule="exact"/>
        <w:rPr>
          <w:sz w:val="24"/>
          <w:szCs w:val="24"/>
          <w:color w:val="auto"/>
        </w:rPr>
      </w:pPr>
    </w:p>
    <w:p>
      <w:pPr>
        <w:sectPr>
          <w:pgSz w:w="11900" w:h="16838" w:orient="portrait"/>
          <w:cols w:equalWidth="0" w:num="3">
            <w:col w:w="3340" w:space="720"/>
            <w:col w:w="3270" w:space="720"/>
            <w:col w:w="3470"/>
          </w:cols>
          <w:pgMar w:left="240" w:top="222" w:right="139" w:bottom="0" w:gutter="0" w:footer="0" w:header="0"/>
          <w:type w:val="continuous"/>
        </w:sectPr>
      </w:pPr>
    </w:p>
    <w:p>
      <w:pPr>
        <w:spacing w:after="0" w:line="14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EL PASO</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700" w:type="dxa"/>
            <w:vAlign w:val="bottom"/>
          </w:tcPr>
          <w:p>
            <w:pPr>
              <w:ind w:left="440"/>
              <w:spacing w:after="0"/>
              <w:rPr>
                <w:sz w:val="20"/>
                <w:szCs w:val="20"/>
                <w:color w:val="auto"/>
              </w:rPr>
            </w:pPr>
            <w:r>
              <w:rPr>
                <w:rFonts w:ascii="Arial" w:cs="Arial" w:eastAsia="Arial" w:hAnsi="Arial"/>
                <w:sz w:val="17"/>
                <w:szCs w:val="17"/>
                <w:color w:val="0000FF"/>
              </w:rPr>
              <w:t>79902</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spacing w:after="0" w:line="3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One Reporting Person</w:t>
      </w:r>
    </w:p>
    <w:p>
      <w:pPr>
        <w:jc w:val="both"/>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85" w:lineRule="exact"/>
        <w:rPr>
          <w:sz w:val="24"/>
          <w:szCs w:val="24"/>
          <w:color w:val="auto"/>
        </w:rPr>
      </w:pPr>
    </w:p>
    <w:p>
      <w:pPr>
        <w:sectPr>
          <w:pgSz w:w="11900" w:h="16838" w:orient="portrait"/>
          <w:cols w:equalWidth="0" w:num="2">
            <w:col w:w="3920" w:space="140"/>
            <w:col w:w="746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2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09/19/2019</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X</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7"/>
              </w:rPr>
              <w:t>202,011</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1.84</w:t>
            </w:r>
          </w:p>
        </w:tc>
        <w:tc>
          <w:tcPr>
            <w:tcW w:w="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202,727</w:t>
            </w:r>
          </w:p>
        </w:tc>
        <w:tc>
          <w:tcPr>
            <w:tcW w:w="34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2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09/19/2019</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X</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10,557</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14.3235</w:t>
            </w:r>
          </w:p>
        </w:tc>
        <w:tc>
          <w:tcPr>
            <w:tcW w:w="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213,284</w:t>
            </w:r>
          </w:p>
        </w:tc>
        <w:tc>
          <w:tcPr>
            <w:tcW w:w="34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2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09/19/2019</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28,106</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18.58</w:t>
            </w:r>
          </w:p>
        </w:tc>
        <w:tc>
          <w:tcPr>
            <w:tcW w:w="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185,178</w:t>
            </w:r>
          </w:p>
        </w:tc>
        <w:tc>
          <w:tcPr>
            <w:tcW w:w="34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(1)</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72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09/23/2019</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C</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1,293,637</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1,478,815</w:t>
            </w:r>
          </w:p>
        </w:tc>
        <w:tc>
          <w:tcPr>
            <w:tcW w:w="34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Acquired (A)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Disposed 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 and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1.84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09/19/2019</w:t>
            </w:r>
          </w:p>
        </w:tc>
        <w:tc>
          <w:tcPr>
            <w:tcW w:w="110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5"/>
                <w:szCs w:val="15"/>
                <w:color w:val="auto"/>
              </w:rPr>
            </w:pPr>
          </w:p>
        </w:tc>
        <w:tc>
          <w:tcPr>
            <w:tcW w:w="900" w:type="dxa"/>
            <w:vAlign w:val="bottom"/>
            <w:vMerge w:val="restart"/>
          </w:tcPr>
          <w:p>
            <w:pPr>
              <w:jc w:val="center"/>
              <w:ind w:left="378"/>
              <w:spacing w:after="0"/>
              <w:rPr>
                <w:sz w:val="20"/>
                <w:szCs w:val="20"/>
                <w:color w:val="auto"/>
              </w:rPr>
            </w:pPr>
            <w:r>
              <w:rPr>
                <w:rFonts w:ascii="Arial" w:cs="Arial" w:eastAsia="Arial" w:hAnsi="Arial"/>
                <w:sz w:val="13"/>
                <w:szCs w:val="13"/>
                <w:color w:val="0000FF"/>
                <w:w w:val="89"/>
              </w:rPr>
              <w:t>170,093</w:t>
            </w:r>
          </w:p>
        </w:tc>
        <w:tc>
          <w:tcPr>
            <w:tcW w:w="60" w:type="dxa"/>
            <w:vAlign w:val="bottom"/>
          </w:tcPr>
          <w:p>
            <w:pPr>
              <w:spacing w:after="0"/>
              <w:rPr>
                <w:sz w:val="15"/>
                <w:szCs w:val="15"/>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(2)</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170,093</w:t>
            </w:r>
          </w:p>
        </w:tc>
        <w:tc>
          <w:tcPr>
            <w:tcW w:w="40" w:type="dxa"/>
            <w:vAlign w:val="bottom"/>
          </w:tcPr>
          <w:p>
            <w:pPr>
              <w:spacing w:after="0"/>
              <w:rPr>
                <w:sz w:val="15"/>
                <w:szCs w:val="15"/>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1.84</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5"/>
                <w:szCs w:val="15"/>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tcPr>
          <w:p>
            <w:pPr>
              <w:jc w:val="center"/>
              <w:spacing w:after="0" w:line="65" w:lineRule="exact"/>
              <w:rPr>
                <w:sz w:val="20"/>
                <w:szCs w:val="20"/>
                <w:color w:val="auto"/>
              </w:rPr>
            </w:pPr>
            <w:r>
              <w:rPr>
                <w:rFonts w:ascii="Arial" w:cs="Arial" w:eastAsia="Arial" w:hAnsi="Arial"/>
                <w:sz w:val="6"/>
                <w:szCs w:val="6"/>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1.84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09/19/2019</w:t>
            </w:r>
          </w:p>
        </w:tc>
        <w:tc>
          <w:tcPr>
            <w:tcW w:w="110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5"/>
                <w:szCs w:val="15"/>
                <w:color w:val="auto"/>
              </w:rPr>
            </w:pPr>
          </w:p>
        </w:tc>
        <w:tc>
          <w:tcPr>
            <w:tcW w:w="900" w:type="dxa"/>
            <w:vAlign w:val="bottom"/>
            <w:vMerge w:val="restart"/>
          </w:tcPr>
          <w:p>
            <w:pPr>
              <w:jc w:val="center"/>
              <w:ind w:left="358"/>
              <w:spacing w:after="0"/>
              <w:rPr>
                <w:sz w:val="20"/>
                <w:szCs w:val="20"/>
                <w:color w:val="auto"/>
              </w:rPr>
            </w:pPr>
            <w:r>
              <w:rPr>
                <w:rFonts w:ascii="Arial" w:cs="Arial" w:eastAsia="Arial" w:hAnsi="Arial"/>
                <w:sz w:val="13"/>
                <w:szCs w:val="13"/>
                <w:color w:val="0000FF"/>
                <w:w w:val="90"/>
              </w:rPr>
              <w:t>31,918</w:t>
            </w:r>
          </w:p>
        </w:tc>
        <w:tc>
          <w:tcPr>
            <w:tcW w:w="60" w:type="dxa"/>
            <w:vAlign w:val="bottom"/>
          </w:tcPr>
          <w:p>
            <w:pPr>
              <w:spacing w:after="0"/>
              <w:rPr>
                <w:sz w:val="15"/>
                <w:szCs w:val="15"/>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(3)</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31,918</w:t>
            </w:r>
          </w:p>
        </w:tc>
        <w:tc>
          <w:tcPr>
            <w:tcW w:w="40" w:type="dxa"/>
            <w:vAlign w:val="bottom"/>
          </w:tcPr>
          <w:p>
            <w:pPr>
              <w:spacing w:after="0"/>
              <w:rPr>
                <w:sz w:val="15"/>
                <w:szCs w:val="15"/>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1.84</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5"/>
                <w:szCs w:val="15"/>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tcPr>
          <w:p>
            <w:pPr>
              <w:jc w:val="center"/>
              <w:spacing w:after="0" w:line="65" w:lineRule="exact"/>
              <w:rPr>
                <w:sz w:val="20"/>
                <w:szCs w:val="20"/>
                <w:color w:val="auto"/>
              </w:rPr>
            </w:pPr>
            <w:r>
              <w:rPr>
                <w:rFonts w:ascii="Arial" w:cs="Arial" w:eastAsia="Arial" w:hAnsi="Arial"/>
                <w:sz w:val="6"/>
                <w:szCs w:val="6"/>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14.3235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09/19/2019</w:t>
            </w:r>
          </w:p>
        </w:tc>
        <w:tc>
          <w:tcPr>
            <w:tcW w:w="110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X</w:t>
            </w:r>
          </w:p>
        </w:tc>
        <w:tc>
          <w:tcPr>
            <w:tcW w:w="180" w:type="dxa"/>
            <w:vAlign w:val="bottom"/>
          </w:tcPr>
          <w:p>
            <w:pPr>
              <w:spacing w:after="0"/>
              <w:rPr>
                <w:sz w:val="15"/>
                <w:szCs w:val="15"/>
                <w:color w:val="auto"/>
              </w:rPr>
            </w:pPr>
          </w:p>
        </w:tc>
        <w:tc>
          <w:tcPr>
            <w:tcW w:w="900" w:type="dxa"/>
            <w:vAlign w:val="bottom"/>
            <w:vMerge w:val="restart"/>
          </w:tcPr>
          <w:p>
            <w:pPr>
              <w:jc w:val="center"/>
              <w:ind w:left="358"/>
              <w:spacing w:after="0"/>
              <w:rPr>
                <w:sz w:val="20"/>
                <w:szCs w:val="20"/>
                <w:color w:val="auto"/>
              </w:rPr>
            </w:pPr>
            <w:r>
              <w:rPr>
                <w:rFonts w:ascii="Arial" w:cs="Arial" w:eastAsia="Arial" w:hAnsi="Arial"/>
                <w:sz w:val="13"/>
                <w:szCs w:val="13"/>
                <w:color w:val="0000FF"/>
                <w:w w:val="90"/>
              </w:rPr>
              <w:t>10,557</w:t>
            </w:r>
          </w:p>
        </w:tc>
        <w:tc>
          <w:tcPr>
            <w:tcW w:w="60" w:type="dxa"/>
            <w:vAlign w:val="bottom"/>
          </w:tcPr>
          <w:p>
            <w:pPr>
              <w:spacing w:after="0"/>
              <w:rPr>
                <w:sz w:val="15"/>
                <w:szCs w:val="15"/>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(4)</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10,557</w:t>
            </w:r>
          </w:p>
        </w:tc>
        <w:tc>
          <w:tcPr>
            <w:tcW w:w="40" w:type="dxa"/>
            <w:vAlign w:val="bottom"/>
          </w:tcPr>
          <w:p>
            <w:pPr>
              <w:spacing w:after="0"/>
              <w:rPr>
                <w:sz w:val="15"/>
                <w:szCs w:val="15"/>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14.3235</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5"/>
                <w:szCs w:val="15"/>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tcPr>
          <w:p>
            <w:pPr>
              <w:jc w:val="center"/>
              <w:spacing w:after="0" w:line="66"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(5)</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tcPr>
          <w:p>
            <w:pPr>
              <w:ind w:left="60"/>
              <w:spacing w:after="0" w:line="66"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Series A-3</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color w:val="0000FF"/>
                <w:w w:val="94"/>
              </w:rPr>
              <w:t>Redeemable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(6)</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1,195</w:t>
            </w:r>
          </w:p>
        </w:tc>
        <w:tc>
          <w:tcPr>
            <w:tcW w:w="4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color w:val="008000"/>
              </w:rPr>
              <w:t>(6)</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09/23/2019</w:t>
            </w:r>
          </w:p>
        </w:tc>
        <w:tc>
          <w:tcPr>
            <w:tcW w:w="11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900" w:type="dxa"/>
            <w:vAlign w:val="bottom"/>
            <w:vMerge w:val="restart"/>
          </w:tcPr>
          <w:p>
            <w:pPr>
              <w:jc w:val="center"/>
              <w:ind w:left="378"/>
              <w:spacing w:after="0"/>
              <w:rPr>
                <w:sz w:val="20"/>
                <w:szCs w:val="20"/>
                <w:color w:val="auto"/>
              </w:rPr>
            </w:pPr>
            <w:r>
              <w:rPr>
                <w:rFonts w:ascii="Arial" w:cs="Arial" w:eastAsia="Arial" w:hAnsi="Arial"/>
                <w:sz w:val="13"/>
                <w:szCs w:val="13"/>
                <w:color w:val="0000FF"/>
                <w:w w:val="89"/>
              </w:rPr>
              <w:t>219,548</w:t>
            </w: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color w:val="0000FF"/>
                <w:w w:val="94"/>
              </w:rPr>
              <w:t>Redeemable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(7)</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23,221</w:t>
            </w:r>
          </w:p>
        </w:tc>
        <w:tc>
          <w:tcPr>
            <w:tcW w:w="4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color w:val="008000"/>
              </w:rPr>
              <w:t>(7)</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09/23/2019</w:t>
            </w:r>
          </w:p>
        </w:tc>
        <w:tc>
          <w:tcPr>
            <w:tcW w:w="11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960" w:type="dxa"/>
            <w:vAlign w:val="bottom"/>
            <w:gridSpan w:val="2"/>
            <w:vMerge w:val="restart"/>
          </w:tcPr>
          <w:p>
            <w:pPr>
              <w:jc w:val="center"/>
              <w:ind w:left="298"/>
              <w:spacing w:after="0"/>
              <w:rPr>
                <w:sz w:val="20"/>
                <w:szCs w:val="20"/>
                <w:color w:val="auto"/>
              </w:rPr>
            </w:pPr>
            <w:r>
              <w:rPr>
                <w:rFonts w:ascii="Arial" w:cs="Arial" w:eastAsia="Arial" w:hAnsi="Arial"/>
                <w:sz w:val="13"/>
                <w:szCs w:val="13"/>
                <w:color w:val="0000FF"/>
                <w:w w:val="89"/>
              </w:rPr>
              <w:t>1,330,416</w:t>
            </w: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color w:val="0000FF"/>
                <w:w w:val="94"/>
              </w:rPr>
              <w:t>Redeemable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(8)</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647,476</w:t>
            </w:r>
          </w:p>
        </w:tc>
        <w:tc>
          <w:tcPr>
            <w:tcW w:w="4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color w:val="008000"/>
              </w:rPr>
              <w:t>(8)</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09/23/2019</w:t>
            </w:r>
          </w:p>
        </w:tc>
        <w:tc>
          <w:tcPr>
            <w:tcW w:w="11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960" w:type="dxa"/>
            <w:vAlign w:val="bottom"/>
            <w:gridSpan w:val="2"/>
            <w:vMerge w:val="restart"/>
          </w:tcPr>
          <w:p>
            <w:pPr>
              <w:jc w:val="center"/>
              <w:ind w:left="318"/>
              <w:spacing w:after="0"/>
              <w:rPr>
                <w:sz w:val="20"/>
                <w:szCs w:val="20"/>
                <w:color w:val="auto"/>
              </w:rPr>
            </w:pPr>
            <w:r>
              <w:rPr>
                <w:rFonts w:ascii="Arial" w:cs="Arial" w:eastAsia="Arial" w:hAnsi="Arial"/>
                <w:sz w:val="13"/>
                <w:szCs w:val="13"/>
                <w:color w:val="0000FF"/>
                <w:w w:val="89"/>
              </w:rPr>
              <w:t>37,096,550</w:t>
            </w: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Series F</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color w:val="0000FF"/>
                <w:w w:val="94"/>
              </w:rPr>
              <w:t>Redeemable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62"/>
              <w:spacing w:after="0"/>
              <w:rPr>
                <w:sz w:val="20"/>
                <w:szCs w:val="20"/>
                <w:color w:val="auto"/>
              </w:rPr>
            </w:pPr>
            <w:r>
              <w:rPr>
                <w:rFonts w:ascii="Arial" w:cs="Arial" w:eastAsia="Arial" w:hAnsi="Arial"/>
                <w:sz w:val="11"/>
                <w:szCs w:val="11"/>
                <w:color w:val="008000"/>
                <w:w w:val="88"/>
              </w:rPr>
              <w:t>(9)</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326,891</w:t>
            </w:r>
          </w:p>
        </w:tc>
        <w:tc>
          <w:tcPr>
            <w:tcW w:w="4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color w:val="008000"/>
              </w:rPr>
              <w:t>(9)</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09/23/2019</w:t>
            </w:r>
          </w:p>
        </w:tc>
        <w:tc>
          <w:tcPr>
            <w:tcW w:w="11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960" w:type="dxa"/>
            <w:vAlign w:val="bottom"/>
            <w:gridSpan w:val="2"/>
            <w:vMerge w:val="restart"/>
          </w:tcPr>
          <w:p>
            <w:pPr>
              <w:jc w:val="center"/>
              <w:ind w:left="318"/>
              <w:spacing w:after="0"/>
              <w:rPr>
                <w:sz w:val="20"/>
                <w:szCs w:val="20"/>
                <w:color w:val="auto"/>
              </w:rPr>
            </w:pPr>
            <w:r>
              <w:rPr>
                <w:rFonts w:ascii="Arial" w:cs="Arial" w:eastAsia="Arial" w:hAnsi="Arial"/>
                <w:sz w:val="13"/>
                <w:szCs w:val="13"/>
                <w:color w:val="0000FF"/>
                <w:w w:val="89"/>
              </w:rPr>
              <w:t>60,028,640</w:t>
            </w: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Preferred</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Series H</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color w:val="0000FF"/>
                <w:w w:val="94"/>
              </w:rPr>
              <w:t>Redeemable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82"/>
              <w:spacing w:after="0"/>
              <w:rPr>
                <w:sz w:val="20"/>
                <w:szCs w:val="20"/>
                <w:color w:val="auto"/>
              </w:rPr>
            </w:pPr>
            <w:r>
              <w:rPr>
                <w:rFonts w:ascii="Arial" w:cs="Arial" w:eastAsia="Arial" w:hAnsi="Arial"/>
                <w:sz w:val="11"/>
                <w:szCs w:val="11"/>
                <w:color w:val="008000"/>
                <w:w w:val="91"/>
              </w:rPr>
              <w:t>(10)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294,854</w:t>
            </w:r>
          </w:p>
        </w:tc>
        <w:tc>
          <w:tcPr>
            <w:tcW w:w="4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1"/>
                <w:szCs w:val="11"/>
                <w:color w:val="008000"/>
                <w:w w:val="91"/>
              </w:rPr>
              <w:t>(10)</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Convertible</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09/23/2019</w:t>
            </w:r>
          </w:p>
        </w:tc>
        <w:tc>
          <w:tcPr>
            <w:tcW w:w="110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960" w:type="dxa"/>
            <w:vAlign w:val="bottom"/>
            <w:gridSpan w:val="2"/>
            <w:vMerge w:val="restart"/>
          </w:tcPr>
          <w:p>
            <w:pPr>
              <w:jc w:val="center"/>
              <w:ind w:left="318"/>
              <w:spacing w:after="0"/>
              <w:rPr>
                <w:sz w:val="20"/>
                <w:szCs w:val="20"/>
                <w:color w:val="auto"/>
              </w:rPr>
            </w:pPr>
            <w:r>
              <w:rPr>
                <w:rFonts w:ascii="Arial" w:cs="Arial" w:eastAsia="Arial" w:hAnsi="Arial"/>
                <w:sz w:val="13"/>
                <w:szCs w:val="13"/>
                <w:color w:val="0000FF"/>
                <w:w w:val="89"/>
              </w:rPr>
              <w:t>54,145,517</w:t>
            </w: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ind w:left="60"/>
              <w:spacing w:after="0" w:line="92" w:lineRule="exact"/>
              <w:rPr>
                <w:sz w:val="20"/>
                <w:szCs w:val="20"/>
                <w:color w:val="auto"/>
              </w:rPr>
            </w:pPr>
            <w:r>
              <w:rPr>
                <w:rFonts w:ascii="Arial" w:cs="Arial" w:eastAsia="Arial" w:hAnsi="Arial"/>
                <w:sz w:val="10"/>
                <w:szCs w:val="10"/>
                <w:color w:val="0000FF"/>
              </w:rPr>
              <w:t>Preferred</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12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2" w:right="1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Hunt Holdings Limited Partnership</w:t>
        </w:r>
      </w:hyperlink>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w w:val="94"/>
              </w:rPr>
              <w:t>4401 N. MESA ST.</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rPr>
              <w:t>EL PASO</w:t>
            </w: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660" w:type="dxa"/>
            <w:vAlign w:val="bottom"/>
          </w:tcPr>
          <w:p>
            <w:pPr>
              <w:ind w:left="2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400" w:type="dxa"/>
            <w:vAlign w:val="bottom"/>
            <w:gridSpan w:val="4"/>
          </w:tcPr>
          <w:p>
            <w:pPr>
              <w:ind w:left="20"/>
              <w:spacing w:after="0" w:line="216"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HuntVest, LLC</w:t>
              </w:r>
            </w:hyperlink>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w w:val="94"/>
              </w:rPr>
              <w:t>4401 N. MESA ST.</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rPr>
              <w:t>EL PASO</w:t>
            </w: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660" w:type="dxa"/>
            <w:vAlign w:val="bottom"/>
          </w:tcPr>
          <w:p>
            <w:pPr>
              <w:ind w:left="2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6"/>
          </w:tcPr>
          <w:p>
            <w:pPr>
              <w:ind w:left="20"/>
              <w:spacing w:after="0" w:line="216" w:lineRule="exact"/>
              <w:rPr>
                <w:rFonts w:ascii="Arial" w:cs="Arial" w:eastAsia="Arial" w:hAnsi="Arial"/>
                <w:sz w:val="21"/>
                <w:szCs w:val="21"/>
                <w:color w:val="0000EE"/>
              </w:rPr>
            </w:pPr>
            <w:hyperlink r:id="rId15">
              <w:r>
                <w:rPr>
                  <w:rFonts w:ascii="Arial" w:cs="Arial" w:eastAsia="Arial" w:hAnsi="Arial"/>
                  <w:sz w:val="21"/>
                  <w:szCs w:val="21"/>
                  <w:color w:val="0000EE"/>
                </w:rPr>
                <w:t>Hunt Guaranty Inc.</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w w:val="94"/>
              </w:rPr>
              <w:t>4401 N. MESA ST.</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rPr>
              <w:t>EL PASO</w:t>
            </w: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660" w:type="dxa"/>
            <w:vAlign w:val="bottom"/>
          </w:tcPr>
          <w:p>
            <w:pPr>
              <w:ind w:left="2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400" w:type="dxa"/>
            <w:vAlign w:val="bottom"/>
            <w:gridSpan w:val="4"/>
          </w:tcPr>
          <w:p>
            <w:pPr>
              <w:ind w:left="20"/>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Hunt Woody L</w:t>
              </w:r>
            </w:hyperlink>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w w:val="94"/>
              </w:rPr>
              <w:t>4401 N. MESA ST.</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Arial" w:cs="Arial" w:eastAsia="Arial" w:hAnsi="Arial"/>
                <w:sz w:val="17"/>
                <w:szCs w:val="17"/>
                <w:color w:val="0000FF"/>
              </w:rPr>
              <w:t>EL PASO</w:t>
            </w: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660" w:type="dxa"/>
            <w:vAlign w:val="bottom"/>
          </w:tcPr>
          <w:p>
            <w:pPr>
              <w:ind w:left="2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6080" cy="592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6080" cy="59213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140" w:firstLine="3"/>
        <w:spacing w:after="0"/>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dislcaims beneficial ownership of such securities except to the extent of his or its respective pecuniary interest therein, if any.</w:t>
      </w:r>
    </w:p>
    <w:p>
      <w:pPr>
        <w:spacing w:after="0" w:line="31"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expire on January 19, 2026.</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expire on March 31, 2026.</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are currently exercisable and will terminate upon closing of the Issuer's initial public offering.</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warrants that previously entitled the holders to purchase Series E Redeemable Convertible Preferred Stock, which, pursuant to their terms, were settled in shares of the Issuer's Common Stock.</w:t>
      </w:r>
    </w:p>
    <w:p>
      <w:pPr>
        <w:spacing w:after="0" w:line="56" w:lineRule="exact"/>
        <w:rPr>
          <w:rFonts w:ascii="Arial" w:cs="Arial" w:eastAsia="Arial" w:hAnsi="Arial"/>
          <w:sz w:val="12"/>
          <w:szCs w:val="12"/>
          <w:color w:val="008000"/>
        </w:rPr>
      </w:pPr>
    </w:p>
    <w:p>
      <w:pPr>
        <w:ind w:left="20" w:firstLine="3"/>
        <w:spacing w:after="0" w:line="251"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A-3 Redeemable Convertible Preferred Stock (the "Series A-3") is convertible into the Issuer's Common Stock on a 183.635-for-one basis at the holder's election and has no expiration date. The Series A-3 automatically converted into Common Stock upon the closing of the Issuer's initial public offering.</w:t>
      </w:r>
    </w:p>
    <w:p>
      <w:pPr>
        <w:spacing w:after="0" w:line="24" w:lineRule="exact"/>
        <w:rPr>
          <w:rFonts w:ascii="Arial" w:cs="Arial" w:eastAsia="Arial" w:hAnsi="Arial"/>
          <w:sz w:val="13"/>
          <w:szCs w:val="13"/>
          <w:color w:val="008000"/>
        </w:rPr>
      </w:pPr>
    </w:p>
    <w:p>
      <w:pPr>
        <w:ind w:left="20" w:right="420" w:firstLine="3"/>
        <w:spacing w:after="0" w:line="251"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C Redeemable Convertible Preferred Stock (the "Series C") is convertible into the Issuer's Common Stock on a 57.294-for-one basis at the holder's election and has no expiration date. The Series C automatically converted into Common Stock upon the closing of the Issuer's initial public offering.</w:t>
      </w:r>
    </w:p>
    <w:p>
      <w:pPr>
        <w:spacing w:after="0" w:line="24" w:lineRule="exact"/>
        <w:rPr>
          <w:rFonts w:ascii="Arial" w:cs="Arial" w:eastAsia="Arial" w:hAnsi="Arial"/>
          <w:sz w:val="13"/>
          <w:szCs w:val="13"/>
          <w:color w:val="008000"/>
        </w:rPr>
      </w:pPr>
    </w:p>
    <w:p>
      <w:pPr>
        <w:ind w:left="20" w:right="440" w:firstLine="3"/>
        <w:spacing w:after="0" w:line="251"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E Redeemable Convertible Preferred Stock (the "Series E") is convertible into the Issuer's Common Stock on a 57.294-for-one basis at the holder's election and has no expiration date. The Series E automatically converted into Common Stock upon the closing of the Issuer's initial public offering.</w:t>
      </w:r>
    </w:p>
    <w:p>
      <w:pPr>
        <w:spacing w:after="0" w:line="24" w:lineRule="exact"/>
        <w:rPr>
          <w:rFonts w:ascii="Arial" w:cs="Arial" w:eastAsia="Arial" w:hAnsi="Arial"/>
          <w:sz w:val="13"/>
          <w:szCs w:val="13"/>
          <w:color w:val="008000"/>
        </w:rPr>
      </w:pPr>
    </w:p>
    <w:p>
      <w:pPr>
        <w:ind w:left="20" w:right="580" w:firstLine="3"/>
        <w:spacing w:after="0" w:line="251"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F Redeemable Convertible Preferred Stock ("Series F") is convertible into the Issuer's Common Stock on a 183.635-for-one basis at the holder's election and has no expiration date. The Series F automatically converted into Common Stock upon the closing of the Issuer's initial public offering.</w:t>
      </w:r>
    </w:p>
    <w:p>
      <w:pPr>
        <w:spacing w:after="0" w:line="24" w:lineRule="exact"/>
        <w:rPr>
          <w:rFonts w:ascii="Arial" w:cs="Arial" w:eastAsia="Arial" w:hAnsi="Arial"/>
          <w:sz w:val="13"/>
          <w:szCs w:val="13"/>
          <w:color w:val="008000"/>
        </w:rPr>
      </w:pPr>
    </w:p>
    <w:p>
      <w:pPr>
        <w:ind w:left="20" w:right="460" w:firstLine="3"/>
        <w:spacing w:after="0" w:line="251"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H Redeemable Convertible Preferred Stock ("Series H") is convertible into the Issuer's Common Stock on a 183.635-for-one basis at the holder's election and has no expiration date. The Series H automatically converted into Common Stock upon the closing of the Issuer's initial public offering.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60"/>
          </w:cols>
          <w:pgMar w:left="260" w:top="140" w:right="279" w:bottom="0" w:gutter="0" w:footer="0" w:header="0"/>
        </w:sectPr>
      </w:pPr>
    </w:p>
    <w:p>
      <w:pPr>
        <w:spacing w:after="0" w:line="13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-10795</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Partnership, By: HuntVest,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04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its general partner,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Guaranty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43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219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770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-10795</wp:posOffset>
            </wp:positionV>
            <wp:extent cx="1104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Guaranty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219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034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77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Hunt Guaranty Inc.,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2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D. Hunt, Name: Matthew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2230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Hunt, 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-7620</wp:posOffset>
            </wp:positionV>
            <wp:extent cx="12934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Paul D. Donnelly,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-3810</wp:posOffset>
            </wp:positionV>
            <wp:extent cx="13081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1245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88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88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88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09/23/2019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88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2">
            <w:col w:w="9060" w:space="80"/>
            <w:col w:w="2220"/>
          </w:cols>
          <w:pgMar w:left="260" w:top="140" w:right="279" w:bottom="0" w:gutter="0" w:footer="0" w:header="0"/>
          <w:type w:val="continuous"/>
        </w:sectPr>
      </w:pPr>
    </w:p>
    <w:bookmarkStart w:id="2" w:name="page3"/>
    <w:bookmarkEnd w:id="2"/>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2" Type="http://schemas.openxmlformats.org/officeDocument/2006/relationships/hyperlink" Target="http://www.sec.gov/cgi-bin/browse-edgar?action=getcompany&amp;CIK=0001788338" TargetMode="External"/><Relationship Id="rId13" Type="http://schemas.openxmlformats.org/officeDocument/2006/relationships/hyperlink" Target="http://www.sec.gov/cgi-bin/browse-edgar?action=getcompany&amp;CIK=0001274737" TargetMode="External"/><Relationship Id="rId14" Type="http://schemas.openxmlformats.org/officeDocument/2006/relationships/hyperlink" Target="http://www.sec.gov/cgi-bin/browse-edgar?action=getcompany&amp;CIK=0001788613" TargetMode="External"/><Relationship Id="rId15" Type="http://schemas.openxmlformats.org/officeDocument/2006/relationships/hyperlink" Target="http://www.sec.gov/cgi-bin/browse-edgar?action=getcompany&amp;CIK=0001788612" TargetMode="External"/><Relationship Id="rId16"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2019-12-23T16:09:20Z</dcterms:created>
  <dcterms:modified xsi:type="dcterms:W3CDTF">2019-12-23T16:09:20Z</dcterms:modified>
</cp:coreProperties>
</file>